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355" w:rsidRPr="007E0078" w:rsidRDefault="007E0078">
      <w:pPr>
        <w:jc w:val="both"/>
        <w:rPr>
          <w:b/>
          <w:bCs/>
          <w:sz w:val="32"/>
          <w:szCs w:val="32"/>
          <w:vertAlign w:val="subscript"/>
        </w:rPr>
      </w:pPr>
      <w:r w:rsidRPr="007E0078">
        <w:rPr>
          <w:b/>
          <w:bCs/>
          <w:noProof/>
          <w:sz w:val="32"/>
          <w:szCs w:val="32"/>
          <w:vertAlign w:val="subscript"/>
          <w:lang w:val="es-ES"/>
        </w:rPr>
        <w:drawing>
          <wp:inline distT="0" distB="0" distL="0" distR="0" wp14:anchorId="59D79A87" wp14:editId="3F501BF0">
            <wp:extent cx="3000375" cy="1714500"/>
            <wp:effectExtent l="0" t="0" r="9525" b="0"/>
            <wp:docPr id="9" name="Imagen 9" descr="C:\Users\miguelrigo\Descarregues\portsdebalears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iguelrigo\Descarregues\portsdebalears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0375" cy="1714500"/>
                    </a:xfrm>
                    <a:prstGeom prst="rect">
                      <a:avLst/>
                    </a:prstGeom>
                    <a:noFill/>
                    <a:ln>
                      <a:noFill/>
                    </a:ln>
                  </pic:spPr>
                </pic:pic>
              </a:graphicData>
            </a:graphic>
          </wp:inline>
        </w:drawing>
      </w:r>
    </w:p>
    <w:p w:rsidR="00A7236A" w:rsidRDefault="00A7236A">
      <w:pPr>
        <w:jc w:val="both"/>
        <w:rPr>
          <w:b/>
          <w:bCs/>
          <w:sz w:val="32"/>
          <w:szCs w:val="32"/>
          <w:u w:val="single"/>
          <w:vertAlign w:val="subscript"/>
        </w:rPr>
      </w:pPr>
    </w:p>
    <w:p w:rsidR="00A7236A" w:rsidRDefault="00A7236A">
      <w:pPr>
        <w:jc w:val="both"/>
        <w:rPr>
          <w:b/>
          <w:bCs/>
          <w:sz w:val="32"/>
          <w:szCs w:val="32"/>
          <w:u w:val="single"/>
          <w:vertAlign w:val="subscript"/>
        </w:rPr>
      </w:pPr>
    </w:p>
    <w:p w:rsidR="00A7236A" w:rsidRPr="00805959" w:rsidRDefault="00A7236A">
      <w:pPr>
        <w:jc w:val="both"/>
        <w:rPr>
          <w:b/>
          <w:bCs/>
          <w:sz w:val="32"/>
          <w:szCs w:val="32"/>
          <w:u w:val="single"/>
          <w:vertAlign w:val="subscript"/>
        </w:rPr>
      </w:pPr>
    </w:p>
    <w:p w:rsidR="00E2256E" w:rsidRDefault="00E2256E">
      <w:pPr>
        <w:jc w:val="both"/>
        <w:rPr>
          <w:b/>
          <w:bCs/>
          <w:sz w:val="32"/>
          <w:szCs w:val="32"/>
        </w:rPr>
      </w:pPr>
    </w:p>
    <w:p w:rsidR="00E2256E" w:rsidRDefault="00E2256E">
      <w:pPr>
        <w:jc w:val="both"/>
        <w:rPr>
          <w:b/>
          <w:bCs/>
          <w:sz w:val="32"/>
          <w:szCs w:val="32"/>
        </w:rPr>
      </w:pPr>
    </w:p>
    <w:p w:rsidR="00E2256E" w:rsidRDefault="00E2256E">
      <w:pPr>
        <w:jc w:val="both"/>
        <w:rPr>
          <w:b/>
          <w:bCs/>
          <w:sz w:val="32"/>
          <w:szCs w:val="32"/>
        </w:rPr>
      </w:pPr>
    </w:p>
    <w:p w:rsidR="00E2256E" w:rsidRDefault="00E2256E">
      <w:pPr>
        <w:jc w:val="both"/>
        <w:rPr>
          <w:b/>
          <w:bCs/>
          <w:sz w:val="32"/>
          <w:szCs w:val="32"/>
        </w:rPr>
      </w:pPr>
    </w:p>
    <w:p w:rsidR="002C4355" w:rsidRDefault="002C4355">
      <w:pPr>
        <w:jc w:val="both"/>
        <w:rPr>
          <w:b/>
          <w:bCs/>
          <w:sz w:val="32"/>
          <w:szCs w:val="32"/>
        </w:rPr>
      </w:pPr>
    </w:p>
    <w:p w:rsidR="002C4355" w:rsidRPr="007E0078" w:rsidRDefault="007E0078" w:rsidP="007E0078">
      <w:pPr>
        <w:jc w:val="center"/>
        <w:rPr>
          <w:rFonts w:ascii="Frutiger" w:hAnsi="Frutiger"/>
          <w:b/>
          <w:bCs/>
          <w:sz w:val="52"/>
          <w:szCs w:val="52"/>
        </w:rPr>
      </w:pPr>
      <w:r>
        <w:rPr>
          <w:rFonts w:ascii="Frutiger" w:hAnsi="Frutiger"/>
          <w:b/>
          <w:bCs/>
          <w:sz w:val="52"/>
          <w:szCs w:val="52"/>
        </w:rPr>
        <w:t>AUTORIDAD PORTUARIA DE BALEARES</w:t>
      </w:r>
    </w:p>
    <w:p w:rsidR="002C4355" w:rsidRDefault="002C4355">
      <w:pPr>
        <w:jc w:val="both"/>
        <w:rPr>
          <w:b/>
          <w:bCs/>
          <w:sz w:val="32"/>
          <w:szCs w:val="32"/>
        </w:rPr>
      </w:pPr>
    </w:p>
    <w:p w:rsidR="002C4355" w:rsidRDefault="002C4355">
      <w:pPr>
        <w:jc w:val="both"/>
        <w:rPr>
          <w:b/>
          <w:bCs/>
          <w:sz w:val="32"/>
          <w:szCs w:val="32"/>
        </w:rPr>
      </w:pPr>
    </w:p>
    <w:p w:rsidR="002C4355" w:rsidRPr="006D3B6D" w:rsidRDefault="0020160E">
      <w:pPr>
        <w:jc w:val="center"/>
        <w:rPr>
          <w:rFonts w:ascii="Frutiger" w:hAnsi="Frutiger"/>
          <w:b/>
          <w:bCs/>
          <w:sz w:val="52"/>
          <w:szCs w:val="52"/>
        </w:rPr>
      </w:pPr>
      <w:r>
        <w:rPr>
          <w:rFonts w:ascii="Frutiger" w:hAnsi="Frutiger"/>
          <w:b/>
          <w:bCs/>
          <w:sz w:val="52"/>
          <w:szCs w:val="52"/>
        </w:rPr>
        <w:t>CUENTAS ANUALES 2023</w:t>
      </w:r>
    </w:p>
    <w:p w:rsidR="002C4355" w:rsidRDefault="002C4355">
      <w:pPr>
        <w:jc w:val="center"/>
        <w:rPr>
          <w:b/>
          <w:bCs/>
          <w:sz w:val="56"/>
          <w:szCs w:val="56"/>
        </w:rPr>
      </w:pPr>
    </w:p>
    <w:p w:rsidR="002C4355" w:rsidRDefault="002C4355">
      <w:pPr>
        <w:jc w:val="both"/>
        <w:rPr>
          <w:b/>
          <w:bCs/>
          <w:sz w:val="32"/>
          <w:szCs w:val="32"/>
        </w:rPr>
        <w:sectPr w:rsidR="002C4355" w:rsidSect="007A1C6E">
          <w:headerReference w:type="even" r:id="rId10"/>
          <w:headerReference w:type="default" r:id="rId11"/>
          <w:footerReference w:type="even" r:id="rId12"/>
          <w:footerReference w:type="default" r:id="rId13"/>
          <w:headerReference w:type="first" r:id="rId14"/>
          <w:footerReference w:type="first" r:id="rId15"/>
          <w:pgSz w:w="11907" w:h="16840" w:code="9"/>
          <w:pgMar w:top="2835" w:right="992" w:bottom="567" w:left="2268" w:header="567" w:footer="299" w:gutter="0"/>
          <w:cols w:space="720"/>
          <w:titlePg/>
          <w:docGrid w:linePitch="272"/>
        </w:sectPr>
      </w:pPr>
    </w:p>
    <w:p w:rsidR="00CD3595" w:rsidRDefault="00CD3595" w:rsidP="00243425">
      <w:pPr>
        <w:pStyle w:val="Prrafodelista"/>
        <w:rPr>
          <w:b/>
          <w:bCs/>
          <w:sz w:val="22"/>
          <w:szCs w:val="22"/>
        </w:rPr>
      </w:pPr>
    </w:p>
    <w:p w:rsidR="00A00693" w:rsidRPr="002E626F" w:rsidRDefault="00A00693" w:rsidP="00243425">
      <w:pPr>
        <w:pStyle w:val="Prrafodelista"/>
        <w:rPr>
          <w:b/>
          <w:bCs/>
          <w:sz w:val="22"/>
          <w:szCs w:val="22"/>
        </w:rPr>
      </w:pPr>
    </w:p>
    <w:p w:rsidR="00A43FFD" w:rsidRPr="00A43FFD" w:rsidRDefault="00A43FFD" w:rsidP="00A43FFD">
      <w:pPr>
        <w:spacing w:after="200"/>
        <w:jc w:val="center"/>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ÍNDICE</w:t>
      </w:r>
    </w:p>
    <w:p w:rsidR="00A43FFD" w:rsidRPr="00A43FFD" w:rsidRDefault="00A43FFD" w:rsidP="00A43FFD">
      <w:pPr>
        <w:spacing w:after="200" w:line="216" w:lineRule="auto"/>
        <w:ind w:right="707"/>
        <w:jc w:val="right"/>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Página</w:t>
      </w:r>
    </w:p>
    <w:p w:rsidR="00A43FFD" w:rsidRPr="00A43FFD" w:rsidRDefault="00A43FFD" w:rsidP="00A43FFD">
      <w:pPr>
        <w:tabs>
          <w:tab w:val="center" w:pos="8080"/>
        </w:tabs>
        <w:spacing w:after="200" w:line="216" w:lineRule="auto"/>
        <w:jc w:val="both"/>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BALANCE DE SITUACIÓN</w:t>
      </w:r>
      <w:r w:rsidRPr="00A43FFD">
        <w:rPr>
          <w:rFonts w:ascii="NewBaskerville" w:eastAsiaTheme="minorHAnsi" w:hAnsi="NewBaskerville" w:cstheme="minorBidi"/>
          <w:sz w:val="22"/>
          <w:szCs w:val="22"/>
          <w:lang w:eastAsia="en-US"/>
        </w:rPr>
        <w:tab/>
        <w:t>3</w:t>
      </w:r>
    </w:p>
    <w:p w:rsidR="00A43FFD" w:rsidRPr="00A43FFD" w:rsidRDefault="00A43FFD" w:rsidP="00A43FFD">
      <w:pPr>
        <w:tabs>
          <w:tab w:val="center" w:pos="8080"/>
        </w:tabs>
        <w:spacing w:after="200" w:line="216" w:lineRule="auto"/>
        <w:jc w:val="both"/>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CUENTA DE PÉRDIDAS Y GANANCIAS</w:t>
      </w:r>
      <w:r w:rsidRPr="00A43FFD">
        <w:rPr>
          <w:rFonts w:ascii="NewBaskerville" w:eastAsiaTheme="minorHAnsi" w:hAnsi="NewBaskerville" w:cstheme="minorBidi"/>
          <w:sz w:val="22"/>
          <w:szCs w:val="22"/>
          <w:lang w:eastAsia="en-US"/>
        </w:rPr>
        <w:tab/>
        <w:t>5</w:t>
      </w:r>
    </w:p>
    <w:p w:rsidR="00A43FFD" w:rsidRPr="00A43FFD" w:rsidRDefault="00A43FFD" w:rsidP="00A43FFD">
      <w:pPr>
        <w:tabs>
          <w:tab w:val="center" w:pos="8080"/>
        </w:tabs>
        <w:spacing w:after="200" w:line="216" w:lineRule="auto"/>
        <w:jc w:val="both"/>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ESTADO DE CAMBIOS EN EL PATRIMONIO NETO</w:t>
      </w:r>
      <w:r w:rsidRPr="00A43FFD">
        <w:rPr>
          <w:rFonts w:ascii="NewBaskerville" w:eastAsiaTheme="minorHAnsi" w:hAnsi="NewBaskerville" w:cstheme="minorBidi"/>
          <w:sz w:val="22"/>
          <w:szCs w:val="22"/>
          <w:lang w:eastAsia="en-US"/>
        </w:rPr>
        <w:tab/>
        <w:t>7</w:t>
      </w:r>
    </w:p>
    <w:p w:rsidR="00A43FFD" w:rsidRPr="00A43FFD" w:rsidRDefault="00A43FFD" w:rsidP="00A43FFD">
      <w:pPr>
        <w:tabs>
          <w:tab w:val="center" w:pos="8080"/>
        </w:tabs>
        <w:spacing w:after="200" w:line="216" w:lineRule="auto"/>
        <w:jc w:val="both"/>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ESTADO DE FLUJOS DE EFECTIVO</w:t>
      </w:r>
      <w:r w:rsidRPr="00A43FFD">
        <w:rPr>
          <w:rFonts w:ascii="NewBaskerville" w:eastAsiaTheme="minorHAnsi" w:hAnsi="NewBaskerville" w:cstheme="minorBidi"/>
          <w:sz w:val="22"/>
          <w:szCs w:val="22"/>
          <w:lang w:eastAsia="en-US"/>
        </w:rPr>
        <w:tab/>
        <w:t>9</w:t>
      </w:r>
    </w:p>
    <w:p w:rsidR="00A43FFD" w:rsidRPr="00A43FFD" w:rsidRDefault="00A43FFD" w:rsidP="00661DE8">
      <w:pPr>
        <w:tabs>
          <w:tab w:val="center" w:pos="8080"/>
        </w:tabs>
        <w:spacing w:after="200" w:line="192" w:lineRule="auto"/>
        <w:jc w:val="both"/>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MEMORIA</w:t>
      </w:r>
    </w:p>
    <w:p w:rsidR="00A43FFD" w:rsidRPr="00A43FFD" w:rsidRDefault="005318A5"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Pr>
          <w:rFonts w:ascii="NewBaskerville" w:eastAsiaTheme="minorHAnsi" w:hAnsi="NewBaskerville" w:cstheme="minorBidi"/>
          <w:sz w:val="22"/>
          <w:szCs w:val="22"/>
          <w:lang w:eastAsia="en-US"/>
        </w:rPr>
        <w:t>ACTIVIDAD DE LA ENTIDAD</w:t>
      </w:r>
      <w:r>
        <w:rPr>
          <w:rFonts w:ascii="NewBaskerville" w:eastAsiaTheme="minorHAnsi" w:hAnsi="NewBaskerville" w:cstheme="minorBidi"/>
          <w:sz w:val="22"/>
          <w:szCs w:val="22"/>
          <w:lang w:eastAsia="en-US"/>
        </w:rPr>
        <w:tab/>
        <w:t>11</w:t>
      </w:r>
    </w:p>
    <w:p w:rsidR="00A43FFD" w:rsidRPr="00A43FFD" w:rsidRDefault="00A43FFD" w:rsidP="00661DE8">
      <w:pPr>
        <w:tabs>
          <w:tab w:val="center" w:pos="8080"/>
        </w:tabs>
        <w:spacing w:before="120" w:after="120" w:line="192" w:lineRule="auto"/>
        <w:ind w:left="720"/>
        <w:contextualSpacing/>
        <w:jc w:val="both"/>
        <w:rPr>
          <w:rFonts w:ascii="NewBaskerville" w:eastAsiaTheme="minorHAnsi" w:hAnsi="NewBaskerville" w:cstheme="minorBidi"/>
          <w:sz w:val="22"/>
          <w:szCs w:val="22"/>
          <w:lang w:eastAsia="en-US"/>
        </w:rPr>
      </w:pPr>
    </w:p>
    <w:p w:rsidR="00A43FFD" w:rsidRPr="00A43FFD" w:rsidRDefault="00A43FFD"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BASES DE PRESEN</w:t>
      </w:r>
      <w:r w:rsidR="005318A5">
        <w:rPr>
          <w:rFonts w:ascii="NewBaskerville" w:eastAsiaTheme="minorHAnsi" w:hAnsi="NewBaskerville" w:cstheme="minorBidi"/>
          <w:sz w:val="22"/>
          <w:szCs w:val="22"/>
          <w:lang w:eastAsia="en-US"/>
        </w:rPr>
        <w:t>TACIÓN DE LAS CUENTAS ANUALES</w:t>
      </w:r>
      <w:r w:rsidR="005318A5">
        <w:rPr>
          <w:rFonts w:ascii="NewBaskerville" w:eastAsiaTheme="minorHAnsi" w:hAnsi="NewBaskerville" w:cstheme="minorBidi"/>
          <w:sz w:val="22"/>
          <w:szCs w:val="22"/>
          <w:lang w:eastAsia="en-US"/>
        </w:rPr>
        <w:tab/>
        <w:t>12</w:t>
      </w:r>
    </w:p>
    <w:p w:rsidR="00A43FFD" w:rsidRPr="00A43FFD" w:rsidRDefault="00A43FFD" w:rsidP="00661DE8">
      <w:pPr>
        <w:tabs>
          <w:tab w:val="center" w:pos="8080"/>
        </w:tabs>
        <w:spacing w:before="120" w:after="120" w:line="192" w:lineRule="auto"/>
        <w:ind w:left="720"/>
        <w:contextualSpacing/>
        <w:jc w:val="both"/>
        <w:rPr>
          <w:rFonts w:ascii="NewBaskerville" w:eastAsiaTheme="minorHAnsi" w:hAnsi="NewBaskerville" w:cstheme="minorBidi"/>
          <w:sz w:val="22"/>
          <w:szCs w:val="22"/>
          <w:lang w:eastAsia="en-US"/>
        </w:rPr>
      </w:pPr>
    </w:p>
    <w:p w:rsidR="00A43FFD" w:rsidRPr="00A43FFD" w:rsidRDefault="00A50580"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Pr>
          <w:rFonts w:ascii="NewBaskerville" w:eastAsiaTheme="minorHAnsi" w:hAnsi="NewBaskerville" w:cstheme="minorBidi"/>
          <w:sz w:val="22"/>
          <w:szCs w:val="22"/>
          <w:lang w:eastAsia="en-US"/>
        </w:rPr>
        <w:t>APLICACIÓN DE RESULTADOS</w:t>
      </w:r>
      <w:r>
        <w:rPr>
          <w:rFonts w:ascii="NewBaskerville" w:eastAsiaTheme="minorHAnsi" w:hAnsi="NewBaskerville" w:cstheme="minorBidi"/>
          <w:sz w:val="22"/>
          <w:szCs w:val="22"/>
          <w:lang w:eastAsia="en-US"/>
        </w:rPr>
        <w:tab/>
        <w:t>18</w:t>
      </w:r>
    </w:p>
    <w:p w:rsidR="00A43FFD" w:rsidRPr="00A43FFD" w:rsidRDefault="00A43FFD" w:rsidP="00661DE8">
      <w:pPr>
        <w:tabs>
          <w:tab w:val="center" w:pos="8080"/>
        </w:tabs>
        <w:spacing w:before="120" w:after="120" w:line="192" w:lineRule="auto"/>
        <w:ind w:left="720"/>
        <w:contextualSpacing/>
        <w:jc w:val="both"/>
        <w:rPr>
          <w:rFonts w:ascii="NewBaskerville" w:eastAsiaTheme="minorHAnsi" w:hAnsi="NewBaskerville" w:cstheme="minorBidi"/>
          <w:sz w:val="22"/>
          <w:szCs w:val="22"/>
          <w:lang w:eastAsia="en-US"/>
        </w:rPr>
      </w:pPr>
    </w:p>
    <w:p w:rsidR="00A43FFD" w:rsidRPr="00A43FFD" w:rsidRDefault="00A43FFD"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NOR</w:t>
      </w:r>
      <w:r w:rsidR="00A50580">
        <w:rPr>
          <w:rFonts w:ascii="NewBaskerville" w:eastAsiaTheme="minorHAnsi" w:hAnsi="NewBaskerville" w:cstheme="minorBidi"/>
          <w:sz w:val="22"/>
          <w:szCs w:val="22"/>
          <w:lang w:eastAsia="en-US"/>
        </w:rPr>
        <w:t>MAS DE REGISTRO Y  VALORACIÓN</w:t>
      </w:r>
      <w:r w:rsidR="00A50580">
        <w:rPr>
          <w:rFonts w:ascii="NewBaskerville" w:eastAsiaTheme="minorHAnsi" w:hAnsi="NewBaskerville" w:cstheme="minorBidi"/>
          <w:sz w:val="22"/>
          <w:szCs w:val="22"/>
          <w:lang w:eastAsia="en-US"/>
        </w:rPr>
        <w:tab/>
        <w:t>18</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A43FFD" w:rsidRPr="00A43FFD" w:rsidRDefault="00A43FFD"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 xml:space="preserve">INMOVILIZADO </w:t>
      </w:r>
      <w:r w:rsidR="00A50580">
        <w:rPr>
          <w:rFonts w:ascii="NewBaskerville" w:eastAsiaTheme="minorHAnsi" w:hAnsi="NewBaskerville" w:cstheme="minorBidi"/>
          <w:sz w:val="22"/>
          <w:szCs w:val="22"/>
          <w:lang w:eastAsia="en-US"/>
        </w:rPr>
        <w:t>INTANGIBLE</w:t>
      </w:r>
      <w:r w:rsidR="00A50580">
        <w:rPr>
          <w:rFonts w:ascii="NewBaskerville" w:eastAsiaTheme="minorHAnsi" w:hAnsi="NewBaskerville" w:cstheme="minorBidi"/>
          <w:sz w:val="22"/>
          <w:szCs w:val="22"/>
          <w:lang w:eastAsia="en-US"/>
        </w:rPr>
        <w:tab/>
        <w:t>31</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A43FFD" w:rsidRPr="00A43FFD" w:rsidRDefault="00A50580"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Pr>
          <w:rFonts w:ascii="NewBaskerville" w:eastAsiaTheme="minorHAnsi" w:hAnsi="NewBaskerville" w:cstheme="minorBidi"/>
          <w:sz w:val="22"/>
          <w:szCs w:val="22"/>
          <w:lang w:eastAsia="en-US"/>
        </w:rPr>
        <w:t>INMOVILIZADO MATERIAL</w:t>
      </w:r>
      <w:r>
        <w:rPr>
          <w:rFonts w:ascii="NewBaskerville" w:eastAsiaTheme="minorHAnsi" w:hAnsi="NewBaskerville" w:cstheme="minorBidi"/>
          <w:sz w:val="22"/>
          <w:szCs w:val="22"/>
          <w:lang w:eastAsia="en-US"/>
        </w:rPr>
        <w:tab/>
        <w:t>33</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A43FFD" w:rsidRPr="00A43FFD" w:rsidRDefault="00A50580"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Pr>
          <w:rFonts w:ascii="NewBaskerville" w:eastAsiaTheme="minorHAnsi" w:hAnsi="NewBaskerville" w:cstheme="minorBidi"/>
          <w:sz w:val="22"/>
          <w:szCs w:val="22"/>
          <w:lang w:eastAsia="en-US"/>
        </w:rPr>
        <w:t>INVERSIONES INMOBILIARIAS</w:t>
      </w:r>
      <w:r>
        <w:rPr>
          <w:rFonts w:ascii="NewBaskerville" w:eastAsiaTheme="minorHAnsi" w:hAnsi="NewBaskerville" w:cstheme="minorBidi"/>
          <w:sz w:val="22"/>
          <w:szCs w:val="22"/>
          <w:lang w:eastAsia="en-US"/>
        </w:rPr>
        <w:tab/>
        <w:t>43</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A43FFD" w:rsidRPr="00A43FFD" w:rsidRDefault="00A50580"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Pr>
          <w:rFonts w:ascii="NewBaskerville" w:eastAsiaTheme="minorHAnsi" w:hAnsi="NewBaskerville" w:cstheme="minorBidi"/>
          <w:sz w:val="22"/>
          <w:szCs w:val="22"/>
          <w:lang w:eastAsia="en-US"/>
        </w:rPr>
        <w:t>ARRENDAMIENTOS OPERATIVOS</w:t>
      </w:r>
      <w:r>
        <w:rPr>
          <w:rFonts w:ascii="NewBaskerville" w:eastAsiaTheme="minorHAnsi" w:hAnsi="NewBaskerville" w:cstheme="minorBidi"/>
          <w:sz w:val="22"/>
          <w:szCs w:val="22"/>
          <w:lang w:eastAsia="en-US"/>
        </w:rPr>
        <w:tab/>
        <w:t>47</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A43FFD" w:rsidRPr="00A43FFD" w:rsidRDefault="00A43FFD"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INSTRUMENTOS FINANCIERO</w:t>
      </w:r>
      <w:r w:rsidR="00866F3D">
        <w:rPr>
          <w:rFonts w:ascii="NewBaskerville" w:eastAsiaTheme="minorHAnsi" w:hAnsi="NewBaskerville" w:cstheme="minorBidi"/>
          <w:sz w:val="22"/>
          <w:szCs w:val="22"/>
          <w:lang w:eastAsia="en-US"/>
        </w:rPr>
        <w:t>S</w:t>
      </w:r>
      <w:r w:rsidR="00A50580">
        <w:rPr>
          <w:rFonts w:ascii="NewBaskerville" w:eastAsiaTheme="minorHAnsi" w:hAnsi="NewBaskerville" w:cstheme="minorBidi"/>
          <w:sz w:val="22"/>
          <w:szCs w:val="22"/>
          <w:lang w:eastAsia="en-US"/>
        </w:rPr>
        <w:tab/>
        <w:t>55</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A43FFD" w:rsidRPr="00A43FFD" w:rsidRDefault="00A50580"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Pr>
          <w:rFonts w:ascii="NewBaskerville" w:eastAsiaTheme="minorHAnsi" w:hAnsi="NewBaskerville" w:cstheme="minorBidi"/>
          <w:sz w:val="22"/>
          <w:szCs w:val="22"/>
          <w:lang w:eastAsia="en-US"/>
        </w:rPr>
        <w:t>PROVISIONES Y CONTINGENCIAS</w:t>
      </w:r>
      <w:r>
        <w:rPr>
          <w:rFonts w:ascii="NewBaskerville" w:eastAsiaTheme="minorHAnsi" w:hAnsi="NewBaskerville" w:cstheme="minorBidi"/>
          <w:sz w:val="22"/>
          <w:szCs w:val="22"/>
          <w:lang w:eastAsia="en-US"/>
        </w:rPr>
        <w:tab/>
        <w:t>64</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A43FFD" w:rsidRPr="00A43FFD" w:rsidRDefault="00A43FFD"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SUBVE</w:t>
      </w:r>
      <w:r w:rsidR="00A50580">
        <w:rPr>
          <w:rFonts w:ascii="NewBaskerville" w:eastAsiaTheme="minorHAnsi" w:hAnsi="NewBaskerville" w:cstheme="minorBidi"/>
          <w:sz w:val="22"/>
          <w:szCs w:val="22"/>
          <w:lang w:eastAsia="en-US"/>
        </w:rPr>
        <w:t>NCIONES, DONACIONES Y LEGADOS</w:t>
      </w:r>
      <w:r w:rsidR="00A50580">
        <w:rPr>
          <w:rFonts w:ascii="NewBaskerville" w:eastAsiaTheme="minorHAnsi" w:hAnsi="NewBaskerville" w:cstheme="minorBidi"/>
          <w:sz w:val="22"/>
          <w:szCs w:val="22"/>
          <w:lang w:eastAsia="en-US"/>
        </w:rPr>
        <w:tab/>
        <w:t>68</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A43FFD" w:rsidRPr="00A43FFD" w:rsidRDefault="00A50580"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Pr>
          <w:rFonts w:ascii="NewBaskerville" w:eastAsiaTheme="minorHAnsi" w:hAnsi="NewBaskerville" w:cstheme="minorBidi"/>
          <w:sz w:val="22"/>
          <w:szCs w:val="22"/>
          <w:lang w:eastAsia="en-US"/>
        </w:rPr>
        <w:t>SITUACIÓN FISCAL</w:t>
      </w:r>
      <w:r>
        <w:rPr>
          <w:rFonts w:ascii="NewBaskerville" w:eastAsiaTheme="minorHAnsi" w:hAnsi="NewBaskerville" w:cstheme="minorBidi"/>
          <w:sz w:val="22"/>
          <w:szCs w:val="22"/>
          <w:lang w:eastAsia="en-US"/>
        </w:rPr>
        <w:tab/>
        <w:t>72</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A43FFD" w:rsidRPr="00A43FFD" w:rsidRDefault="00A43FFD"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 xml:space="preserve">INFORMACIÓN SOBRE EL MEDIO </w:t>
      </w:r>
      <w:r w:rsidR="00A50580">
        <w:rPr>
          <w:rFonts w:ascii="NewBaskerville" w:eastAsiaTheme="minorHAnsi" w:hAnsi="NewBaskerville" w:cstheme="minorBidi"/>
          <w:sz w:val="22"/>
          <w:szCs w:val="22"/>
          <w:lang w:eastAsia="en-US"/>
        </w:rPr>
        <w:t>AMBIENTE</w:t>
      </w:r>
      <w:r w:rsidR="00A50580">
        <w:rPr>
          <w:rFonts w:ascii="NewBaskerville" w:eastAsiaTheme="minorHAnsi" w:hAnsi="NewBaskerville" w:cstheme="minorBidi"/>
          <w:sz w:val="22"/>
          <w:szCs w:val="22"/>
          <w:lang w:eastAsia="en-US"/>
        </w:rPr>
        <w:tab/>
        <w:t>91</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A43FFD" w:rsidRPr="00A43FFD" w:rsidRDefault="00A50580"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Pr>
          <w:rFonts w:ascii="NewBaskerville" w:eastAsiaTheme="minorHAnsi" w:hAnsi="NewBaskerville" w:cstheme="minorBidi"/>
          <w:sz w:val="22"/>
          <w:szCs w:val="22"/>
          <w:lang w:eastAsia="en-US"/>
        </w:rPr>
        <w:t>INGRESOS Y GASTOS</w:t>
      </w:r>
      <w:r>
        <w:rPr>
          <w:rFonts w:ascii="NewBaskerville" w:eastAsiaTheme="minorHAnsi" w:hAnsi="NewBaskerville" w:cstheme="minorBidi"/>
          <w:sz w:val="22"/>
          <w:szCs w:val="22"/>
          <w:lang w:eastAsia="en-US"/>
        </w:rPr>
        <w:tab/>
        <w:t>92</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A43FFD" w:rsidRPr="00A43FFD" w:rsidRDefault="00A43FFD"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sidRPr="00A43FFD">
        <w:rPr>
          <w:rFonts w:ascii="NewBaskerville" w:eastAsiaTheme="minorHAnsi" w:hAnsi="NewBaskerville" w:cstheme="minorBidi"/>
          <w:sz w:val="22"/>
          <w:szCs w:val="22"/>
          <w:lang w:eastAsia="en-US"/>
        </w:rPr>
        <w:t>DETALLE DE LA</w:t>
      </w:r>
      <w:r w:rsidR="00A50580">
        <w:rPr>
          <w:rFonts w:ascii="NewBaskerville" w:eastAsiaTheme="minorHAnsi" w:hAnsi="NewBaskerville" w:cstheme="minorBidi"/>
          <w:sz w:val="22"/>
          <w:szCs w:val="22"/>
          <w:lang w:eastAsia="en-US"/>
        </w:rPr>
        <w:t xml:space="preserve"> CIFRA DE NEGOCIO POR PUERTOS</w:t>
      </w:r>
      <w:r w:rsidR="00A50580">
        <w:rPr>
          <w:rFonts w:ascii="NewBaskerville" w:eastAsiaTheme="minorHAnsi" w:hAnsi="NewBaskerville" w:cstheme="minorBidi"/>
          <w:sz w:val="22"/>
          <w:szCs w:val="22"/>
          <w:lang w:eastAsia="en-US"/>
        </w:rPr>
        <w:tab/>
        <w:t>95</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A43FFD" w:rsidRPr="00A43FFD" w:rsidRDefault="00A50580" w:rsidP="00661DE8">
      <w:pPr>
        <w:numPr>
          <w:ilvl w:val="0"/>
          <w:numId w:val="42"/>
        </w:numPr>
        <w:tabs>
          <w:tab w:val="center" w:pos="8080"/>
        </w:tabs>
        <w:spacing w:before="120" w:after="120" w:line="192" w:lineRule="auto"/>
        <w:contextualSpacing/>
        <w:jc w:val="both"/>
        <w:rPr>
          <w:rFonts w:ascii="NewBaskerville" w:eastAsiaTheme="minorHAnsi" w:hAnsi="NewBaskerville" w:cstheme="minorBidi"/>
          <w:sz w:val="22"/>
          <w:szCs w:val="22"/>
          <w:lang w:eastAsia="en-US"/>
        </w:rPr>
      </w:pPr>
      <w:r>
        <w:rPr>
          <w:rFonts w:ascii="NewBaskerville" w:eastAsiaTheme="minorHAnsi" w:hAnsi="NewBaskerville" w:cstheme="minorBidi"/>
          <w:sz w:val="22"/>
          <w:szCs w:val="22"/>
          <w:lang w:eastAsia="en-US"/>
        </w:rPr>
        <w:t>NÚMERO DE EMPLEADOS</w:t>
      </w:r>
      <w:r>
        <w:rPr>
          <w:rFonts w:ascii="NewBaskerville" w:eastAsiaTheme="minorHAnsi" w:hAnsi="NewBaskerville" w:cstheme="minorBidi"/>
          <w:sz w:val="22"/>
          <w:szCs w:val="22"/>
          <w:lang w:eastAsia="en-US"/>
        </w:rPr>
        <w:tab/>
        <w:t>96</w:t>
      </w:r>
    </w:p>
    <w:p w:rsidR="00A43FFD" w:rsidRPr="00A43FFD" w:rsidRDefault="00A43FFD" w:rsidP="00661DE8">
      <w:pPr>
        <w:spacing w:before="120" w:after="120" w:line="192" w:lineRule="auto"/>
        <w:ind w:left="720"/>
        <w:contextualSpacing/>
        <w:rPr>
          <w:rFonts w:ascii="NewBaskerville" w:eastAsiaTheme="minorHAnsi" w:hAnsi="NewBaskerville" w:cstheme="minorBidi"/>
          <w:sz w:val="22"/>
          <w:szCs w:val="22"/>
          <w:lang w:eastAsia="en-US"/>
        </w:rPr>
      </w:pPr>
    </w:p>
    <w:p w:rsidR="002E626F" w:rsidRPr="00A43FFD" w:rsidRDefault="00A50580" w:rsidP="00661DE8">
      <w:pPr>
        <w:numPr>
          <w:ilvl w:val="0"/>
          <w:numId w:val="42"/>
        </w:numPr>
        <w:tabs>
          <w:tab w:val="center" w:pos="8080"/>
        </w:tabs>
        <w:spacing w:before="120" w:after="120" w:line="192" w:lineRule="auto"/>
        <w:ind w:right="282"/>
        <w:contextualSpacing/>
        <w:jc w:val="both"/>
        <w:rPr>
          <w:b/>
          <w:bCs/>
          <w:sz w:val="22"/>
          <w:szCs w:val="22"/>
        </w:rPr>
      </w:pPr>
      <w:r>
        <w:rPr>
          <w:rFonts w:ascii="NewBaskerville" w:eastAsiaTheme="minorHAnsi" w:hAnsi="NewBaskerville" w:cstheme="minorBidi"/>
          <w:sz w:val="22"/>
          <w:szCs w:val="22"/>
          <w:lang w:eastAsia="en-US"/>
        </w:rPr>
        <w:t>REMUNERACIÓN DE CONSEJEROS</w:t>
      </w:r>
      <w:r>
        <w:rPr>
          <w:rFonts w:ascii="NewBaskerville" w:eastAsiaTheme="minorHAnsi" w:hAnsi="NewBaskerville" w:cstheme="minorBidi"/>
          <w:sz w:val="22"/>
          <w:szCs w:val="22"/>
          <w:lang w:eastAsia="en-US"/>
        </w:rPr>
        <w:tab/>
        <w:t>97</w:t>
      </w:r>
    </w:p>
    <w:p w:rsidR="00A43FFD" w:rsidRPr="00661DE8" w:rsidRDefault="00A43FFD" w:rsidP="00661DE8">
      <w:pPr>
        <w:tabs>
          <w:tab w:val="center" w:pos="8080"/>
        </w:tabs>
        <w:spacing w:before="120" w:after="120" w:line="192" w:lineRule="auto"/>
        <w:ind w:right="282"/>
        <w:contextualSpacing/>
        <w:rPr>
          <w:rFonts w:ascii="NewBaskerville" w:hAnsi="NewBaskerville"/>
          <w:bCs/>
          <w:sz w:val="22"/>
          <w:szCs w:val="22"/>
        </w:rPr>
      </w:pPr>
    </w:p>
    <w:p w:rsidR="00661DE8" w:rsidRDefault="00A43FFD" w:rsidP="00661DE8">
      <w:pPr>
        <w:numPr>
          <w:ilvl w:val="0"/>
          <w:numId w:val="42"/>
        </w:numPr>
        <w:tabs>
          <w:tab w:val="center" w:pos="8080"/>
        </w:tabs>
        <w:spacing w:before="120" w:after="120" w:line="192" w:lineRule="auto"/>
        <w:ind w:right="282"/>
        <w:contextualSpacing/>
        <w:jc w:val="both"/>
        <w:rPr>
          <w:rFonts w:ascii="NewBaskerville" w:hAnsi="NewBaskerville"/>
          <w:bCs/>
          <w:sz w:val="22"/>
          <w:szCs w:val="22"/>
        </w:rPr>
      </w:pPr>
      <w:r w:rsidRPr="00661DE8">
        <w:rPr>
          <w:rFonts w:ascii="NewBaskerville" w:hAnsi="NewBaskerville"/>
          <w:bCs/>
          <w:sz w:val="22"/>
          <w:szCs w:val="22"/>
        </w:rPr>
        <w:t>DE</w:t>
      </w:r>
      <w:r w:rsidR="00A50580">
        <w:rPr>
          <w:rFonts w:ascii="NewBaskerville" w:hAnsi="NewBaskerville"/>
          <w:bCs/>
          <w:sz w:val="22"/>
          <w:szCs w:val="22"/>
        </w:rPr>
        <w:t>SGLOSE DE LA LEY DE MOROSIDAD</w:t>
      </w:r>
      <w:r w:rsidR="00A50580">
        <w:rPr>
          <w:rFonts w:ascii="NewBaskerville" w:hAnsi="NewBaskerville"/>
          <w:bCs/>
          <w:sz w:val="22"/>
          <w:szCs w:val="22"/>
        </w:rPr>
        <w:tab/>
        <w:t>97</w:t>
      </w:r>
    </w:p>
    <w:p w:rsidR="00661DE8" w:rsidRPr="00661DE8" w:rsidRDefault="00661DE8" w:rsidP="00661DE8">
      <w:pPr>
        <w:tabs>
          <w:tab w:val="center" w:pos="8080"/>
        </w:tabs>
        <w:spacing w:before="120" w:after="120" w:line="192" w:lineRule="auto"/>
        <w:ind w:left="720" w:right="282"/>
        <w:contextualSpacing/>
        <w:jc w:val="both"/>
        <w:rPr>
          <w:rFonts w:ascii="NewBaskerville" w:hAnsi="NewBaskerville"/>
          <w:bCs/>
          <w:sz w:val="22"/>
          <w:szCs w:val="22"/>
        </w:rPr>
      </w:pPr>
    </w:p>
    <w:p w:rsidR="00661DE8" w:rsidRDefault="00A50580" w:rsidP="00661DE8">
      <w:pPr>
        <w:numPr>
          <w:ilvl w:val="0"/>
          <w:numId w:val="42"/>
        </w:numPr>
        <w:tabs>
          <w:tab w:val="center" w:pos="8080"/>
        </w:tabs>
        <w:spacing w:before="120" w:after="120" w:line="192" w:lineRule="auto"/>
        <w:ind w:right="282"/>
        <w:contextualSpacing/>
        <w:jc w:val="both"/>
        <w:rPr>
          <w:rFonts w:ascii="NewBaskerville" w:hAnsi="NewBaskerville"/>
          <w:bCs/>
          <w:sz w:val="22"/>
          <w:szCs w:val="22"/>
        </w:rPr>
      </w:pPr>
      <w:r>
        <w:rPr>
          <w:rFonts w:ascii="NewBaskerville" w:hAnsi="NewBaskerville"/>
          <w:bCs/>
          <w:sz w:val="22"/>
          <w:szCs w:val="22"/>
        </w:rPr>
        <w:t>HECHOS POSTERIORES AL CIERRE</w:t>
      </w:r>
      <w:r>
        <w:rPr>
          <w:rFonts w:ascii="NewBaskerville" w:hAnsi="NewBaskerville"/>
          <w:bCs/>
          <w:sz w:val="22"/>
          <w:szCs w:val="22"/>
        </w:rPr>
        <w:tab/>
        <w:t>97</w:t>
      </w:r>
    </w:p>
    <w:p w:rsidR="00661DE8" w:rsidRDefault="00661DE8" w:rsidP="00661DE8">
      <w:pPr>
        <w:pStyle w:val="Prrafodelista"/>
        <w:rPr>
          <w:rFonts w:ascii="NewBaskerville" w:hAnsi="NewBaskerville"/>
          <w:bCs/>
          <w:sz w:val="22"/>
          <w:szCs w:val="22"/>
        </w:rPr>
      </w:pPr>
    </w:p>
    <w:p w:rsidR="00A43FFD" w:rsidRDefault="00A43FFD" w:rsidP="00A43FFD">
      <w:pPr>
        <w:pStyle w:val="Prrafodelista"/>
        <w:rPr>
          <w:b/>
          <w:bCs/>
          <w:sz w:val="22"/>
          <w:szCs w:val="22"/>
        </w:rPr>
      </w:pPr>
    </w:p>
    <w:p w:rsidR="00661DE8" w:rsidRDefault="00661DE8" w:rsidP="00A43FFD">
      <w:pPr>
        <w:pStyle w:val="Prrafodelista"/>
        <w:rPr>
          <w:b/>
          <w:bCs/>
          <w:sz w:val="22"/>
          <w:szCs w:val="22"/>
        </w:rPr>
      </w:pPr>
    </w:p>
    <w:tbl>
      <w:tblPr>
        <w:tblW w:w="9524" w:type="dxa"/>
        <w:tblInd w:w="70" w:type="dxa"/>
        <w:tblCellMar>
          <w:left w:w="70" w:type="dxa"/>
          <w:right w:w="70" w:type="dxa"/>
        </w:tblCellMar>
        <w:tblLook w:val="04A0" w:firstRow="1" w:lastRow="0" w:firstColumn="1" w:lastColumn="0" w:noHBand="0" w:noVBand="1"/>
      </w:tblPr>
      <w:tblGrid>
        <w:gridCol w:w="5096"/>
        <w:gridCol w:w="1676"/>
        <w:gridCol w:w="180"/>
        <w:gridCol w:w="1496"/>
        <w:gridCol w:w="360"/>
        <w:gridCol w:w="356"/>
        <w:gridCol w:w="360"/>
      </w:tblGrid>
      <w:tr w:rsidR="00B41599" w:rsidRPr="00B41599" w:rsidTr="00D702F3">
        <w:trPr>
          <w:gridAfter w:val="1"/>
          <w:wAfter w:w="360" w:type="dxa"/>
          <w:trHeight w:val="300"/>
        </w:trPr>
        <w:tc>
          <w:tcPr>
            <w:tcW w:w="5096" w:type="dxa"/>
            <w:tcBorders>
              <w:top w:val="nil"/>
              <w:left w:val="nil"/>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8"/>
                <w:szCs w:val="18"/>
                <w:lang w:val="es-ES"/>
              </w:rPr>
            </w:pPr>
            <w:r w:rsidRPr="00B41599">
              <w:rPr>
                <w:rFonts w:ascii="Lucida Bright" w:hAnsi="Lucida Bright" w:cs="Calibri"/>
                <w:b/>
                <w:bCs/>
                <w:sz w:val="18"/>
                <w:szCs w:val="18"/>
                <w:lang w:val="es-ES"/>
              </w:rPr>
              <w:lastRenderedPageBreak/>
              <w:t>Balance al cierre del ejercicio 2023</w:t>
            </w:r>
          </w:p>
        </w:tc>
        <w:tc>
          <w:tcPr>
            <w:tcW w:w="1676" w:type="dxa"/>
            <w:tcBorders>
              <w:top w:val="nil"/>
              <w:left w:val="nil"/>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676" w:type="dxa"/>
            <w:gridSpan w:val="2"/>
            <w:tcBorders>
              <w:top w:val="nil"/>
              <w:left w:val="nil"/>
              <w:bottom w:val="nil"/>
              <w:right w:val="nil"/>
            </w:tcBorders>
            <w:shd w:val="clear" w:color="000000" w:fill="FFFFFF"/>
            <w:noWrap/>
            <w:vAlign w:val="center"/>
            <w:hideMark/>
          </w:tcPr>
          <w:p w:rsidR="00B41599" w:rsidRPr="00B41599" w:rsidRDefault="00B41599" w:rsidP="00B41599">
            <w:pPr>
              <w:rPr>
                <w:rFonts w:ascii="Lucida Bright" w:hAnsi="Lucida Bright" w:cs="Calibri"/>
                <w:sz w:val="18"/>
                <w:szCs w:val="18"/>
                <w:lang w:val="es-ES"/>
              </w:rPr>
            </w:pPr>
            <w:r w:rsidRPr="00B41599">
              <w:rPr>
                <w:rFonts w:ascii="Lucida Bright" w:hAnsi="Lucida Bright" w:cs="Calibri"/>
                <w:sz w:val="18"/>
                <w:szCs w:val="18"/>
                <w:lang w:val="es-ES"/>
              </w:rPr>
              <w:t>(en euros)</w:t>
            </w:r>
          </w:p>
        </w:tc>
        <w:tc>
          <w:tcPr>
            <w:tcW w:w="716" w:type="dxa"/>
            <w:gridSpan w:val="2"/>
            <w:tcBorders>
              <w:top w:val="nil"/>
              <w:left w:val="nil"/>
              <w:bottom w:val="nil"/>
              <w:right w:val="nil"/>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p>
        </w:tc>
      </w:tr>
      <w:tr w:rsidR="00B41599" w:rsidRPr="00B41599" w:rsidTr="00D702F3">
        <w:trPr>
          <w:gridAfter w:val="1"/>
          <w:wAfter w:w="360" w:type="dxa"/>
          <w:trHeight w:val="300"/>
        </w:trPr>
        <w:tc>
          <w:tcPr>
            <w:tcW w:w="509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t>ACTIVO</w:t>
            </w:r>
          </w:p>
        </w:tc>
        <w:tc>
          <w:tcPr>
            <w:tcW w:w="1676" w:type="dxa"/>
            <w:tcBorders>
              <w:top w:val="single" w:sz="4" w:space="0" w:color="auto"/>
              <w:left w:val="nil"/>
              <w:bottom w:val="single" w:sz="4" w:space="0" w:color="auto"/>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t>2023</w:t>
            </w:r>
          </w:p>
        </w:tc>
        <w:tc>
          <w:tcPr>
            <w:tcW w:w="1676" w:type="dxa"/>
            <w:gridSpan w:val="2"/>
            <w:tcBorders>
              <w:top w:val="single" w:sz="4" w:space="0" w:color="auto"/>
              <w:left w:val="nil"/>
              <w:bottom w:val="single" w:sz="4" w:space="0" w:color="auto"/>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t>2022</w:t>
            </w:r>
          </w:p>
        </w:tc>
        <w:tc>
          <w:tcPr>
            <w:tcW w:w="716" w:type="dxa"/>
            <w:gridSpan w:val="2"/>
            <w:tcBorders>
              <w:top w:val="single" w:sz="4" w:space="0" w:color="auto"/>
              <w:left w:val="nil"/>
              <w:bottom w:val="single" w:sz="4" w:space="0" w:color="auto"/>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t>Notas</w:t>
            </w:r>
          </w:p>
        </w:tc>
      </w:tr>
      <w:tr w:rsidR="00B41599" w:rsidRPr="00B41599" w:rsidTr="00D702F3">
        <w:trPr>
          <w:gridAfter w:val="1"/>
          <w:wAfter w:w="360" w:type="dxa"/>
          <w:trHeight w:val="139"/>
        </w:trPr>
        <w:tc>
          <w:tcPr>
            <w:tcW w:w="5096" w:type="dxa"/>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tcBorders>
              <w:top w:val="nil"/>
              <w:left w:val="nil"/>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gridSpan w:val="2"/>
            <w:tcBorders>
              <w:top w:val="nil"/>
              <w:left w:val="nil"/>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nil"/>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000000" w:fill="CCFFCC"/>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A) ACTIVO NO CORRIENTE</w:t>
            </w:r>
          </w:p>
        </w:tc>
        <w:tc>
          <w:tcPr>
            <w:tcW w:w="1676" w:type="dxa"/>
            <w:tcBorders>
              <w:top w:val="nil"/>
              <w:left w:val="nil"/>
              <w:bottom w:val="nil"/>
              <w:right w:val="single" w:sz="4" w:space="0" w:color="auto"/>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493.509.931,34 </w:t>
            </w:r>
          </w:p>
        </w:tc>
        <w:tc>
          <w:tcPr>
            <w:tcW w:w="1676" w:type="dxa"/>
            <w:gridSpan w:val="2"/>
            <w:tcBorders>
              <w:top w:val="nil"/>
              <w:left w:val="nil"/>
              <w:bottom w:val="nil"/>
              <w:right w:val="single" w:sz="4" w:space="0" w:color="auto"/>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473.658.888,15 </w:t>
            </w:r>
          </w:p>
        </w:tc>
        <w:tc>
          <w:tcPr>
            <w:tcW w:w="716" w:type="dxa"/>
            <w:gridSpan w:val="2"/>
            <w:tcBorders>
              <w:top w:val="nil"/>
              <w:left w:val="nil"/>
              <w:bottom w:val="nil"/>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4"/>
                <w:szCs w:val="14"/>
                <w:lang w:val="es-ES"/>
              </w:rPr>
            </w:pPr>
            <w:r w:rsidRPr="00B41599">
              <w:rPr>
                <w:rFonts w:ascii="Lucida Bright" w:hAnsi="Lucida Bright" w:cs="Calibri"/>
                <w:b/>
                <w:bCs/>
                <w:sz w:val="14"/>
                <w:szCs w:val="14"/>
                <w:lang w:val="es-ES"/>
              </w:rPr>
              <w:t> </w:t>
            </w:r>
          </w:p>
        </w:tc>
      </w:tr>
      <w:tr w:rsidR="00B41599" w:rsidRPr="00B41599" w:rsidTr="00D702F3">
        <w:trPr>
          <w:gridAfter w:val="1"/>
          <w:wAfter w:w="360" w:type="dxa"/>
          <w:trHeight w:val="139"/>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nil"/>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 Inmovilizado intangible</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732.614,73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892.211,33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5</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1. Propiedad industrial y otro inmovilizado intangible</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2. Aplicaciones informáticas</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732.614,73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892.211,33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3. Anticipos para inmovilizaciones intangibles</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139"/>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II. Inmovilizado material</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409.482.302,86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389.453.847,53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6</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1. Terrenos y bienes naturales</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77.840.742,19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77.037.656,50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2. Construcciones</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254.990.170,48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245.555.234,41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3. Equipamientos e instalaciones técnicas</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7.668.418,86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8.555.930,90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4. Inmovilizado en curso y anticipos</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66.538.697,87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56.176.200,63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5. Otro inmovilizado</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2.444.273,46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2.128.825,09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139"/>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III. Inversiones inmobiliarias</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75.832.703,44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75.815.381,65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7</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1. Terrenos</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64.033.614,39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64.033.614,39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2. Construcciones</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11.799.089,05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11.781.767,26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139"/>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IV. Inversiones en empresas del grupo y asociadas a largo plazo</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5.419.176,45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5.520.176,46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9</w:t>
            </w:r>
            <w:r w:rsidR="00802A23">
              <w:rPr>
                <w:rFonts w:ascii="Lucida Bright" w:hAnsi="Lucida Bright" w:cs="Calibri"/>
                <w:color w:val="000000"/>
                <w:sz w:val="14"/>
                <w:szCs w:val="14"/>
                <w:lang w:val="es-ES"/>
              </w:rPr>
              <w:t>.1</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1. Instrumentos de patrimonio</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2. Créditos a empresas</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5.419.176,45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5.520.176,46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139"/>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V. Inversiones financieras a largo plazo</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1.836.202,16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1.731.954,42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9.1</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1. Instrumentos de patrimonio</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2. Créditos a terceros</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591.764,16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487.516,42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vAlign w:val="center"/>
            <w:hideMark/>
          </w:tcPr>
          <w:p w:rsidR="00B41599" w:rsidRPr="00B41599" w:rsidRDefault="00B41599" w:rsidP="00B41599">
            <w:pP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xml:space="preserve">       3. Administraciones Públicas, subvenciones oficiales pendientes de cobro</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4. Otros activos financieros</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1.244.438,00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1.244.438,00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139"/>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VI. Activos por impuesto diferido</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206.931,70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245.316,76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12</w:t>
            </w:r>
          </w:p>
        </w:tc>
      </w:tr>
      <w:tr w:rsidR="00B41599" w:rsidRPr="00B41599" w:rsidTr="00D702F3">
        <w:trPr>
          <w:gridAfter w:val="1"/>
          <w:wAfter w:w="360" w:type="dxa"/>
          <w:trHeight w:val="139"/>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VII. Deudores comerciales no corrientes</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139"/>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000000" w:fill="CCFFCC"/>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B) ACTIVO CORRIENTE</w:t>
            </w:r>
          </w:p>
        </w:tc>
        <w:tc>
          <w:tcPr>
            <w:tcW w:w="1676" w:type="dxa"/>
            <w:tcBorders>
              <w:top w:val="nil"/>
              <w:left w:val="nil"/>
              <w:bottom w:val="nil"/>
              <w:right w:val="single" w:sz="4" w:space="0" w:color="auto"/>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298.999.088,09 </w:t>
            </w:r>
          </w:p>
        </w:tc>
        <w:tc>
          <w:tcPr>
            <w:tcW w:w="1676" w:type="dxa"/>
            <w:gridSpan w:val="2"/>
            <w:tcBorders>
              <w:top w:val="nil"/>
              <w:left w:val="nil"/>
              <w:bottom w:val="nil"/>
              <w:right w:val="single" w:sz="4" w:space="0" w:color="auto"/>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268.398.708,43 </w:t>
            </w:r>
          </w:p>
        </w:tc>
        <w:tc>
          <w:tcPr>
            <w:tcW w:w="716" w:type="dxa"/>
            <w:gridSpan w:val="2"/>
            <w:tcBorders>
              <w:top w:val="nil"/>
              <w:left w:val="nil"/>
              <w:bottom w:val="nil"/>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4"/>
                <w:szCs w:val="14"/>
                <w:lang w:val="es-ES"/>
              </w:rPr>
            </w:pPr>
            <w:r w:rsidRPr="00B41599">
              <w:rPr>
                <w:rFonts w:ascii="Lucida Bright" w:hAnsi="Lucida Bright" w:cs="Calibri"/>
                <w:b/>
                <w:bCs/>
                <w:sz w:val="14"/>
                <w:szCs w:val="14"/>
                <w:lang w:val="es-ES"/>
              </w:rPr>
              <w:t> </w:t>
            </w:r>
          </w:p>
        </w:tc>
      </w:tr>
      <w:tr w:rsidR="00B41599" w:rsidRPr="00B41599" w:rsidTr="00D702F3">
        <w:trPr>
          <w:gridAfter w:val="1"/>
          <w:wAfter w:w="360" w:type="dxa"/>
          <w:trHeight w:val="139"/>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 Activos no corrientes mantenidos para la venta</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139"/>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II. Existencias</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21.387,36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23.048,32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139"/>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III. Deudores comerciales y otras cuentas a cobrar</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28.227.764,72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25.278.688,00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9.1</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1. Clientes por ventas y prestaciones de servicios</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15.713.146,85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14.037.138,48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2. Clientes y deudores, empresas del grupo y asociadas</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150.282,79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3. Deudores varios</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323.056,45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312.252,46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4. Administraciones Públicas, subvenciones oficiales pendientes de cobro</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145.968,98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45.832,69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5. Otros créditos con las Administraciones Públicas</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12.045.592,44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10.733.181,58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139"/>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IV. Inversiones en empresas del grupo y asociadas a corto plazo</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110.571,99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30.612,32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9.1</w:t>
            </w:r>
          </w:p>
        </w:tc>
      </w:tr>
      <w:tr w:rsidR="00B41599" w:rsidRPr="00B41599" w:rsidTr="00D702F3">
        <w:trPr>
          <w:gridAfter w:val="1"/>
          <w:wAfter w:w="360" w:type="dxa"/>
          <w:trHeight w:val="139"/>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V. Inversiones financieras a corto plazo</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131.695.220,44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80.058.020,48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9.1</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1. Instrumentos de patrimonio</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2. Créditos a empresas</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3. Otros activos financieros</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131.695.220,44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80.058.020,48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139"/>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VI. </w:t>
            </w:r>
            <w:proofErr w:type="spellStart"/>
            <w:r w:rsidRPr="00B41599">
              <w:rPr>
                <w:rFonts w:ascii="Lucida Bright" w:hAnsi="Lucida Bright" w:cs="Calibri"/>
                <w:b/>
                <w:bCs/>
                <w:sz w:val="14"/>
                <w:szCs w:val="14"/>
                <w:lang w:val="es-ES"/>
              </w:rPr>
              <w:t>Periodificaciones</w:t>
            </w:r>
            <w:proofErr w:type="spellEnd"/>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139"/>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VII. Efectivo y otros activos líquidos equivalentes</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138.944.143,58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163.008.339,31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1. Tesorería</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138.944.143,58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163.008.339,31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2. Otros activos líquidos equivalentes</w:t>
            </w:r>
          </w:p>
        </w:tc>
        <w:tc>
          <w:tcPr>
            <w:tcW w:w="16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167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139"/>
        </w:trPr>
        <w:tc>
          <w:tcPr>
            <w:tcW w:w="5096" w:type="dxa"/>
            <w:tcBorders>
              <w:top w:val="nil"/>
              <w:left w:val="single" w:sz="4" w:space="0" w:color="auto"/>
              <w:bottom w:val="single" w:sz="4" w:space="0" w:color="auto"/>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tcBorders>
              <w:top w:val="nil"/>
              <w:left w:val="nil"/>
              <w:bottom w:val="single" w:sz="4" w:space="0" w:color="auto"/>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gridAfter w:val="1"/>
          <w:wAfter w:w="360" w:type="dxa"/>
          <w:trHeight w:val="210"/>
        </w:trPr>
        <w:tc>
          <w:tcPr>
            <w:tcW w:w="5096" w:type="dxa"/>
            <w:tcBorders>
              <w:top w:val="nil"/>
              <w:left w:val="single" w:sz="4" w:space="0" w:color="auto"/>
              <w:bottom w:val="single" w:sz="4" w:space="0" w:color="auto"/>
              <w:right w:val="nil"/>
            </w:tcBorders>
            <w:shd w:val="clear" w:color="000000" w:fill="CCFFCC"/>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TOTAL ACTIVO (A+B)</w:t>
            </w:r>
          </w:p>
        </w:tc>
        <w:tc>
          <w:tcPr>
            <w:tcW w:w="1676" w:type="dxa"/>
            <w:tcBorders>
              <w:top w:val="nil"/>
              <w:left w:val="single" w:sz="4" w:space="0" w:color="auto"/>
              <w:bottom w:val="single" w:sz="4" w:space="0" w:color="auto"/>
              <w:right w:val="nil"/>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792.509.019,43 </w:t>
            </w:r>
          </w:p>
        </w:tc>
        <w:tc>
          <w:tcPr>
            <w:tcW w:w="1676" w:type="dxa"/>
            <w:gridSpan w:val="2"/>
            <w:tcBorders>
              <w:top w:val="nil"/>
              <w:left w:val="single" w:sz="4" w:space="0" w:color="auto"/>
              <w:bottom w:val="single" w:sz="4" w:space="0" w:color="auto"/>
              <w:right w:val="nil"/>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742.057.596,58 </w:t>
            </w:r>
          </w:p>
        </w:tc>
        <w:tc>
          <w:tcPr>
            <w:tcW w:w="716"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4"/>
                <w:szCs w:val="14"/>
                <w:lang w:val="es-ES"/>
              </w:rPr>
            </w:pPr>
            <w:r w:rsidRPr="00B41599">
              <w:rPr>
                <w:rFonts w:ascii="Lucida Bright" w:hAnsi="Lucida Bright" w:cs="Calibri"/>
                <w:b/>
                <w:bCs/>
                <w:sz w:val="14"/>
                <w:szCs w:val="14"/>
                <w:lang w:val="es-ES"/>
              </w:rPr>
              <w:t> </w:t>
            </w:r>
          </w:p>
        </w:tc>
      </w:tr>
      <w:tr w:rsidR="00B41599" w:rsidRPr="00B41599" w:rsidTr="00D702F3">
        <w:trPr>
          <w:trHeight w:val="300"/>
        </w:trPr>
        <w:tc>
          <w:tcPr>
            <w:tcW w:w="5096" w:type="dxa"/>
            <w:tcBorders>
              <w:top w:val="nil"/>
              <w:left w:val="nil"/>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8"/>
                <w:szCs w:val="18"/>
                <w:lang w:val="es-ES"/>
              </w:rPr>
            </w:pPr>
            <w:r w:rsidRPr="00B41599">
              <w:rPr>
                <w:rFonts w:ascii="Lucida Bright" w:hAnsi="Lucida Bright" w:cs="Calibri"/>
                <w:b/>
                <w:bCs/>
                <w:sz w:val="18"/>
                <w:szCs w:val="18"/>
                <w:lang w:val="es-ES"/>
              </w:rPr>
              <w:lastRenderedPageBreak/>
              <w:t>Balance al cierre del ejercicio 2023</w:t>
            </w:r>
          </w:p>
        </w:tc>
        <w:tc>
          <w:tcPr>
            <w:tcW w:w="1856" w:type="dxa"/>
            <w:gridSpan w:val="2"/>
            <w:tcBorders>
              <w:top w:val="nil"/>
              <w:left w:val="nil"/>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856" w:type="dxa"/>
            <w:gridSpan w:val="2"/>
            <w:tcBorders>
              <w:top w:val="nil"/>
              <w:left w:val="nil"/>
              <w:bottom w:val="nil"/>
              <w:right w:val="nil"/>
            </w:tcBorders>
            <w:shd w:val="clear" w:color="000000" w:fill="FFFFFF"/>
            <w:noWrap/>
            <w:vAlign w:val="center"/>
            <w:hideMark/>
          </w:tcPr>
          <w:p w:rsidR="00B41599" w:rsidRPr="00B41599" w:rsidRDefault="00B41599" w:rsidP="00B41599">
            <w:pPr>
              <w:rPr>
                <w:rFonts w:ascii="Lucida Bright" w:hAnsi="Lucida Bright" w:cs="Calibri"/>
                <w:sz w:val="18"/>
                <w:szCs w:val="18"/>
                <w:lang w:val="es-ES"/>
              </w:rPr>
            </w:pPr>
            <w:r w:rsidRPr="00B41599">
              <w:rPr>
                <w:rFonts w:ascii="Lucida Bright" w:hAnsi="Lucida Bright" w:cs="Calibri"/>
                <w:sz w:val="18"/>
                <w:szCs w:val="18"/>
                <w:lang w:val="es-ES"/>
              </w:rPr>
              <w:t>(en euros)</w:t>
            </w:r>
          </w:p>
        </w:tc>
        <w:tc>
          <w:tcPr>
            <w:tcW w:w="716" w:type="dxa"/>
            <w:gridSpan w:val="2"/>
            <w:tcBorders>
              <w:top w:val="nil"/>
              <w:left w:val="nil"/>
              <w:bottom w:val="nil"/>
              <w:right w:val="nil"/>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p>
        </w:tc>
      </w:tr>
      <w:tr w:rsidR="00B41599" w:rsidRPr="00B41599" w:rsidTr="00D702F3">
        <w:trPr>
          <w:trHeight w:val="210"/>
        </w:trPr>
        <w:tc>
          <w:tcPr>
            <w:tcW w:w="5096" w:type="dxa"/>
            <w:tcBorders>
              <w:top w:val="single" w:sz="4" w:space="0" w:color="auto"/>
              <w:left w:val="single" w:sz="4" w:space="0" w:color="auto"/>
              <w:bottom w:val="single" w:sz="4" w:space="0" w:color="auto"/>
              <w:right w:val="nil"/>
            </w:tcBorders>
            <w:shd w:val="clear" w:color="000000" w:fill="CCFFCC"/>
            <w:noWrap/>
            <w:vAlign w:val="center"/>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t>PATRIMONIO NETO Y PASIVO</w:t>
            </w:r>
          </w:p>
        </w:tc>
        <w:tc>
          <w:tcPr>
            <w:tcW w:w="1856"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t>2023</w:t>
            </w:r>
          </w:p>
        </w:tc>
        <w:tc>
          <w:tcPr>
            <w:tcW w:w="1856" w:type="dxa"/>
            <w:gridSpan w:val="2"/>
            <w:tcBorders>
              <w:top w:val="single" w:sz="4" w:space="0" w:color="auto"/>
              <w:left w:val="nil"/>
              <w:bottom w:val="single" w:sz="4" w:space="0" w:color="auto"/>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t>2022</w:t>
            </w:r>
          </w:p>
        </w:tc>
        <w:tc>
          <w:tcPr>
            <w:tcW w:w="716" w:type="dxa"/>
            <w:gridSpan w:val="2"/>
            <w:tcBorders>
              <w:top w:val="single" w:sz="4" w:space="0" w:color="auto"/>
              <w:left w:val="nil"/>
              <w:bottom w:val="single" w:sz="4" w:space="0" w:color="auto"/>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t>Notas</w:t>
            </w:r>
          </w:p>
        </w:tc>
      </w:tr>
      <w:tr w:rsidR="00B41599" w:rsidRPr="00B41599" w:rsidTr="00D702F3">
        <w:trPr>
          <w:trHeight w:val="139"/>
        </w:trPr>
        <w:tc>
          <w:tcPr>
            <w:tcW w:w="5096" w:type="dxa"/>
            <w:tcBorders>
              <w:top w:val="nil"/>
              <w:left w:val="single" w:sz="4" w:space="0" w:color="auto"/>
              <w:bottom w:val="nil"/>
              <w:right w:val="nil"/>
            </w:tcBorders>
            <w:shd w:val="clear" w:color="auto" w:fill="auto"/>
            <w:noWrap/>
            <w:vAlign w:val="bottom"/>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nil"/>
            </w:tcBorders>
            <w:shd w:val="clear" w:color="auto" w:fill="auto"/>
            <w:noWrap/>
            <w:vAlign w:val="bottom"/>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000000" w:fill="CCFFCC"/>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A) PATRIMONIO NETO</w:t>
            </w:r>
          </w:p>
        </w:tc>
        <w:tc>
          <w:tcPr>
            <w:tcW w:w="1856" w:type="dxa"/>
            <w:gridSpan w:val="2"/>
            <w:tcBorders>
              <w:top w:val="nil"/>
              <w:left w:val="single" w:sz="4" w:space="0" w:color="auto"/>
              <w:bottom w:val="nil"/>
              <w:right w:val="nil"/>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743.062.992,40 </w:t>
            </w:r>
          </w:p>
        </w:tc>
        <w:tc>
          <w:tcPr>
            <w:tcW w:w="1856" w:type="dxa"/>
            <w:gridSpan w:val="2"/>
            <w:tcBorders>
              <w:top w:val="nil"/>
              <w:left w:val="single" w:sz="4" w:space="0" w:color="auto"/>
              <w:bottom w:val="nil"/>
              <w:right w:val="nil"/>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696.030.606,45 </w:t>
            </w:r>
          </w:p>
        </w:tc>
        <w:tc>
          <w:tcPr>
            <w:tcW w:w="716" w:type="dxa"/>
            <w:gridSpan w:val="2"/>
            <w:tcBorders>
              <w:top w:val="nil"/>
              <w:left w:val="single" w:sz="4" w:space="0" w:color="auto"/>
              <w:bottom w:val="nil"/>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4"/>
                <w:szCs w:val="14"/>
                <w:lang w:val="es-ES"/>
              </w:rPr>
            </w:pPr>
            <w:r w:rsidRPr="00B41599">
              <w:rPr>
                <w:rFonts w:ascii="Lucida Bright" w:hAnsi="Lucida Bright" w:cs="Calibri"/>
                <w:b/>
                <w:bCs/>
                <w:sz w:val="14"/>
                <w:szCs w:val="14"/>
                <w:lang w:val="es-ES"/>
              </w:rPr>
              <w:t> </w:t>
            </w:r>
          </w:p>
        </w:tc>
      </w:tr>
      <w:tr w:rsidR="00B41599" w:rsidRPr="00B41599" w:rsidTr="00D702F3">
        <w:trPr>
          <w:trHeight w:val="139"/>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A-1) Fondos propios</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721.397.614,44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674.371.106,34 </w:t>
            </w:r>
          </w:p>
        </w:tc>
        <w:tc>
          <w:tcPr>
            <w:tcW w:w="71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9.4</w:t>
            </w:r>
          </w:p>
        </w:tc>
      </w:tr>
      <w:tr w:rsidR="00B41599" w:rsidRPr="00B41599" w:rsidTr="00D702F3">
        <w:trPr>
          <w:trHeight w:val="139"/>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 Patrimonio</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212.397.594,47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212.383.193,39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139"/>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II. Resultados acumulados</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461.987.912,95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429.046.806,79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139"/>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III. Resultado del ejercicio</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47.012.107,02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32.941.106,16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139"/>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A-2) Ajustes por cambios de valor</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139"/>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 Activos </w:t>
            </w:r>
            <w:proofErr w:type="spellStart"/>
            <w:r w:rsidRPr="00B41599">
              <w:rPr>
                <w:rFonts w:ascii="Lucida Bright" w:hAnsi="Lucida Bright" w:cs="Calibri"/>
                <w:b/>
                <w:bCs/>
                <w:sz w:val="14"/>
                <w:szCs w:val="14"/>
                <w:lang w:val="es-ES"/>
              </w:rPr>
              <w:t>financ</w:t>
            </w:r>
            <w:proofErr w:type="spellEnd"/>
            <w:r w:rsidRPr="00B41599">
              <w:rPr>
                <w:rFonts w:ascii="Lucida Bright" w:hAnsi="Lucida Bright" w:cs="Calibri"/>
                <w:b/>
                <w:bCs/>
                <w:sz w:val="14"/>
                <w:szCs w:val="14"/>
                <w:lang w:val="es-ES"/>
              </w:rPr>
              <w:t xml:space="preserve">. </w:t>
            </w:r>
            <w:proofErr w:type="gramStart"/>
            <w:r w:rsidRPr="00B41599">
              <w:rPr>
                <w:rFonts w:ascii="Lucida Bright" w:hAnsi="Lucida Bright" w:cs="Calibri"/>
                <w:b/>
                <w:bCs/>
                <w:sz w:val="14"/>
                <w:szCs w:val="14"/>
                <w:lang w:val="es-ES"/>
              </w:rPr>
              <w:t>a</w:t>
            </w:r>
            <w:proofErr w:type="gramEnd"/>
            <w:r w:rsidRPr="00B41599">
              <w:rPr>
                <w:rFonts w:ascii="Lucida Bright" w:hAnsi="Lucida Bright" w:cs="Calibri"/>
                <w:b/>
                <w:bCs/>
                <w:sz w:val="14"/>
                <w:szCs w:val="14"/>
                <w:lang w:val="es-ES"/>
              </w:rPr>
              <w:t xml:space="preserve"> valor razonable con cambios en el </w:t>
            </w:r>
            <w:proofErr w:type="spellStart"/>
            <w:r w:rsidRPr="00B41599">
              <w:rPr>
                <w:rFonts w:ascii="Lucida Bright" w:hAnsi="Lucida Bright" w:cs="Calibri"/>
                <w:b/>
                <w:bCs/>
                <w:sz w:val="14"/>
                <w:szCs w:val="14"/>
                <w:lang w:val="es-ES"/>
              </w:rPr>
              <w:t>patrim</w:t>
            </w:r>
            <w:proofErr w:type="spellEnd"/>
            <w:r w:rsidRPr="00B41599">
              <w:rPr>
                <w:rFonts w:ascii="Lucida Bright" w:hAnsi="Lucida Bright" w:cs="Calibri"/>
                <w:b/>
                <w:bCs/>
                <w:sz w:val="14"/>
                <w:szCs w:val="14"/>
                <w:lang w:val="es-ES"/>
              </w:rPr>
              <w:t>. neto</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139"/>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II. Operaciones de cobertura</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139"/>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III. Otros</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139"/>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A-3) Subvenciones, donaciones y legados recibidos</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21.665.377,96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21.659.500,11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11</w:t>
            </w:r>
          </w:p>
        </w:tc>
      </w:tr>
      <w:tr w:rsidR="00B41599" w:rsidRPr="00B41599" w:rsidTr="00D702F3">
        <w:trPr>
          <w:trHeight w:val="139"/>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000000" w:fill="CCFFCC"/>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B) PASIVO NO CORRIENTE</w:t>
            </w:r>
          </w:p>
        </w:tc>
        <w:tc>
          <w:tcPr>
            <w:tcW w:w="1856" w:type="dxa"/>
            <w:gridSpan w:val="2"/>
            <w:tcBorders>
              <w:top w:val="nil"/>
              <w:left w:val="single" w:sz="4" w:space="0" w:color="auto"/>
              <w:bottom w:val="nil"/>
              <w:right w:val="nil"/>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36.117.864,53 </w:t>
            </w:r>
          </w:p>
        </w:tc>
        <w:tc>
          <w:tcPr>
            <w:tcW w:w="1856" w:type="dxa"/>
            <w:gridSpan w:val="2"/>
            <w:tcBorders>
              <w:top w:val="nil"/>
              <w:left w:val="single" w:sz="4" w:space="0" w:color="auto"/>
              <w:bottom w:val="nil"/>
              <w:right w:val="nil"/>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32.916.101,97 </w:t>
            </w:r>
          </w:p>
        </w:tc>
        <w:tc>
          <w:tcPr>
            <w:tcW w:w="716" w:type="dxa"/>
            <w:gridSpan w:val="2"/>
            <w:tcBorders>
              <w:top w:val="nil"/>
              <w:left w:val="single" w:sz="4" w:space="0" w:color="auto"/>
              <w:bottom w:val="nil"/>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4"/>
                <w:szCs w:val="14"/>
                <w:lang w:val="es-ES"/>
              </w:rPr>
            </w:pPr>
            <w:r w:rsidRPr="00B41599">
              <w:rPr>
                <w:rFonts w:ascii="Lucida Bright" w:hAnsi="Lucida Bright" w:cs="Calibri"/>
                <w:b/>
                <w:bCs/>
                <w:sz w:val="14"/>
                <w:szCs w:val="14"/>
                <w:lang w:val="es-ES"/>
              </w:rPr>
              <w:t> </w:t>
            </w:r>
          </w:p>
        </w:tc>
      </w:tr>
      <w:tr w:rsidR="00B41599" w:rsidRPr="00B41599" w:rsidTr="00D702F3">
        <w:trPr>
          <w:trHeight w:val="139"/>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 Provisiones a largo plazo</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14.064.476,80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12.448.949,15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10</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1. Obligaciones por prestaciones a largo plazo al personal</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214.800,00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2. Provisión para responsabilidades</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14.064.476,80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12.234.149,15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3. Otras provisiones</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139"/>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II. Deudas a largo plazo</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15.674.119,15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14.187.093,03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9.2</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1. Deudas con entidades de crédito</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2. Proveedores de inmovilizado a largo plazo</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3. Otras</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15.674.119,15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14.187.093,03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139"/>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III. Deudas con empresas del grupo y asociadas a largo plazo</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71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b/>
                <w:bCs/>
                <w:sz w:val="14"/>
                <w:szCs w:val="14"/>
                <w:lang w:val="es-ES"/>
              </w:rPr>
            </w:pPr>
            <w:r w:rsidRPr="00B41599">
              <w:rPr>
                <w:rFonts w:ascii="Lucida Bright" w:hAnsi="Lucida Bright" w:cs="Calibri"/>
                <w:b/>
                <w:bCs/>
                <w:sz w:val="14"/>
                <w:szCs w:val="14"/>
                <w:lang w:val="es-ES"/>
              </w:rPr>
              <w:t> </w:t>
            </w:r>
          </w:p>
        </w:tc>
      </w:tr>
      <w:tr w:rsidR="00B41599" w:rsidRPr="00B41599" w:rsidTr="00D702F3">
        <w:trPr>
          <w:trHeight w:val="139"/>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IV. Pasivos por impuesto diferido</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6.379.268,58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6.280.059,79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12</w:t>
            </w:r>
          </w:p>
        </w:tc>
      </w:tr>
      <w:tr w:rsidR="00B41599" w:rsidRPr="00B41599" w:rsidTr="00D702F3">
        <w:trPr>
          <w:trHeight w:val="139"/>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V. </w:t>
            </w:r>
            <w:proofErr w:type="spellStart"/>
            <w:r w:rsidRPr="00B41599">
              <w:rPr>
                <w:rFonts w:ascii="Lucida Bright" w:hAnsi="Lucida Bright" w:cs="Calibri"/>
                <w:b/>
                <w:bCs/>
                <w:sz w:val="14"/>
                <w:szCs w:val="14"/>
                <w:lang w:val="es-ES"/>
              </w:rPr>
              <w:t>Periodificaciones</w:t>
            </w:r>
            <w:proofErr w:type="spellEnd"/>
            <w:r w:rsidRPr="00B41599">
              <w:rPr>
                <w:rFonts w:ascii="Lucida Bright" w:hAnsi="Lucida Bright" w:cs="Calibri"/>
                <w:b/>
                <w:bCs/>
                <w:sz w:val="14"/>
                <w:szCs w:val="14"/>
                <w:lang w:val="es-ES"/>
              </w:rPr>
              <w:t xml:space="preserve"> a largo plazo</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139"/>
        </w:trPr>
        <w:tc>
          <w:tcPr>
            <w:tcW w:w="5096"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000000" w:fill="CCFFCC"/>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C) PASIVO CORRIENTE</w:t>
            </w:r>
          </w:p>
        </w:tc>
        <w:tc>
          <w:tcPr>
            <w:tcW w:w="1856" w:type="dxa"/>
            <w:gridSpan w:val="2"/>
            <w:tcBorders>
              <w:top w:val="nil"/>
              <w:left w:val="single" w:sz="4" w:space="0" w:color="auto"/>
              <w:bottom w:val="nil"/>
              <w:right w:val="nil"/>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13.328.162,50 </w:t>
            </w:r>
          </w:p>
        </w:tc>
        <w:tc>
          <w:tcPr>
            <w:tcW w:w="1856" w:type="dxa"/>
            <w:gridSpan w:val="2"/>
            <w:tcBorders>
              <w:top w:val="nil"/>
              <w:left w:val="single" w:sz="4" w:space="0" w:color="auto"/>
              <w:bottom w:val="nil"/>
              <w:right w:val="nil"/>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13.110.888,16 </w:t>
            </w:r>
          </w:p>
        </w:tc>
        <w:tc>
          <w:tcPr>
            <w:tcW w:w="716" w:type="dxa"/>
            <w:gridSpan w:val="2"/>
            <w:tcBorders>
              <w:top w:val="nil"/>
              <w:left w:val="single" w:sz="4" w:space="0" w:color="auto"/>
              <w:bottom w:val="nil"/>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4"/>
                <w:szCs w:val="14"/>
                <w:lang w:val="es-ES"/>
              </w:rPr>
            </w:pPr>
            <w:r w:rsidRPr="00B41599">
              <w:rPr>
                <w:rFonts w:ascii="Lucida Bright" w:hAnsi="Lucida Bright" w:cs="Calibri"/>
                <w:b/>
                <w:bCs/>
                <w:sz w:val="14"/>
                <w:szCs w:val="14"/>
                <w:lang w:val="es-ES"/>
              </w:rPr>
              <w:t> </w:t>
            </w:r>
          </w:p>
        </w:tc>
      </w:tr>
      <w:tr w:rsidR="00B41599" w:rsidRPr="00B41599" w:rsidTr="00D702F3">
        <w:trPr>
          <w:trHeight w:val="139"/>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II. Provisiones a corto plazo</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63.685,10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139"/>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III. Deudas a corto plazo</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2.507.748,42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4.148.879,80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9.2</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1. Deudas con entidades de crédito</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2. Proveedores de inmovilizado a corto plazo</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1.682.570,57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3.536.876,51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3. Otros pasivos financieros</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825.177,85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612.003,29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139"/>
        </w:trPr>
        <w:tc>
          <w:tcPr>
            <w:tcW w:w="5096" w:type="dxa"/>
            <w:tcBorders>
              <w:top w:val="nil"/>
              <w:left w:val="single" w:sz="4" w:space="0" w:color="auto"/>
              <w:bottom w:val="nil"/>
              <w:right w:val="nil"/>
            </w:tcBorders>
            <w:shd w:val="clear" w:color="auto" w:fill="auto"/>
            <w:noWrap/>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IV. Deudas con empresas del grupo y asociadas a corto plazo</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11.556,64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173.205,21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9.3</w:t>
            </w:r>
          </w:p>
        </w:tc>
      </w:tr>
      <w:tr w:rsidR="00B41599" w:rsidRPr="00B41599" w:rsidTr="00D702F3">
        <w:trPr>
          <w:trHeight w:val="139"/>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V. Acreedores comerciales y otras cuentas a pagar</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10.745.172,34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8.788.803,15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9.2</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1. Acreedores y otras cuentas a pagar</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7.307.572,00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6.256.265,06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2. Administraciones Públicas, anticipos de subvenciones</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481.115,62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395.128,13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3. Otras deudas con las Administraciones Públicas</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2.956.484,72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2.137.409,96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139"/>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VI. </w:t>
            </w:r>
            <w:proofErr w:type="spellStart"/>
            <w:r w:rsidRPr="00B41599">
              <w:rPr>
                <w:rFonts w:ascii="Lucida Bright" w:hAnsi="Lucida Bright" w:cs="Calibri"/>
                <w:b/>
                <w:bCs/>
                <w:sz w:val="14"/>
                <w:szCs w:val="14"/>
                <w:lang w:val="es-ES"/>
              </w:rPr>
              <w:t>Periodificaciones</w:t>
            </w:r>
            <w:proofErr w:type="spellEnd"/>
          </w:p>
        </w:tc>
        <w:tc>
          <w:tcPr>
            <w:tcW w:w="1856" w:type="dxa"/>
            <w:gridSpan w:val="2"/>
            <w:tcBorders>
              <w:top w:val="nil"/>
              <w:left w:val="single" w:sz="4" w:space="0" w:color="auto"/>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139"/>
        </w:trPr>
        <w:tc>
          <w:tcPr>
            <w:tcW w:w="5096" w:type="dxa"/>
            <w:tcBorders>
              <w:top w:val="nil"/>
              <w:left w:val="single" w:sz="4" w:space="0" w:color="auto"/>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856" w:type="dxa"/>
            <w:gridSpan w:val="2"/>
            <w:tcBorders>
              <w:top w:val="nil"/>
              <w:left w:val="nil"/>
              <w:bottom w:val="single" w:sz="4" w:space="0" w:color="auto"/>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16" w:type="dxa"/>
            <w:gridSpan w:val="2"/>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D702F3">
        <w:trPr>
          <w:trHeight w:val="210"/>
        </w:trPr>
        <w:tc>
          <w:tcPr>
            <w:tcW w:w="509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TOTAL PATRIMONIO NETO Y PASIVO (A+B+C)</w:t>
            </w:r>
          </w:p>
        </w:tc>
        <w:tc>
          <w:tcPr>
            <w:tcW w:w="1856" w:type="dxa"/>
            <w:gridSpan w:val="2"/>
            <w:tcBorders>
              <w:top w:val="single" w:sz="4" w:space="0" w:color="auto"/>
              <w:left w:val="nil"/>
              <w:bottom w:val="single" w:sz="4" w:space="0" w:color="auto"/>
              <w:right w:val="nil"/>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792.509.019,43 </w:t>
            </w:r>
          </w:p>
        </w:tc>
        <w:tc>
          <w:tcPr>
            <w:tcW w:w="1856" w:type="dxa"/>
            <w:gridSpan w:val="2"/>
            <w:tcBorders>
              <w:top w:val="nil"/>
              <w:left w:val="single" w:sz="4" w:space="0" w:color="auto"/>
              <w:bottom w:val="single" w:sz="4" w:space="0" w:color="auto"/>
              <w:right w:val="nil"/>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742.057.596,58 </w:t>
            </w:r>
          </w:p>
        </w:tc>
        <w:tc>
          <w:tcPr>
            <w:tcW w:w="716"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4"/>
                <w:szCs w:val="14"/>
                <w:lang w:val="es-ES"/>
              </w:rPr>
            </w:pPr>
            <w:r w:rsidRPr="00B41599">
              <w:rPr>
                <w:rFonts w:ascii="Lucida Bright" w:hAnsi="Lucida Bright" w:cs="Calibri"/>
                <w:b/>
                <w:bCs/>
                <w:sz w:val="14"/>
                <w:szCs w:val="14"/>
                <w:lang w:val="es-ES"/>
              </w:rPr>
              <w:t> </w:t>
            </w:r>
          </w:p>
        </w:tc>
      </w:tr>
    </w:tbl>
    <w:p w:rsidR="00B41599" w:rsidRDefault="00B41599" w:rsidP="00E13AD1">
      <w:pPr>
        <w:rPr>
          <w:rFonts w:ascii="Lucida Bright" w:hAnsi="Lucida Bright"/>
          <w:b/>
          <w:bCs/>
          <w:sz w:val="22"/>
          <w:szCs w:val="22"/>
        </w:rPr>
      </w:pPr>
    </w:p>
    <w:p w:rsidR="00661DE8" w:rsidRDefault="00661DE8" w:rsidP="00E13AD1">
      <w:pPr>
        <w:rPr>
          <w:rFonts w:ascii="Lucida Bright" w:hAnsi="Lucida Bright"/>
          <w:b/>
          <w:bCs/>
          <w:sz w:val="22"/>
          <w:szCs w:val="22"/>
        </w:rPr>
      </w:pPr>
    </w:p>
    <w:p w:rsidR="00D702F3" w:rsidRDefault="00D702F3" w:rsidP="00E13AD1">
      <w:pPr>
        <w:rPr>
          <w:rFonts w:ascii="Lucida Bright" w:hAnsi="Lucida Bright"/>
          <w:b/>
          <w:bCs/>
          <w:sz w:val="22"/>
          <w:szCs w:val="22"/>
        </w:rPr>
      </w:pPr>
    </w:p>
    <w:p w:rsidR="00CD3595" w:rsidRDefault="00CD3595" w:rsidP="00E13AD1"/>
    <w:tbl>
      <w:tblPr>
        <w:tblW w:w="0" w:type="auto"/>
        <w:tblCellMar>
          <w:left w:w="70" w:type="dxa"/>
          <w:right w:w="70" w:type="dxa"/>
        </w:tblCellMar>
        <w:tblLook w:val="04A0" w:firstRow="1" w:lastRow="0" w:firstColumn="1" w:lastColumn="0" w:noHBand="0" w:noVBand="1"/>
      </w:tblPr>
      <w:tblGrid>
        <w:gridCol w:w="5481"/>
        <w:gridCol w:w="1243"/>
        <w:gridCol w:w="1243"/>
        <w:gridCol w:w="677"/>
      </w:tblGrid>
      <w:tr w:rsidR="00B41599" w:rsidRPr="00B41599" w:rsidTr="00B41599">
        <w:trPr>
          <w:trHeight w:val="215"/>
        </w:trPr>
        <w:tc>
          <w:tcPr>
            <w:tcW w:w="0" w:type="auto"/>
            <w:gridSpan w:val="4"/>
            <w:tcBorders>
              <w:top w:val="nil"/>
              <w:left w:val="nil"/>
              <w:bottom w:val="single" w:sz="4" w:space="0" w:color="auto"/>
              <w:right w:val="nil"/>
            </w:tcBorders>
            <w:shd w:val="clear" w:color="000000" w:fill="FFFFFF"/>
            <w:noWrap/>
            <w:hideMark/>
          </w:tcPr>
          <w:p w:rsidR="00B41599" w:rsidRPr="00B41599" w:rsidRDefault="00B41599" w:rsidP="00B41599">
            <w:pPr>
              <w:rPr>
                <w:rFonts w:ascii="Lucida Bright" w:hAnsi="Lucida Bright" w:cs="Calibri"/>
                <w:b/>
                <w:bCs/>
                <w:lang w:val="es-ES"/>
              </w:rPr>
            </w:pPr>
            <w:r w:rsidRPr="00B41599">
              <w:rPr>
                <w:rFonts w:ascii="Lucida Bright" w:hAnsi="Lucida Bright" w:cs="Calibri"/>
                <w:b/>
                <w:bCs/>
                <w:lang w:val="es-ES"/>
              </w:rPr>
              <w:lastRenderedPageBreak/>
              <w:t xml:space="preserve">Cuenta de Pérdidas y Ganancias correspondiente al ejercicio terminado el 31-12-23 </w:t>
            </w:r>
            <w:r w:rsidRPr="00B41599">
              <w:rPr>
                <w:rFonts w:ascii="Lucida Bright" w:hAnsi="Lucida Bright" w:cs="Calibri"/>
                <w:sz w:val="14"/>
                <w:szCs w:val="14"/>
                <w:lang w:val="es-ES"/>
              </w:rPr>
              <w:t>(en euros)</w:t>
            </w:r>
          </w:p>
        </w:tc>
      </w:tr>
      <w:tr w:rsidR="00B41599" w:rsidRPr="00B41599" w:rsidTr="00B41599">
        <w:trPr>
          <w:trHeight w:val="179"/>
        </w:trPr>
        <w:tc>
          <w:tcPr>
            <w:tcW w:w="0" w:type="auto"/>
            <w:tcBorders>
              <w:top w:val="nil"/>
              <w:left w:val="single" w:sz="4" w:space="0" w:color="auto"/>
              <w:bottom w:val="nil"/>
              <w:right w:val="single" w:sz="4" w:space="0" w:color="auto"/>
            </w:tcBorders>
            <w:shd w:val="clear" w:color="000000" w:fill="CCFFCC"/>
            <w:noWrap/>
            <w:vAlign w:val="bottom"/>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t> </w:t>
            </w:r>
          </w:p>
        </w:tc>
        <w:tc>
          <w:tcPr>
            <w:tcW w:w="0" w:type="auto"/>
            <w:gridSpan w:val="2"/>
            <w:tcBorders>
              <w:top w:val="single" w:sz="4" w:space="0" w:color="auto"/>
              <w:left w:val="nil"/>
              <w:bottom w:val="single" w:sz="4" w:space="0" w:color="auto"/>
              <w:right w:val="single" w:sz="4" w:space="0" w:color="000000"/>
            </w:tcBorders>
            <w:shd w:val="clear" w:color="000000" w:fill="CCFFCC"/>
            <w:noWrap/>
            <w:vAlign w:val="center"/>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t>(Debe) Haber</w:t>
            </w:r>
          </w:p>
        </w:tc>
        <w:tc>
          <w:tcPr>
            <w:tcW w:w="0" w:type="auto"/>
            <w:tcBorders>
              <w:top w:val="nil"/>
              <w:left w:val="nil"/>
              <w:bottom w:val="single" w:sz="4" w:space="0" w:color="auto"/>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t> </w:t>
            </w:r>
          </w:p>
        </w:tc>
      </w:tr>
      <w:tr w:rsidR="00B41599" w:rsidRPr="00B41599" w:rsidTr="00B41599">
        <w:trPr>
          <w:trHeight w:val="179"/>
        </w:trPr>
        <w:tc>
          <w:tcPr>
            <w:tcW w:w="0" w:type="auto"/>
            <w:tcBorders>
              <w:top w:val="nil"/>
              <w:left w:val="single" w:sz="4" w:space="0" w:color="auto"/>
              <w:bottom w:val="single" w:sz="4" w:space="0" w:color="auto"/>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t> </w:t>
            </w:r>
          </w:p>
        </w:tc>
        <w:tc>
          <w:tcPr>
            <w:tcW w:w="0" w:type="auto"/>
            <w:tcBorders>
              <w:top w:val="nil"/>
              <w:left w:val="nil"/>
              <w:bottom w:val="single" w:sz="4" w:space="0" w:color="auto"/>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t>2023</w:t>
            </w:r>
          </w:p>
        </w:tc>
        <w:tc>
          <w:tcPr>
            <w:tcW w:w="0" w:type="auto"/>
            <w:tcBorders>
              <w:top w:val="nil"/>
              <w:left w:val="nil"/>
              <w:bottom w:val="single" w:sz="4" w:space="0" w:color="auto"/>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t>2022</w:t>
            </w:r>
          </w:p>
        </w:tc>
        <w:tc>
          <w:tcPr>
            <w:tcW w:w="0" w:type="auto"/>
            <w:tcBorders>
              <w:top w:val="nil"/>
              <w:left w:val="nil"/>
              <w:bottom w:val="single" w:sz="4" w:space="0" w:color="auto"/>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t>Notas</w:t>
            </w:r>
          </w:p>
        </w:tc>
      </w:tr>
      <w:tr w:rsidR="00B41599" w:rsidRPr="00B41599" w:rsidTr="00B41599">
        <w:trPr>
          <w:trHeight w:val="71"/>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b/>
                <w:bCs/>
                <w:sz w:val="14"/>
                <w:szCs w:val="14"/>
                <w:lang w:val="es-ES"/>
              </w:rPr>
            </w:pPr>
            <w:r w:rsidRPr="00B41599">
              <w:rPr>
                <w:rFonts w:ascii="Lucida Bright" w:hAnsi="Lucida Bright" w:cs="Calibri"/>
                <w:b/>
                <w:bCs/>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ind w:firstLineChars="100" w:firstLine="141"/>
              <w:rPr>
                <w:rFonts w:ascii="Lucida Bright" w:hAnsi="Lucida Bright" w:cs="Calibri"/>
                <w:b/>
                <w:bCs/>
                <w:sz w:val="14"/>
                <w:szCs w:val="14"/>
                <w:lang w:val="es-ES"/>
              </w:rPr>
            </w:pPr>
            <w:r w:rsidRPr="00B41599">
              <w:rPr>
                <w:rFonts w:ascii="Lucida Bright" w:hAnsi="Lucida Bright" w:cs="Calibri"/>
                <w:b/>
                <w:bCs/>
                <w:sz w:val="14"/>
                <w:szCs w:val="14"/>
                <w:lang w:val="es-ES"/>
              </w:rPr>
              <w:t>1. Importe neto de la cifra de negocios</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105.180.097,71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86.801.418,42  </w:t>
            </w:r>
          </w:p>
        </w:tc>
        <w:tc>
          <w:tcPr>
            <w:tcW w:w="0" w:type="auto"/>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15</w:t>
            </w:r>
          </w:p>
        </w:tc>
      </w:tr>
      <w:tr w:rsidR="00B41599" w:rsidRPr="00B41599" w:rsidTr="00B41599">
        <w:trPr>
          <w:trHeight w:val="54"/>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A. Tasas portuarias</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61.291.708,82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51.141.805,45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400" w:firstLine="560"/>
              <w:rPr>
                <w:rFonts w:ascii="Lucida Bright" w:hAnsi="Lucida Bright" w:cs="Calibri"/>
                <w:sz w:val="14"/>
                <w:szCs w:val="14"/>
                <w:lang w:val="es-ES"/>
              </w:rPr>
            </w:pPr>
            <w:r w:rsidRPr="00B41599">
              <w:rPr>
                <w:rFonts w:ascii="Lucida Bright" w:hAnsi="Lucida Bright" w:cs="Calibri"/>
                <w:sz w:val="14"/>
                <w:szCs w:val="14"/>
                <w:lang w:val="es-ES"/>
              </w:rPr>
              <w:t>a) Tasa de ocupación</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20.755.502,85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18.230.876,23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400" w:firstLine="560"/>
              <w:rPr>
                <w:rFonts w:ascii="Lucida Bright" w:hAnsi="Lucida Bright" w:cs="Calibri"/>
                <w:sz w:val="14"/>
                <w:szCs w:val="14"/>
                <w:lang w:val="es-ES"/>
              </w:rPr>
            </w:pPr>
            <w:r w:rsidRPr="00B41599">
              <w:rPr>
                <w:rFonts w:ascii="Lucida Bright" w:hAnsi="Lucida Bright" w:cs="Calibri"/>
                <w:sz w:val="14"/>
                <w:szCs w:val="14"/>
                <w:lang w:val="es-ES"/>
              </w:rPr>
              <w:t>b) Tasas de utilización</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30.997.741,27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25.327.424,01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79"/>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500" w:firstLine="700"/>
              <w:rPr>
                <w:rFonts w:ascii="Lucida Bright" w:hAnsi="Lucida Bright" w:cs="Calibri"/>
                <w:i/>
                <w:iCs/>
                <w:sz w:val="14"/>
                <w:szCs w:val="14"/>
                <w:lang w:val="es-ES"/>
              </w:rPr>
            </w:pPr>
            <w:r w:rsidRPr="00B41599">
              <w:rPr>
                <w:rFonts w:ascii="Lucida Bright" w:hAnsi="Lucida Bright" w:cs="Calibri"/>
                <w:i/>
                <w:iCs/>
                <w:sz w:val="14"/>
                <w:szCs w:val="14"/>
                <w:lang w:val="es-ES"/>
              </w:rPr>
              <w:t>1. Tasa del buque</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i/>
                <w:iCs/>
                <w:sz w:val="14"/>
                <w:szCs w:val="14"/>
                <w:lang w:val="es-ES"/>
              </w:rPr>
            </w:pPr>
            <w:r w:rsidRPr="00B41599">
              <w:rPr>
                <w:rFonts w:ascii="Lucida Bright" w:hAnsi="Lucida Bright" w:cs="Calibri"/>
                <w:i/>
                <w:iCs/>
                <w:sz w:val="14"/>
                <w:szCs w:val="14"/>
                <w:lang w:val="es-ES"/>
              </w:rPr>
              <w:t xml:space="preserve">8.315.101,59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i/>
                <w:iCs/>
                <w:sz w:val="14"/>
                <w:szCs w:val="14"/>
                <w:lang w:val="es-ES"/>
              </w:rPr>
            </w:pPr>
            <w:r w:rsidRPr="00B41599">
              <w:rPr>
                <w:rFonts w:ascii="Lucida Bright" w:hAnsi="Lucida Bright" w:cs="Calibri"/>
                <w:i/>
                <w:iCs/>
                <w:sz w:val="14"/>
                <w:szCs w:val="14"/>
                <w:lang w:val="es-ES"/>
              </w:rPr>
              <w:t xml:space="preserve">6.858.619,76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79"/>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500" w:firstLine="700"/>
              <w:rPr>
                <w:rFonts w:ascii="Lucida Bright" w:hAnsi="Lucida Bright" w:cs="Calibri"/>
                <w:i/>
                <w:iCs/>
                <w:sz w:val="14"/>
                <w:szCs w:val="14"/>
                <w:lang w:val="es-ES"/>
              </w:rPr>
            </w:pPr>
            <w:r w:rsidRPr="00B41599">
              <w:rPr>
                <w:rFonts w:ascii="Lucida Bright" w:hAnsi="Lucida Bright" w:cs="Calibri"/>
                <w:i/>
                <w:iCs/>
                <w:sz w:val="14"/>
                <w:szCs w:val="14"/>
                <w:lang w:val="es-ES"/>
              </w:rPr>
              <w:t>2. Tasa de las embarcaciones deportivas y de recreo</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i/>
                <w:iCs/>
                <w:sz w:val="14"/>
                <w:szCs w:val="14"/>
                <w:lang w:val="es-ES"/>
              </w:rPr>
            </w:pPr>
            <w:r w:rsidRPr="00B41599">
              <w:rPr>
                <w:rFonts w:ascii="Lucida Bright" w:hAnsi="Lucida Bright" w:cs="Calibri"/>
                <w:i/>
                <w:iCs/>
                <w:sz w:val="14"/>
                <w:szCs w:val="14"/>
                <w:lang w:val="es-ES"/>
              </w:rPr>
              <w:t xml:space="preserve">3.051.650,28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i/>
                <w:iCs/>
                <w:sz w:val="14"/>
                <w:szCs w:val="14"/>
                <w:lang w:val="es-ES"/>
              </w:rPr>
            </w:pPr>
            <w:r w:rsidRPr="00B41599">
              <w:rPr>
                <w:rFonts w:ascii="Lucida Bright" w:hAnsi="Lucida Bright" w:cs="Calibri"/>
                <w:i/>
                <w:iCs/>
                <w:sz w:val="14"/>
                <w:szCs w:val="14"/>
                <w:lang w:val="es-ES"/>
              </w:rPr>
              <w:t xml:space="preserve">2.839.142,05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79"/>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500" w:firstLine="700"/>
              <w:rPr>
                <w:rFonts w:ascii="Lucida Bright" w:hAnsi="Lucida Bright" w:cs="Calibri"/>
                <w:i/>
                <w:iCs/>
                <w:sz w:val="14"/>
                <w:szCs w:val="14"/>
                <w:lang w:val="es-ES"/>
              </w:rPr>
            </w:pPr>
            <w:r w:rsidRPr="00B41599">
              <w:rPr>
                <w:rFonts w:ascii="Lucida Bright" w:hAnsi="Lucida Bright" w:cs="Calibri"/>
                <w:i/>
                <w:iCs/>
                <w:sz w:val="14"/>
                <w:szCs w:val="14"/>
                <w:lang w:val="es-ES"/>
              </w:rPr>
              <w:t>3. Tasa del pasaje</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i/>
                <w:iCs/>
                <w:sz w:val="14"/>
                <w:szCs w:val="14"/>
                <w:lang w:val="es-ES"/>
              </w:rPr>
            </w:pPr>
            <w:r w:rsidRPr="00B41599">
              <w:rPr>
                <w:rFonts w:ascii="Lucida Bright" w:hAnsi="Lucida Bright" w:cs="Calibri"/>
                <w:i/>
                <w:iCs/>
                <w:sz w:val="14"/>
                <w:szCs w:val="14"/>
                <w:lang w:val="es-ES"/>
              </w:rPr>
              <w:t xml:space="preserve">10.754.804,44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i/>
                <w:iCs/>
                <w:sz w:val="14"/>
                <w:szCs w:val="14"/>
                <w:lang w:val="es-ES"/>
              </w:rPr>
            </w:pPr>
            <w:r w:rsidRPr="00B41599">
              <w:rPr>
                <w:rFonts w:ascii="Lucida Bright" w:hAnsi="Lucida Bright" w:cs="Calibri"/>
                <w:i/>
                <w:iCs/>
                <w:sz w:val="14"/>
                <w:szCs w:val="14"/>
                <w:lang w:val="es-ES"/>
              </w:rPr>
              <w:t xml:space="preserve">8.933.780,61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79"/>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500" w:firstLine="700"/>
              <w:rPr>
                <w:rFonts w:ascii="Lucida Bright" w:hAnsi="Lucida Bright" w:cs="Calibri"/>
                <w:i/>
                <w:iCs/>
                <w:sz w:val="14"/>
                <w:szCs w:val="14"/>
                <w:lang w:val="es-ES"/>
              </w:rPr>
            </w:pPr>
            <w:r w:rsidRPr="00B41599">
              <w:rPr>
                <w:rFonts w:ascii="Lucida Bright" w:hAnsi="Lucida Bright" w:cs="Calibri"/>
                <w:i/>
                <w:iCs/>
                <w:sz w:val="14"/>
                <w:szCs w:val="14"/>
                <w:lang w:val="es-ES"/>
              </w:rPr>
              <w:t>4. Tasa de la mercancía</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i/>
                <w:iCs/>
                <w:sz w:val="14"/>
                <w:szCs w:val="14"/>
                <w:lang w:val="es-ES"/>
              </w:rPr>
            </w:pPr>
            <w:r w:rsidRPr="00B41599">
              <w:rPr>
                <w:rFonts w:ascii="Lucida Bright" w:hAnsi="Lucida Bright" w:cs="Calibri"/>
                <w:i/>
                <w:iCs/>
                <w:sz w:val="14"/>
                <w:szCs w:val="14"/>
                <w:lang w:val="es-ES"/>
              </w:rPr>
              <w:t xml:space="preserve">8.161.069,06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i/>
                <w:iCs/>
                <w:sz w:val="14"/>
                <w:szCs w:val="14"/>
                <w:lang w:val="es-ES"/>
              </w:rPr>
            </w:pPr>
            <w:r w:rsidRPr="00B41599">
              <w:rPr>
                <w:rFonts w:ascii="Lucida Bright" w:hAnsi="Lucida Bright" w:cs="Calibri"/>
                <w:i/>
                <w:iCs/>
                <w:sz w:val="14"/>
                <w:szCs w:val="14"/>
                <w:lang w:val="es-ES"/>
              </w:rPr>
              <w:t xml:space="preserve">6.152.581,17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79"/>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500" w:firstLine="700"/>
              <w:rPr>
                <w:rFonts w:ascii="Lucida Bright" w:hAnsi="Lucida Bright" w:cs="Calibri"/>
                <w:i/>
                <w:iCs/>
                <w:sz w:val="14"/>
                <w:szCs w:val="14"/>
                <w:lang w:val="es-ES"/>
              </w:rPr>
            </w:pPr>
            <w:r w:rsidRPr="00B41599">
              <w:rPr>
                <w:rFonts w:ascii="Lucida Bright" w:hAnsi="Lucida Bright" w:cs="Calibri"/>
                <w:i/>
                <w:iCs/>
                <w:sz w:val="14"/>
                <w:szCs w:val="14"/>
                <w:lang w:val="es-ES"/>
              </w:rPr>
              <w:t>5. Tasa de la pesca fresca</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i/>
                <w:iCs/>
                <w:sz w:val="14"/>
                <w:szCs w:val="14"/>
                <w:lang w:val="es-ES"/>
              </w:rPr>
            </w:pPr>
            <w:r w:rsidRPr="00B41599">
              <w:rPr>
                <w:rFonts w:ascii="Lucida Bright" w:hAnsi="Lucida Bright" w:cs="Calibri"/>
                <w:i/>
                <w:iCs/>
                <w:sz w:val="14"/>
                <w:szCs w:val="14"/>
                <w:lang w:val="es-ES"/>
              </w:rPr>
              <w:t xml:space="preserve">54.360,57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i/>
                <w:iCs/>
                <w:sz w:val="14"/>
                <w:szCs w:val="14"/>
                <w:lang w:val="es-ES"/>
              </w:rPr>
            </w:pPr>
            <w:r w:rsidRPr="00B41599">
              <w:rPr>
                <w:rFonts w:ascii="Lucida Bright" w:hAnsi="Lucida Bright" w:cs="Calibri"/>
                <w:i/>
                <w:iCs/>
                <w:sz w:val="14"/>
                <w:szCs w:val="14"/>
                <w:lang w:val="es-ES"/>
              </w:rPr>
              <w:t xml:space="preserve">39.838,78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79"/>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500" w:firstLine="700"/>
              <w:rPr>
                <w:rFonts w:ascii="Lucida Bright" w:hAnsi="Lucida Bright" w:cs="Calibri"/>
                <w:i/>
                <w:iCs/>
                <w:sz w:val="14"/>
                <w:szCs w:val="14"/>
                <w:lang w:val="es-ES"/>
              </w:rPr>
            </w:pPr>
            <w:r w:rsidRPr="00B41599">
              <w:rPr>
                <w:rFonts w:ascii="Lucida Bright" w:hAnsi="Lucida Bright" w:cs="Calibri"/>
                <w:i/>
                <w:iCs/>
                <w:sz w:val="14"/>
                <w:szCs w:val="14"/>
                <w:lang w:val="es-ES"/>
              </w:rPr>
              <w:t>6. Tasa por utilización especial de la zona de tránsito</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i/>
                <w:iCs/>
                <w:sz w:val="14"/>
                <w:szCs w:val="14"/>
                <w:lang w:val="es-ES"/>
              </w:rPr>
            </w:pPr>
            <w:r w:rsidRPr="00B41599">
              <w:rPr>
                <w:rFonts w:ascii="Lucida Bright" w:hAnsi="Lucida Bright" w:cs="Calibri"/>
                <w:i/>
                <w:iCs/>
                <w:sz w:val="14"/>
                <w:szCs w:val="14"/>
                <w:lang w:val="es-ES"/>
              </w:rPr>
              <w:t xml:space="preserve">660.755,33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i/>
                <w:iCs/>
                <w:sz w:val="14"/>
                <w:szCs w:val="14"/>
                <w:lang w:val="es-ES"/>
              </w:rPr>
            </w:pPr>
            <w:r w:rsidRPr="00B41599">
              <w:rPr>
                <w:rFonts w:ascii="Lucida Bright" w:hAnsi="Lucida Bright" w:cs="Calibri"/>
                <w:i/>
                <w:iCs/>
                <w:sz w:val="14"/>
                <w:szCs w:val="14"/>
                <w:lang w:val="es-ES"/>
              </w:rPr>
              <w:t xml:space="preserve">503.461,64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400" w:firstLine="560"/>
              <w:rPr>
                <w:rFonts w:ascii="Lucida Bright" w:hAnsi="Lucida Bright" w:cs="Calibri"/>
                <w:sz w:val="14"/>
                <w:szCs w:val="14"/>
                <w:lang w:val="es-ES"/>
              </w:rPr>
            </w:pPr>
            <w:r w:rsidRPr="00B41599">
              <w:rPr>
                <w:rFonts w:ascii="Lucida Bright" w:hAnsi="Lucida Bright" w:cs="Calibri"/>
                <w:sz w:val="14"/>
                <w:szCs w:val="14"/>
                <w:lang w:val="es-ES"/>
              </w:rPr>
              <w:t>c) Tasa de actividad</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8.403.395,80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6.262.878,94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400" w:firstLine="560"/>
              <w:rPr>
                <w:rFonts w:ascii="Lucida Bright" w:hAnsi="Lucida Bright" w:cs="Calibri"/>
                <w:sz w:val="14"/>
                <w:szCs w:val="14"/>
                <w:lang w:val="es-ES"/>
              </w:rPr>
            </w:pPr>
            <w:r w:rsidRPr="00B41599">
              <w:rPr>
                <w:rFonts w:ascii="Lucida Bright" w:hAnsi="Lucida Bright" w:cs="Calibri"/>
                <w:sz w:val="14"/>
                <w:szCs w:val="14"/>
                <w:lang w:val="es-ES"/>
              </w:rPr>
              <w:t>d) Tasa de ayudas a la navegación</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1.135.068,90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1.320.626,27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54"/>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B. Otros ingresos de negocio</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43.888.388,89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35.659.612,97  </w:t>
            </w:r>
          </w:p>
        </w:tc>
        <w:tc>
          <w:tcPr>
            <w:tcW w:w="0" w:type="auto"/>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14.b</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400" w:firstLine="560"/>
              <w:rPr>
                <w:rFonts w:ascii="Lucida Bright" w:hAnsi="Lucida Bright" w:cs="Calibri"/>
                <w:sz w:val="14"/>
                <w:szCs w:val="14"/>
                <w:lang w:val="es-ES"/>
              </w:rPr>
            </w:pPr>
            <w:r w:rsidRPr="00B41599">
              <w:rPr>
                <w:rFonts w:ascii="Lucida Bright" w:hAnsi="Lucida Bright" w:cs="Calibri"/>
                <w:sz w:val="14"/>
                <w:szCs w:val="14"/>
                <w:lang w:val="es-ES"/>
              </w:rPr>
              <w:t>a) Importes adicionales a las tasas</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31.241.745,02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23.390.083,30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400" w:firstLine="560"/>
              <w:rPr>
                <w:rFonts w:ascii="Lucida Bright" w:hAnsi="Lucida Bright" w:cs="Calibri"/>
                <w:sz w:val="14"/>
                <w:szCs w:val="14"/>
                <w:lang w:val="es-ES"/>
              </w:rPr>
            </w:pPr>
            <w:r w:rsidRPr="00B41599">
              <w:rPr>
                <w:rFonts w:ascii="Lucida Bright" w:hAnsi="Lucida Bright" w:cs="Calibri"/>
                <w:sz w:val="14"/>
                <w:szCs w:val="14"/>
                <w:lang w:val="es-ES"/>
              </w:rPr>
              <w:t>b) Tarifas y otros</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12.646.643,87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12.269.529,67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71"/>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400" w:firstLine="560"/>
              <w:rPr>
                <w:rFonts w:ascii="Lucida Bright" w:hAnsi="Lucida Bright" w:cs="Calibri"/>
                <w:sz w:val="14"/>
                <w:szCs w:val="14"/>
                <w:lang w:val="es-ES"/>
              </w:rPr>
            </w:pPr>
            <w:r w:rsidRPr="00B41599">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ind w:firstLineChars="100" w:firstLine="141"/>
              <w:rPr>
                <w:rFonts w:ascii="Lucida Bright" w:hAnsi="Lucida Bright" w:cs="Calibri"/>
                <w:b/>
                <w:bCs/>
                <w:sz w:val="14"/>
                <w:szCs w:val="14"/>
                <w:lang w:val="es-ES"/>
              </w:rPr>
            </w:pPr>
            <w:r w:rsidRPr="00B41599">
              <w:rPr>
                <w:rFonts w:ascii="Lucida Bright" w:hAnsi="Lucida Bright" w:cs="Calibri"/>
                <w:b/>
                <w:bCs/>
                <w:sz w:val="14"/>
                <w:szCs w:val="14"/>
                <w:lang w:val="es-ES"/>
              </w:rPr>
              <w:t>3. Trabajos realizados por la empresa para su activo</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71"/>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ind w:firstLineChars="100" w:firstLine="141"/>
              <w:rPr>
                <w:rFonts w:ascii="Lucida Bright" w:hAnsi="Lucida Bright" w:cs="Calibri"/>
                <w:b/>
                <w:bCs/>
                <w:sz w:val="14"/>
                <w:szCs w:val="14"/>
                <w:lang w:val="es-ES"/>
              </w:rPr>
            </w:pPr>
            <w:r w:rsidRPr="00B41599">
              <w:rPr>
                <w:rFonts w:ascii="Lucida Bright" w:hAnsi="Lucida Bright" w:cs="Calibri"/>
                <w:b/>
                <w:bCs/>
                <w:sz w:val="14"/>
                <w:szCs w:val="14"/>
                <w:lang w:val="es-ES"/>
              </w:rPr>
              <w:t>5. Otros ingresos de explotación</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5.753.709,22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12.691.511,44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093913">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1</w:t>
            </w:r>
            <w:r w:rsidR="00093913">
              <w:rPr>
                <w:rFonts w:ascii="Lucida Bright" w:hAnsi="Lucida Bright" w:cs="Calibri"/>
                <w:color w:val="000000"/>
                <w:sz w:val="14"/>
                <w:szCs w:val="14"/>
                <w:lang w:val="es-ES"/>
              </w:rPr>
              <w:t>4</w:t>
            </w:r>
            <w:r w:rsidRPr="00B41599">
              <w:rPr>
                <w:rFonts w:ascii="Lucida Bright" w:hAnsi="Lucida Bright" w:cs="Calibri"/>
                <w:color w:val="000000"/>
                <w:sz w:val="14"/>
                <w:szCs w:val="14"/>
                <w:lang w:val="es-ES"/>
              </w:rPr>
              <w:t>.b</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a) Ingresos accesorios y otros de gestión corriente</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4.062.923,96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9.384.503,51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b) Subvenciones de explotación incorporadas al resultado del ejercicio</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137.191,05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2.109.285,97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c) Ingresos traspasados al resultado por concesiones revertidas</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121.594,21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172.721,96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 xml:space="preserve">d) Fondo de Compensación </w:t>
            </w:r>
            <w:proofErr w:type="spellStart"/>
            <w:r w:rsidRPr="00B41599">
              <w:rPr>
                <w:rFonts w:ascii="Lucida Bright" w:hAnsi="Lucida Bright" w:cs="Calibri"/>
                <w:sz w:val="14"/>
                <w:szCs w:val="14"/>
                <w:lang w:val="es-ES"/>
              </w:rPr>
              <w:t>Interportuario</w:t>
            </w:r>
            <w:proofErr w:type="spellEnd"/>
            <w:r w:rsidRPr="00B41599">
              <w:rPr>
                <w:rFonts w:ascii="Lucida Bright" w:hAnsi="Lucida Bright" w:cs="Calibri"/>
                <w:sz w:val="14"/>
                <w:szCs w:val="14"/>
                <w:lang w:val="es-ES"/>
              </w:rPr>
              <w:t xml:space="preserve"> recibido</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1.432.000,00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1.025.000,00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14.c</w:t>
            </w:r>
          </w:p>
        </w:tc>
      </w:tr>
      <w:tr w:rsidR="00B41599" w:rsidRPr="00B41599" w:rsidTr="00B41599">
        <w:trPr>
          <w:trHeight w:val="71"/>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color w:val="FFFFFF"/>
                <w:sz w:val="14"/>
                <w:szCs w:val="14"/>
                <w:lang w:val="es-ES"/>
              </w:rPr>
            </w:pPr>
            <w:r w:rsidRPr="00B41599">
              <w:rPr>
                <w:rFonts w:ascii="Lucida Bright" w:hAnsi="Lucida Bright" w:cs="Calibri"/>
                <w:b/>
                <w:bCs/>
                <w:color w:val="FFFFFF"/>
                <w:sz w:val="14"/>
                <w:szCs w:val="14"/>
                <w:lang w:val="es-ES"/>
              </w:rPr>
              <w:t>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ind w:firstLineChars="100" w:firstLine="141"/>
              <w:rPr>
                <w:rFonts w:ascii="Lucida Bright" w:hAnsi="Lucida Bright" w:cs="Calibri"/>
                <w:b/>
                <w:bCs/>
                <w:sz w:val="14"/>
                <w:szCs w:val="14"/>
                <w:lang w:val="es-ES"/>
              </w:rPr>
            </w:pPr>
            <w:r w:rsidRPr="00B41599">
              <w:rPr>
                <w:rFonts w:ascii="Lucida Bright" w:hAnsi="Lucida Bright" w:cs="Calibri"/>
                <w:b/>
                <w:bCs/>
                <w:sz w:val="14"/>
                <w:szCs w:val="14"/>
                <w:lang w:val="es-ES"/>
              </w:rPr>
              <w:t>6. Gastos de personal</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(16.320.170,54)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(14.751.047,15)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a) Sueldos, salarios y asimilados</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(11.591.259,27)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(10.681.808,85)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b) Indemnizaciones</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(20.302,51)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0" w:type="auto"/>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b/>
                <w:bCs/>
                <w:sz w:val="14"/>
                <w:szCs w:val="14"/>
                <w:lang w:val="es-ES"/>
              </w:rPr>
            </w:pPr>
            <w:r w:rsidRPr="00B41599">
              <w:rPr>
                <w:rFonts w:ascii="Lucida Bright" w:hAnsi="Lucida Bright" w:cs="Calibri"/>
                <w:b/>
                <w:bCs/>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c) Cargas sociales</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(4.708.608,76)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(4.093.316,45)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d) Provisiones</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24.078,15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71"/>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ind w:firstLineChars="100" w:firstLine="141"/>
              <w:rPr>
                <w:rFonts w:ascii="Lucida Bright" w:hAnsi="Lucida Bright" w:cs="Calibri"/>
                <w:b/>
                <w:bCs/>
                <w:sz w:val="14"/>
                <w:szCs w:val="14"/>
                <w:lang w:val="es-ES"/>
              </w:rPr>
            </w:pPr>
            <w:r w:rsidRPr="00B41599">
              <w:rPr>
                <w:rFonts w:ascii="Lucida Bright" w:hAnsi="Lucida Bright" w:cs="Calibri"/>
                <w:b/>
                <w:bCs/>
                <w:sz w:val="14"/>
                <w:szCs w:val="14"/>
                <w:lang w:val="es-ES"/>
              </w:rPr>
              <w:t>7. Otros gastos de explotación</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(33.406.370,23)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(35.522.419,31)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a) Servicios exteriores</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(28.437.383,68)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(23.107.460,06)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300" w:firstLine="420"/>
              <w:rPr>
                <w:rFonts w:ascii="Lucida Bright" w:hAnsi="Lucida Bright" w:cs="Calibri"/>
                <w:i/>
                <w:iCs/>
                <w:sz w:val="14"/>
                <w:szCs w:val="14"/>
                <w:lang w:val="es-ES"/>
              </w:rPr>
            </w:pPr>
            <w:r w:rsidRPr="00B41599">
              <w:rPr>
                <w:rFonts w:ascii="Lucida Bright" w:hAnsi="Lucida Bright" w:cs="Calibri"/>
                <w:i/>
                <w:iCs/>
                <w:sz w:val="14"/>
                <w:szCs w:val="14"/>
                <w:lang w:val="es-ES"/>
              </w:rPr>
              <w:t>1. Reparaciones y conservación</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i/>
                <w:iCs/>
                <w:sz w:val="14"/>
                <w:szCs w:val="14"/>
                <w:lang w:val="es-ES"/>
              </w:rPr>
            </w:pPr>
            <w:r w:rsidRPr="00B41599">
              <w:rPr>
                <w:rFonts w:ascii="Lucida Bright" w:hAnsi="Lucida Bright" w:cs="Calibri"/>
                <w:i/>
                <w:iCs/>
                <w:sz w:val="14"/>
                <w:szCs w:val="14"/>
                <w:lang w:val="es-ES"/>
              </w:rPr>
              <w:t xml:space="preserve">(13.845.406,11)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i/>
                <w:iCs/>
                <w:sz w:val="14"/>
                <w:szCs w:val="14"/>
                <w:lang w:val="es-ES"/>
              </w:rPr>
            </w:pPr>
            <w:r w:rsidRPr="00B41599">
              <w:rPr>
                <w:rFonts w:ascii="Lucida Bright" w:hAnsi="Lucida Bright" w:cs="Calibri"/>
                <w:i/>
                <w:iCs/>
                <w:sz w:val="14"/>
                <w:szCs w:val="14"/>
                <w:lang w:val="es-ES"/>
              </w:rPr>
              <w:t xml:space="preserve">(9.963.902,24)  </w:t>
            </w:r>
          </w:p>
        </w:tc>
        <w:tc>
          <w:tcPr>
            <w:tcW w:w="0" w:type="auto"/>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jc w:val="center"/>
              <w:rPr>
                <w:rFonts w:ascii="Lucida Bright" w:hAnsi="Lucida Bright" w:cs="Calibri"/>
                <w:b/>
                <w:bCs/>
                <w:sz w:val="14"/>
                <w:szCs w:val="14"/>
                <w:lang w:val="es-ES"/>
              </w:rPr>
            </w:pPr>
            <w:r w:rsidRPr="00B41599">
              <w:rPr>
                <w:rFonts w:ascii="Lucida Bright" w:hAnsi="Lucida Bright" w:cs="Calibri"/>
                <w:b/>
                <w:bCs/>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300" w:firstLine="420"/>
              <w:rPr>
                <w:rFonts w:ascii="Lucida Bright" w:hAnsi="Lucida Bright" w:cs="Calibri"/>
                <w:i/>
                <w:iCs/>
                <w:sz w:val="14"/>
                <w:szCs w:val="14"/>
                <w:lang w:val="es-ES"/>
              </w:rPr>
            </w:pPr>
            <w:r w:rsidRPr="00B41599">
              <w:rPr>
                <w:rFonts w:ascii="Lucida Bright" w:hAnsi="Lucida Bright" w:cs="Calibri"/>
                <w:i/>
                <w:iCs/>
                <w:sz w:val="14"/>
                <w:szCs w:val="14"/>
                <w:lang w:val="es-ES"/>
              </w:rPr>
              <w:t>2. Servicios de profesionales independientes</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i/>
                <w:iCs/>
                <w:sz w:val="14"/>
                <w:szCs w:val="14"/>
                <w:lang w:val="es-ES"/>
              </w:rPr>
            </w:pPr>
            <w:r w:rsidRPr="00B41599">
              <w:rPr>
                <w:rFonts w:ascii="Lucida Bright" w:hAnsi="Lucida Bright" w:cs="Calibri"/>
                <w:i/>
                <w:iCs/>
                <w:sz w:val="14"/>
                <w:szCs w:val="14"/>
                <w:lang w:val="es-ES"/>
              </w:rPr>
              <w:t xml:space="preserve">(2.601.155,62)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i/>
                <w:iCs/>
                <w:sz w:val="14"/>
                <w:szCs w:val="14"/>
                <w:lang w:val="es-ES"/>
              </w:rPr>
            </w:pPr>
            <w:r w:rsidRPr="00B41599">
              <w:rPr>
                <w:rFonts w:ascii="Lucida Bright" w:hAnsi="Lucida Bright" w:cs="Calibri"/>
                <w:i/>
                <w:iCs/>
                <w:sz w:val="14"/>
                <w:szCs w:val="14"/>
                <w:lang w:val="es-ES"/>
              </w:rPr>
              <w:t xml:space="preserve">(2.519.597,24)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300" w:firstLine="420"/>
              <w:rPr>
                <w:rFonts w:ascii="Lucida Bright" w:hAnsi="Lucida Bright" w:cs="Calibri"/>
                <w:i/>
                <w:iCs/>
                <w:sz w:val="14"/>
                <w:szCs w:val="14"/>
                <w:lang w:val="es-ES"/>
              </w:rPr>
            </w:pPr>
            <w:r w:rsidRPr="00B41599">
              <w:rPr>
                <w:rFonts w:ascii="Lucida Bright" w:hAnsi="Lucida Bright" w:cs="Calibri"/>
                <w:i/>
                <w:iCs/>
                <w:sz w:val="14"/>
                <w:szCs w:val="14"/>
                <w:lang w:val="es-ES"/>
              </w:rPr>
              <w:t>3. Suministros y consumos</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i/>
                <w:iCs/>
                <w:sz w:val="14"/>
                <w:szCs w:val="14"/>
                <w:lang w:val="es-ES"/>
              </w:rPr>
            </w:pPr>
            <w:r w:rsidRPr="00B41599">
              <w:rPr>
                <w:rFonts w:ascii="Lucida Bright" w:hAnsi="Lucida Bright" w:cs="Calibri"/>
                <w:i/>
                <w:iCs/>
                <w:sz w:val="14"/>
                <w:szCs w:val="14"/>
                <w:lang w:val="es-ES"/>
              </w:rPr>
              <w:t xml:space="preserve">(4.957.226,81)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i/>
                <w:iCs/>
                <w:sz w:val="14"/>
                <w:szCs w:val="14"/>
                <w:lang w:val="es-ES"/>
              </w:rPr>
            </w:pPr>
            <w:r w:rsidRPr="00B41599">
              <w:rPr>
                <w:rFonts w:ascii="Lucida Bright" w:hAnsi="Lucida Bright" w:cs="Calibri"/>
                <w:i/>
                <w:iCs/>
                <w:sz w:val="14"/>
                <w:szCs w:val="14"/>
                <w:lang w:val="es-ES"/>
              </w:rPr>
              <w:t xml:space="preserve">(4.480.616,48)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300" w:firstLine="420"/>
              <w:rPr>
                <w:rFonts w:ascii="Lucida Bright" w:hAnsi="Lucida Bright" w:cs="Calibri"/>
                <w:i/>
                <w:iCs/>
                <w:sz w:val="14"/>
                <w:szCs w:val="14"/>
                <w:lang w:val="es-ES"/>
              </w:rPr>
            </w:pPr>
            <w:r w:rsidRPr="00B41599">
              <w:rPr>
                <w:rFonts w:ascii="Lucida Bright" w:hAnsi="Lucida Bright" w:cs="Calibri"/>
                <w:i/>
                <w:iCs/>
                <w:sz w:val="14"/>
                <w:szCs w:val="14"/>
                <w:lang w:val="es-ES"/>
              </w:rPr>
              <w:t>4. Otros servicios exteriores</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i/>
                <w:iCs/>
                <w:sz w:val="14"/>
                <w:szCs w:val="14"/>
                <w:lang w:val="es-ES"/>
              </w:rPr>
            </w:pPr>
            <w:r w:rsidRPr="00B41599">
              <w:rPr>
                <w:rFonts w:ascii="Lucida Bright" w:hAnsi="Lucida Bright" w:cs="Calibri"/>
                <w:i/>
                <w:iCs/>
                <w:sz w:val="14"/>
                <w:szCs w:val="14"/>
                <w:lang w:val="es-ES"/>
              </w:rPr>
              <w:t xml:space="preserve">(7.033.595,14)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i/>
                <w:iCs/>
                <w:sz w:val="14"/>
                <w:szCs w:val="14"/>
                <w:lang w:val="es-ES"/>
              </w:rPr>
            </w:pPr>
            <w:r w:rsidRPr="00B41599">
              <w:rPr>
                <w:rFonts w:ascii="Lucida Bright" w:hAnsi="Lucida Bright" w:cs="Calibri"/>
                <w:i/>
                <w:iCs/>
                <w:sz w:val="14"/>
                <w:szCs w:val="14"/>
                <w:lang w:val="es-ES"/>
              </w:rPr>
              <w:t xml:space="preserve">(6.143.344,10)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b) Tributos</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(1.282.787,19)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(1.148.117,80)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c) Pérdidas, deterioro y variación de provisiones por operaciones comerciales</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(443.619,02)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(413.244,89)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d) Otros gastos de gestión corriente</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(761.744,23)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(8.565.780,13)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14.a</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e) Aportación a Puertos del Estado art. 19.1.b) TRLPEMM</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(1.022.836,11)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(984.816,43)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 xml:space="preserve">f) Fondo de Compensación </w:t>
            </w:r>
            <w:proofErr w:type="spellStart"/>
            <w:r w:rsidRPr="00B41599">
              <w:rPr>
                <w:rFonts w:ascii="Lucida Bright" w:hAnsi="Lucida Bright" w:cs="Calibri"/>
                <w:sz w:val="14"/>
                <w:szCs w:val="14"/>
                <w:lang w:val="es-ES"/>
              </w:rPr>
              <w:t>Interportuario</w:t>
            </w:r>
            <w:proofErr w:type="spellEnd"/>
            <w:r w:rsidRPr="00B41599">
              <w:rPr>
                <w:rFonts w:ascii="Lucida Bright" w:hAnsi="Lucida Bright" w:cs="Calibri"/>
                <w:sz w:val="14"/>
                <w:szCs w:val="14"/>
                <w:lang w:val="es-ES"/>
              </w:rPr>
              <w:t xml:space="preserve"> aportado</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(1.458.000,00)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(1.303.000,00)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14.c</w:t>
            </w:r>
          </w:p>
        </w:tc>
      </w:tr>
      <w:tr w:rsidR="00B41599" w:rsidRPr="00B41599" w:rsidTr="00B41599">
        <w:trPr>
          <w:trHeight w:val="71"/>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ind w:firstLineChars="100" w:firstLine="141"/>
              <w:rPr>
                <w:rFonts w:ascii="Lucida Bright" w:hAnsi="Lucida Bright" w:cs="Calibri"/>
                <w:b/>
                <w:bCs/>
                <w:sz w:val="14"/>
                <w:szCs w:val="14"/>
                <w:lang w:val="es-ES"/>
              </w:rPr>
            </w:pPr>
            <w:r w:rsidRPr="00B41599">
              <w:rPr>
                <w:rFonts w:ascii="Lucida Bright" w:hAnsi="Lucida Bright" w:cs="Calibri"/>
                <w:b/>
                <w:bCs/>
                <w:sz w:val="14"/>
                <w:szCs w:val="14"/>
                <w:lang w:val="es-ES"/>
              </w:rPr>
              <w:t>8. Amortizaciones del inmovilizado</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(19.348.744,55)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(18.532.515,35)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71"/>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ind w:firstLineChars="100" w:firstLine="141"/>
              <w:rPr>
                <w:rFonts w:ascii="Lucida Bright" w:hAnsi="Lucida Bright" w:cs="Calibri"/>
                <w:b/>
                <w:bCs/>
                <w:sz w:val="14"/>
                <w:szCs w:val="14"/>
                <w:lang w:val="es-ES"/>
              </w:rPr>
            </w:pPr>
            <w:r w:rsidRPr="00B41599">
              <w:rPr>
                <w:rFonts w:ascii="Lucida Bright" w:hAnsi="Lucida Bright" w:cs="Calibri"/>
                <w:b/>
                <w:bCs/>
                <w:sz w:val="14"/>
                <w:szCs w:val="14"/>
                <w:lang w:val="es-ES"/>
              </w:rPr>
              <w:t>9. Imputación de subvenciones de inmovilizado no financiero y otras</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969.362,82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942.332,47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11</w:t>
            </w:r>
          </w:p>
        </w:tc>
      </w:tr>
      <w:tr w:rsidR="00B41599" w:rsidRPr="00B41599" w:rsidTr="00B41599">
        <w:trPr>
          <w:trHeight w:val="71"/>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ind w:firstLineChars="100" w:firstLine="141"/>
              <w:rPr>
                <w:rFonts w:ascii="Lucida Bright" w:hAnsi="Lucida Bright" w:cs="Calibri"/>
                <w:b/>
                <w:bCs/>
                <w:sz w:val="14"/>
                <w:szCs w:val="14"/>
                <w:lang w:val="es-ES"/>
              </w:rPr>
            </w:pPr>
            <w:r w:rsidRPr="00B41599">
              <w:rPr>
                <w:rFonts w:ascii="Lucida Bright" w:hAnsi="Lucida Bright" w:cs="Calibri"/>
                <w:b/>
                <w:bCs/>
                <w:sz w:val="14"/>
                <w:szCs w:val="14"/>
                <w:lang w:val="es-ES"/>
              </w:rPr>
              <w:t>10. Excesos de provisiones</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0" w:type="auto"/>
            <w:tcBorders>
              <w:top w:val="nil"/>
              <w:left w:val="nil"/>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462.941,70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r>
      <w:tr w:rsidR="00B41599" w:rsidRPr="00B41599" w:rsidTr="00B41599">
        <w:trPr>
          <w:trHeight w:val="71"/>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nil"/>
              <w:bottom w:val="nil"/>
              <w:right w:val="nil"/>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ind w:firstLineChars="100" w:firstLine="141"/>
              <w:rPr>
                <w:rFonts w:ascii="Lucida Bright" w:hAnsi="Lucida Bright" w:cs="Calibri"/>
                <w:b/>
                <w:bCs/>
                <w:sz w:val="14"/>
                <w:szCs w:val="14"/>
                <w:lang w:val="es-ES"/>
              </w:rPr>
            </w:pPr>
            <w:r w:rsidRPr="00B41599">
              <w:rPr>
                <w:rFonts w:ascii="Lucida Bright" w:hAnsi="Lucida Bright" w:cs="Calibri"/>
                <w:b/>
                <w:bCs/>
                <w:sz w:val="14"/>
                <w:szCs w:val="14"/>
                <w:lang w:val="es-ES"/>
              </w:rPr>
              <w:t>11. Deterioro y resultado por enajenaciones del inmovilizado</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(398.372,74)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542.487,87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a) Deterioros y pérdidas</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0" w:type="auto"/>
            <w:tcBorders>
              <w:top w:val="nil"/>
              <w:left w:val="nil"/>
              <w:bottom w:val="nil"/>
              <w:right w:val="nil"/>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b) Resultados por enajenaciones y otras</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(398.372,74)  </w:t>
            </w:r>
          </w:p>
        </w:tc>
        <w:tc>
          <w:tcPr>
            <w:tcW w:w="0" w:type="auto"/>
            <w:tcBorders>
              <w:top w:val="nil"/>
              <w:left w:val="nil"/>
              <w:bottom w:val="nil"/>
              <w:right w:val="nil"/>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542.487,87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71"/>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nil"/>
              <w:bottom w:val="nil"/>
              <w:right w:val="nil"/>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ind w:firstLineChars="100" w:firstLine="141"/>
              <w:rPr>
                <w:rFonts w:ascii="Lucida Bright" w:hAnsi="Lucida Bright" w:cs="Calibri"/>
                <w:b/>
                <w:bCs/>
                <w:sz w:val="14"/>
                <w:szCs w:val="14"/>
                <w:lang w:val="es-ES"/>
              </w:rPr>
            </w:pPr>
            <w:r w:rsidRPr="00B41599">
              <w:rPr>
                <w:rFonts w:ascii="Lucida Bright" w:hAnsi="Lucida Bright" w:cs="Calibri"/>
                <w:b/>
                <w:bCs/>
                <w:sz w:val="14"/>
                <w:szCs w:val="14"/>
                <w:lang w:val="es-ES"/>
              </w:rPr>
              <w:t>12. Otros resultados</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(100,00)  </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28.792,88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a) Ingresos excepcionales</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0" w:type="auto"/>
            <w:tcBorders>
              <w:top w:val="nil"/>
              <w:left w:val="nil"/>
              <w:bottom w:val="nil"/>
              <w:right w:val="nil"/>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28.792,88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b) Gastos excepcionales</w:t>
            </w:r>
          </w:p>
        </w:tc>
        <w:tc>
          <w:tcPr>
            <w:tcW w:w="0" w:type="auto"/>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(100,00)  </w:t>
            </w:r>
          </w:p>
        </w:tc>
        <w:tc>
          <w:tcPr>
            <w:tcW w:w="0" w:type="auto"/>
            <w:tcBorders>
              <w:top w:val="nil"/>
              <w:left w:val="nil"/>
              <w:bottom w:val="nil"/>
              <w:right w:val="nil"/>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71"/>
        </w:trPr>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nil"/>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0" w:type="auto"/>
            <w:tcBorders>
              <w:top w:val="nil"/>
              <w:left w:val="nil"/>
              <w:bottom w:val="nil"/>
              <w:right w:val="nil"/>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p>
        </w:tc>
        <w:tc>
          <w:tcPr>
            <w:tcW w:w="0" w:type="auto"/>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188"/>
        </w:trPr>
        <w:tc>
          <w:tcPr>
            <w:tcW w:w="0" w:type="auto"/>
            <w:tcBorders>
              <w:top w:val="nil"/>
              <w:left w:val="single" w:sz="4" w:space="0" w:color="auto"/>
              <w:bottom w:val="single" w:sz="4" w:space="0" w:color="auto"/>
              <w:right w:val="single" w:sz="4" w:space="0" w:color="auto"/>
            </w:tcBorders>
            <w:shd w:val="clear" w:color="000000" w:fill="CCFFCC"/>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A.1. RESULTADO DE EXPLOTACIÓN (1+3+5+6+7+8+9+10+11+12)</w:t>
            </w:r>
          </w:p>
        </w:tc>
        <w:tc>
          <w:tcPr>
            <w:tcW w:w="0" w:type="auto"/>
            <w:tcBorders>
              <w:top w:val="nil"/>
              <w:left w:val="nil"/>
              <w:bottom w:val="single" w:sz="4" w:space="0" w:color="auto"/>
              <w:right w:val="single" w:sz="4" w:space="0" w:color="auto"/>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42.429.411,69  </w:t>
            </w:r>
          </w:p>
        </w:tc>
        <w:tc>
          <w:tcPr>
            <w:tcW w:w="0" w:type="auto"/>
            <w:tcBorders>
              <w:top w:val="nil"/>
              <w:left w:val="nil"/>
              <w:bottom w:val="single" w:sz="4" w:space="0" w:color="auto"/>
              <w:right w:val="single" w:sz="4" w:space="0" w:color="auto"/>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32.663.502,97  </w:t>
            </w:r>
          </w:p>
        </w:tc>
        <w:tc>
          <w:tcPr>
            <w:tcW w:w="0" w:type="auto"/>
            <w:tcBorders>
              <w:top w:val="nil"/>
              <w:left w:val="single" w:sz="4" w:space="0" w:color="auto"/>
              <w:bottom w:val="single" w:sz="4" w:space="0" w:color="auto"/>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4"/>
                <w:szCs w:val="14"/>
                <w:lang w:val="es-ES"/>
              </w:rPr>
            </w:pPr>
            <w:r w:rsidRPr="00B41599">
              <w:rPr>
                <w:rFonts w:ascii="Lucida Bright" w:hAnsi="Lucida Bright" w:cs="Calibri"/>
                <w:b/>
                <w:bCs/>
                <w:sz w:val="14"/>
                <w:szCs w:val="14"/>
                <w:lang w:val="es-ES"/>
              </w:rPr>
              <w:t> </w:t>
            </w:r>
          </w:p>
        </w:tc>
      </w:tr>
    </w:tbl>
    <w:p w:rsidR="003C56C8" w:rsidRPr="00ED3379" w:rsidRDefault="003C56C8" w:rsidP="00E13AD1">
      <w:pPr>
        <w:rPr>
          <w:sz w:val="18"/>
        </w:rPr>
      </w:pPr>
    </w:p>
    <w:p w:rsidR="003C56C8" w:rsidRPr="00ED3379" w:rsidRDefault="003C56C8" w:rsidP="00E13AD1">
      <w:pPr>
        <w:rPr>
          <w:sz w:val="18"/>
        </w:rPr>
      </w:pPr>
    </w:p>
    <w:p w:rsidR="003C56C8" w:rsidRPr="00ED3379" w:rsidRDefault="003C56C8" w:rsidP="00E13AD1">
      <w:pPr>
        <w:rPr>
          <w:sz w:val="18"/>
        </w:rPr>
      </w:pPr>
    </w:p>
    <w:tbl>
      <w:tblPr>
        <w:tblW w:w="8652" w:type="dxa"/>
        <w:tblInd w:w="65" w:type="dxa"/>
        <w:tblLayout w:type="fixed"/>
        <w:tblCellMar>
          <w:left w:w="70" w:type="dxa"/>
          <w:right w:w="70" w:type="dxa"/>
        </w:tblCellMar>
        <w:tblLook w:val="04A0" w:firstRow="1" w:lastRow="0" w:firstColumn="1" w:lastColumn="0" w:noHBand="0" w:noVBand="1"/>
      </w:tblPr>
      <w:tblGrid>
        <w:gridCol w:w="5392"/>
        <w:gridCol w:w="1276"/>
        <w:gridCol w:w="1275"/>
        <w:gridCol w:w="709"/>
      </w:tblGrid>
      <w:tr w:rsidR="00B41599" w:rsidRPr="00B41599" w:rsidTr="00B41599">
        <w:trPr>
          <w:trHeight w:val="210"/>
        </w:trPr>
        <w:tc>
          <w:tcPr>
            <w:tcW w:w="5392" w:type="dxa"/>
            <w:tcBorders>
              <w:top w:val="single" w:sz="4" w:space="0" w:color="auto"/>
              <w:left w:val="single" w:sz="4" w:space="0" w:color="auto"/>
              <w:bottom w:val="nil"/>
              <w:right w:val="single" w:sz="4" w:space="0" w:color="auto"/>
            </w:tcBorders>
            <w:shd w:val="clear" w:color="000000" w:fill="CCFFCC"/>
            <w:noWrap/>
            <w:vAlign w:val="bottom"/>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lastRenderedPageBreak/>
              <w:t> </w:t>
            </w:r>
          </w:p>
        </w:tc>
        <w:tc>
          <w:tcPr>
            <w:tcW w:w="2551"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t>(Debe) Haber</w:t>
            </w:r>
          </w:p>
        </w:tc>
        <w:tc>
          <w:tcPr>
            <w:tcW w:w="709" w:type="dxa"/>
            <w:tcBorders>
              <w:top w:val="single" w:sz="4" w:space="0" w:color="auto"/>
              <w:left w:val="nil"/>
              <w:bottom w:val="single" w:sz="4" w:space="0" w:color="auto"/>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t> </w:t>
            </w:r>
          </w:p>
        </w:tc>
      </w:tr>
      <w:tr w:rsidR="00B41599" w:rsidRPr="00B41599" w:rsidTr="00B41599">
        <w:trPr>
          <w:trHeight w:val="210"/>
        </w:trPr>
        <w:tc>
          <w:tcPr>
            <w:tcW w:w="5392" w:type="dxa"/>
            <w:tcBorders>
              <w:top w:val="nil"/>
              <w:left w:val="single" w:sz="4" w:space="0" w:color="auto"/>
              <w:bottom w:val="single" w:sz="4" w:space="0" w:color="auto"/>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t> </w:t>
            </w:r>
          </w:p>
        </w:tc>
        <w:tc>
          <w:tcPr>
            <w:tcW w:w="1276" w:type="dxa"/>
            <w:tcBorders>
              <w:top w:val="nil"/>
              <w:left w:val="nil"/>
              <w:bottom w:val="single" w:sz="4" w:space="0" w:color="auto"/>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t>2023</w:t>
            </w:r>
          </w:p>
        </w:tc>
        <w:tc>
          <w:tcPr>
            <w:tcW w:w="1275" w:type="dxa"/>
            <w:tcBorders>
              <w:top w:val="nil"/>
              <w:left w:val="nil"/>
              <w:bottom w:val="single" w:sz="4" w:space="0" w:color="auto"/>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t>2022</w:t>
            </w:r>
          </w:p>
        </w:tc>
        <w:tc>
          <w:tcPr>
            <w:tcW w:w="709" w:type="dxa"/>
            <w:tcBorders>
              <w:top w:val="nil"/>
              <w:left w:val="nil"/>
              <w:bottom w:val="single" w:sz="4" w:space="0" w:color="auto"/>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t>Notas</w:t>
            </w:r>
          </w:p>
        </w:tc>
      </w:tr>
      <w:tr w:rsidR="00B41599" w:rsidRPr="00B41599" w:rsidTr="00B41599">
        <w:trPr>
          <w:trHeight w:val="210"/>
        </w:trPr>
        <w:tc>
          <w:tcPr>
            <w:tcW w:w="5392"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276" w:type="dxa"/>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275" w:type="dxa"/>
            <w:tcBorders>
              <w:top w:val="nil"/>
              <w:left w:val="nil"/>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p>
        </w:tc>
        <w:tc>
          <w:tcPr>
            <w:tcW w:w="709" w:type="dxa"/>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210"/>
        </w:trPr>
        <w:tc>
          <w:tcPr>
            <w:tcW w:w="5392"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ind w:firstLineChars="100" w:firstLine="141"/>
              <w:rPr>
                <w:rFonts w:ascii="Lucida Bright" w:hAnsi="Lucida Bright" w:cs="Calibri"/>
                <w:b/>
                <w:bCs/>
                <w:sz w:val="14"/>
                <w:szCs w:val="14"/>
                <w:lang w:val="es-ES"/>
              </w:rPr>
            </w:pPr>
            <w:r w:rsidRPr="00B41599">
              <w:rPr>
                <w:rFonts w:ascii="Lucida Bright" w:hAnsi="Lucida Bright" w:cs="Calibri"/>
                <w:b/>
                <w:bCs/>
                <w:sz w:val="14"/>
                <w:szCs w:val="14"/>
                <w:lang w:val="es-ES"/>
              </w:rPr>
              <w:t>12. Ingresos financieros</w:t>
            </w:r>
          </w:p>
        </w:tc>
        <w:tc>
          <w:tcPr>
            <w:tcW w:w="12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4.996.788,79  </w:t>
            </w:r>
          </w:p>
        </w:tc>
        <w:tc>
          <w:tcPr>
            <w:tcW w:w="1275"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208.314,76  </w:t>
            </w:r>
          </w:p>
        </w:tc>
        <w:tc>
          <w:tcPr>
            <w:tcW w:w="709" w:type="dxa"/>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14.b</w:t>
            </w:r>
          </w:p>
        </w:tc>
      </w:tr>
      <w:tr w:rsidR="00B41599" w:rsidRPr="00B41599" w:rsidTr="00B41599">
        <w:trPr>
          <w:trHeight w:val="210"/>
        </w:trPr>
        <w:tc>
          <w:tcPr>
            <w:tcW w:w="5392" w:type="dxa"/>
            <w:tcBorders>
              <w:top w:val="nil"/>
              <w:left w:val="single" w:sz="4" w:space="0" w:color="auto"/>
              <w:bottom w:val="nil"/>
              <w:right w:val="single" w:sz="4" w:space="0" w:color="auto"/>
            </w:tcBorders>
            <w:shd w:val="clear" w:color="auto" w:fill="auto"/>
            <w:noWrap/>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a) De participaciones en instrumentos de patrimonio</w:t>
            </w:r>
          </w:p>
        </w:tc>
        <w:tc>
          <w:tcPr>
            <w:tcW w:w="1276" w:type="dxa"/>
            <w:tcBorders>
              <w:top w:val="nil"/>
              <w:left w:val="nil"/>
              <w:bottom w:val="nil"/>
              <w:right w:val="single" w:sz="4" w:space="0" w:color="auto"/>
            </w:tcBorders>
            <w:shd w:val="clear" w:color="auto" w:fill="auto"/>
            <w:noWrap/>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1275" w:type="dxa"/>
            <w:tcBorders>
              <w:top w:val="nil"/>
              <w:left w:val="nil"/>
              <w:bottom w:val="nil"/>
              <w:right w:val="nil"/>
            </w:tcBorders>
            <w:shd w:val="clear" w:color="auto" w:fill="auto"/>
            <w:noWrap/>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709" w:type="dxa"/>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210"/>
        </w:trPr>
        <w:tc>
          <w:tcPr>
            <w:tcW w:w="5392" w:type="dxa"/>
            <w:tcBorders>
              <w:top w:val="nil"/>
              <w:left w:val="single" w:sz="4" w:space="0" w:color="auto"/>
              <w:bottom w:val="nil"/>
              <w:right w:val="single" w:sz="4" w:space="0" w:color="auto"/>
            </w:tcBorders>
            <w:shd w:val="clear" w:color="auto" w:fill="auto"/>
            <w:noWrap/>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b) De valores negociables y otros instrumentos financieros</w:t>
            </w:r>
          </w:p>
        </w:tc>
        <w:tc>
          <w:tcPr>
            <w:tcW w:w="1276" w:type="dxa"/>
            <w:tcBorders>
              <w:top w:val="nil"/>
              <w:left w:val="nil"/>
              <w:bottom w:val="nil"/>
              <w:right w:val="single" w:sz="4" w:space="0" w:color="auto"/>
            </w:tcBorders>
            <w:shd w:val="clear" w:color="auto" w:fill="auto"/>
            <w:noWrap/>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4.996.788,79  </w:t>
            </w:r>
          </w:p>
        </w:tc>
        <w:tc>
          <w:tcPr>
            <w:tcW w:w="1275" w:type="dxa"/>
            <w:tcBorders>
              <w:top w:val="nil"/>
              <w:left w:val="nil"/>
              <w:bottom w:val="nil"/>
              <w:right w:val="nil"/>
            </w:tcBorders>
            <w:shd w:val="clear" w:color="auto" w:fill="auto"/>
            <w:noWrap/>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208.314,76  </w:t>
            </w:r>
          </w:p>
        </w:tc>
        <w:tc>
          <w:tcPr>
            <w:tcW w:w="709" w:type="dxa"/>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210"/>
        </w:trPr>
        <w:tc>
          <w:tcPr>
            <w:tcW w:w="5392" w:type="dxa"/>
            <w:tcBorders>
              <w:top w:val="nil"/>
              <w:left w:val="single" w:sz="4" w:space="0" w:color="auto"/>
              <w:bottom w:val="nil"/>
              <w:right w:val="single" w:sz="4" w:space="0" w:color="auto"/>
            </w:tcBorders>
            <w:shd w:val="clear" w:color="auto" w:fill="auto"/>
            <w:noWrap/>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c) Incorporación al activo de gastos financieros</w:t>
            </w:r>
          </w:p>
        </w:tc>
        <w:tc>
          <w:tcPr>
            <w:tcW w:w="1276" w:type="dxa"/>
            <w:tcBorders>
              <w:top w:val="nil"/>
              <w:left w:val="nil"/>
              <w:bottom w:val="nil"/>
              <w:right w:val="single" w:sz="4" w:space="0" w:color="auto"/>
            </w:tcBorders>
            <w:shd w:val="clear" w:color="auto" w:fill="auto"/>
            <w:noWrap/>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1275" w:type="dxa"/>
            <w:tcBorders>
              <w:top w:val="nil"/>
              <w:left w:val="nil"/>
              <w:bottom w:val="nil"/>
              <w:right w:val="nil"/>
            </w:tcBorders>
            <w:shd w:val="clear" w:color="auto" w:fill="auto"/>
            <w:noWrap/>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709" w:type="dxa"/>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210"/>
        </w:trPr>
        <w:tc>
          <w:tcPr>
            <w:tcW w:w="5392"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ind w:firstLineChars="100" w:firstLine="141"/>
              <w:rPr>
                <w:rFonts w:ascii="Lucida Bright" w:hAnsi="Lucida Bright" w:cs="Calibri"/>
                <w:b/>
                <w:bCs/>
                <w:sz w:val="14"/>
                <w:szCs w:val="14"/>
                <w:lang w:val="es-ES"/>
              </w:rPr>
            </w:pPr>
            <w:r w:rsidRPr="00B41599">
              <w:rPr>
                <w:rFonts w:ascii="Lucida Bright" w:hAnsi="Lucida Bright" w:cs="Calibri"/>
                <w:b/>
                <w:bCs/>
                <w:sz w:val="14"/>
                <w:szCs w:val="14"/>
                <w:lang w:val="es-ES"/>
              </w:rPr>
              <w:t>13. Gastos financieros</w:t>
            </w:r>
          </w:p>
        </w:tc>
        <w:tc>
          <w:tcPr>
            <w:tcW w:w="12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(366.112,01)  </w:t>
            </w:r>
          </w:p>
        </w:tc>
        <w:tc>
          <w:tcPr>
            <w:tcW w:w="1275"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(64.222,33)  </w:t>
            </w:r>
          </w:p>
        </w:tc>
        <w:tc>
          <w:tcPr>
            <w:tcW w:w="709" w:type="dxa"/>
            <w:tcBorders>
              <w:top w:val="nil"/>
              <w:left w:val="single" w:sz="4" w:space="0" w:color="auto"/>
              <w:bottom w:val="nil"/>
              <w:right w:val="single" w:sz="4" w:space="0" w:color="auto"/>
            </w:tcBorders>
            <w:shd w:val="clear" w:color="auto" w:fill="auto"/>
            <w:noWrap/>
            <w:vAlign w:val="bottom"/>
            <w:hideMark/>
          </w:tcPr>
          <w:p w:rsidR="00B41599" w:rsidRPr="00B41599" w:rsidRDefault="00093913" w:rsidP="00B41599">
            <w:pPr>
              <w:jc w:val="center"/>
              <w:rPr>
                <w:rFonts w:ascii="Calibri" w:hAnsi="Calibri" w:cs="Calibri"/>
                <w:color w:val="000000"/>
                <w:sz w:val="14"/>
                <w:szCs w:val="14"/>
                <w:lang w:val="es-ES"/>
              </w:rPr>
            </w:pPr>
            <w:r>
              <w:rPr>
                <w:rFonts w:ascii="Lucida Bright" w:hAnsi="Lucida Bright" w:cs="Calibri"/>
                <w:color w:val="000000"/>
                <w:sz w:val="14"/>
                <w:szCs w:val="14"/>
                <w:lang w:val="es-ES"/>
              </w:rPr>
              <w:t>14.a</w:t>
            </w:r>
          </w:p>
        </w:tc>
      </w:tr>
      <w:tr w:rsidR="00B41599" w:rsidRPr="00B41599" w:rsidTr="00B41599">
        <w:trPr>
          <w:trHeight w:val="210"/>
        </w:trPr>
        <w:tc>
          <w:tcPr>
            <w:tcW w:w="5392" w:type="dxa"/>
            <w:tcBorders>
              <w:top w:val="nil"/>
              <w:left w:val="single" w:sz="4" w:space="0" w:color="auto"/>
              <w:bottom w:val="nil"/>
              <w:right w:val="single" w:sz="4" w:space="0" w:color="auto"/>
            </w:tcBorders>
            <w:shd w:val="clear" w:color="auto" w:fill="auto"/>
            <w:noWrap/>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a) Por deudas con terceros</w:t>
            </w:r>
          </w:p>
        </w:tc>
        <w:tc>
          <w:tcPr>
            <w:tcW w:w="1276" w:type="dxa"/>
            <w:tcBorders>
              <w:top w:val="nil"/>
              <w:left w:val="nil"/>
              <w:bottom w:val="nil"/>
              <w:right w:val="single" w:sz="4" w:space="0" w:color="auto"/>
            </w:tcBorders>
            <w:shd w:val="clear" w:color="auto" w:fill="auto"/>
            <w:noWrap/>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(2.909,60)  </w:t>
            </w:r>
          </w:p>
        </w:tc>
        <w:tc>
          <w:tcPr>
            <w:tcW w:w="1275" w:type="dxa"/>
            <w:tcBorders>
              <w:top w:val="nil"/>
              <w:left w:val="nil"/>
              <w:bottom w:val="nil"/>
              <w:right w:val="nil"/>
            </w:tcBorders>
            <w:shd w:val="clear" w:color="auto" w:fill="auto"/>
            <w:noWrap/>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(2.183,37)  </w:t>
            </w:r>
          </w:p>
        </w:tc>
        <w:tc>
          <w:tcPr>
            <w:tcW w:w="709" w:type="dxa"/>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210"/>
        </w:trPr>
        <w:tc>
          <w:tcPr>
            <w:tcW w:w="5392" w:type="dxa"/>
            <w:tcBorders>
              <w:top w:val="nil"/>
              <w:left w:val="single" w:sz="4" w:space="0" w:color="auto"/>
              <w:bottom w:val="nil"/>
              <w:right w:val="single" w:sz="4" w:space="0" w:color="auto"/>
            </w:tcBorders>
            <w:shd w:val="clear" w:color="auto" w:fill="auto"/>
            <w:noWrap/>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b) Por actualización de provisiones</w:t>
            </w:r>
          </w:p>
        </w:tc>
        <w:tc>
          <w:tcPr>
            <w:tcW w:w="1276" w:type="dxa"/>
            <w:tcBorders>
              <w:top w:val="nil"/>
              <w:left w:val="nil"/>
              <w:bottom w:val="nil"/>
              <w:right w:val="single" w:sz="4" w:space="0" w:color="auto"/>
            </w:tcBorders>
            <w:shd w:val="clear" w:color="auto" w:fill="auto"/>
            <w:noWrap/>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(363.202,41)  </w:t>
            </w:r>
          </w:p>
        </w:tc>
        <w:tc>
          <w:tcPr>
            <w:tcW w:w="1275" w:type="dxa"/>
            <w:tcBorders>
              <w:top w:val="nil"/>
              <w:left w:val="nil"/>
              <w:bottom w:val="nil"/>
              <w:right w:val="nil"/>
            </w:tcBorders>
            <w:shd w:val="clear" w:color="auto" w:fill="auto"/>
            <w:noWrap/>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(62.038,96)  </w:t>
            </w:r>
          </w:p>
        </w:tc>
        <w:tc>
          <w:tcPr>
            <w:tcW w:w="709" w:type="dxa"/>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210"/>
        </w:trPr>
        <w:tc>
          <w:tcPr>
            <w:tcW w:w="5392"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276" w:type="dxa"/>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275" w:type="dxa"/>
            <w:tcBorders>
              <w:top w:val="nil"/>
              <w:left w:val="nil"/>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p>
        </w:tc>
        <w:tc>
          <w:tcPr>
            <w:tcW w:w="709" w:type="dxa"/>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210"/>
        </w:trPr>
        <w:tc>
          <w:tcPr>
            <w:tcW w:w="5392"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ind w:firstLineChars="100" w:firstLine="141"/>
              <w:rPr>
                <w:rFonts w:ascii="Lucida Bright" w:hAnsi="Lucida Bright" w:cs="Calibri"/>
                <w:b/>
                <w:bCs/>
                <w:sz w:val="14"/>
                <w:szCs w:val="14"/>
                <w:lang w:val="es-ES"/>
              </w:rPr>
            </w:pPr>
            <w:r w:rsidRPr="00B41599">
              <w:rPr>
                <w:rFonts w:ascii="Lucida Bright" w:hAnsi="Lucida Bright" w:cs="Calibri"/>
                <w:b/>
                <w:bCs/>
                <w:sz w:val="14"/>
                <w:szCs w:val="14"/>
                <w:lang w:val="es-ES"/>
              </w:rPr>
              <w:t>14. Variación de valor razonable en instrumentos financieros</w:t>
            </w:r>
          </w:p>
        </w:tc>
        <w:tc>
          <w:tcPr>
            <w:tcW w:w="12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1275" w:type="dxa"/>
            <w:tcBorders>
              <w:top w:val="nil"/>
              <w:left w:val="nil"/>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709" w:type="dxa"/>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210"/>
        </w:trPr>
        <w:tc>
          <w:tcPr>
            <w:tcW w:w="5392"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276" w:type="dxa"/>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275" w:type="dxa"/>
            <w:tcBorders>
              <w:top w:val="nil"/>
              <w:left w:val="nil"/>
              <w:bottom w:val="nil"/>
              <w:right w:val="nil"/>
            </w:tcBorders>
            <w:shd w:val="clear" w:color="auto" w:fill="auto"/>
            <w:noWrap/>
            <w:vAlign w:val="center"/>
            <w:hideMark/>
          </w:tcPr>
          <w:p w:rsidR="00B41599" w:rsidRPr="00B41599" w:rsidRDefault="00B41599" w:rsidP="00B41599">
            <w:pPr>
              <w:rPr>
                <w:rFonts w:ascii="Lucida Bright" w:hAnsi="Lucida Bright" w:cs="Calibri"/>
                <w:b/>
                <w:bCs/>
                <w:sz w:val="14"/>
                <w:szCs w:val="14"/>
                <w:lang w:val="es-ES"/>
              </w:rPr>
            </w:pPr>
          </w:p>
        </w:tc>
        <w:tc>
          <w:tcPr>
            <w:tcW w:w="709" w:type="dxa"/>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210"/>
        </w:trPr>
        <w:tc>
          <w:tcPr>
            <w:tcW w:w="5392"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ind w:firstLineChars="100" w:firstLine="141"/>
              <w:rPr>
                <w:rFonts w:ascii="Lucida Bright" w:hAnsi="Lucida Bright" w:cs="Calibri"/>
                <w:b/>
                <w:bCs/>
                <w:sz w:val="14"/>
                <w:szCs w:val="14"/>
                <w:lang w:val="es-ES"/>
              </w:rPr>
            </w:pPr>
            <w:r w:rsidRPr="00B41599">
              <w:rPr>
                <w:rFonts w:ascii="Lucida Bright" w:hAnsi="Lucida Bright" w:cs="Calibri"/>
                <w:b/>
                <w:bCs/>
                <w:sz w:val="14"/>
                <w:szCs w:val="14"/>
                <w:lang w:val="es-ES"/>
              </w:rPr>
              <w:t>16. Deterioro y resultado por enajenaciones de instrumentos financieros</w:t>
            </w:r>
          </w:p>
        </w:tc>
        <w:tc>
          <w:tcPr>
            <w:tcW w:w="12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(9.713,29)  </w:t>
            </w:r>
          </w:p>
        </w:tc>
        <w:tc>
          <w:tcPr>
            <w:tcW w:w="1275"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709" w:type="dxa"/>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210"/>
        </w:trPr>
        <w:tc>
          <w:tcPr>
            <w:tcW w:w="5392" w:type="dxa"/>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a) Deterioros y pérdidas.</w:t>
            </w:r>
          </w:p>
        </w:tc>
        <w:tc>
          <w:tcPr>
            <w:tcW w:w="12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(9.713,29)  </w:t>
            </w:r>
          </w:p>
        </w:tc>
        <w:tc>
          <w:tcPr>
            <w:tcW w:w="1275" w:type="dxa"/>
            <w:tcBorders>
              <w:top w:val="nil"/>
              <w:left w:val="nil"/>
              <w:bottom w:val="nil"/>
              <w:right w:val="nil"/>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709" w:type="dxa"/>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210"/>
        </w:trPr>
        <w:tc>
          <w:tcPr>
            <w:tcW w:w="5392" w:type="dxa"/>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ind w:firstLineChars="200" w:firstLine="280"/>
              <w:rPr>
                <w:rFonts w:ascii="Lucida Bright" w:hAnsi="Lucida Bright" w:cs="Calibri"/>
                <w:sz w:val="14"/>
                <w:szCs w:val="14"/>
                <w:lang w:val="es-ES"/>
              </w:rPr>
            </w:pPr>
            <w:r w:rsidRPr="00B41599">
              <w:rPr>
                <w:rFonts w:ascii="Lucida Bright" w:hAnsi="Lucida Bright" w:cs="Calibri"/>
                <w:sz w:val="14"/>
                <w:szCs w:val="14"/>
                <w:lang w:val="es-ES"/>
              </w:rPr>
              <w:t>b) Resultados por enajenaciones y otras</w:t>
            </w:r>
          </w:p>
        </w:tc>
        <w:tc>
          <w:tcPr>
            <w:tcW w:w="12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1275" w:type="dxa"/>
            <w:tcBorders>
              <w:top w:val="nil"/>
              <w:left w:val="nil"/>
              <w:bottom w:val="nil"/>
              <w:right w:val="nil"/>
            </w:tcBorders>
            <w:shd w:val="clear" w:color="auto" w:fill="auto"/>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709" w:type="dxa"/>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210"/>
        </w:trPr>
        <w:tc>
          <w:tcPr>
            <w:tcW w:w="5392"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276" w:type="dxa"/>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275" w:type="dxa"/>
            <w:tcBorders>
              <w:top w:val="nil"/>
              <w:left w:val="nil"/>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09" w:type="dxa"/>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210"/>
        </w:trPr>
        <w:tc>
          <w:tcPr>
            <w:tcW w:w="5392" w:type="dxa"/>
            <w:tcBorders>
              <w:top w:val="nil"/>
              <w:left w:val="single" w:sz="4" w:space="0" w:color="auto"/>
              <w:bottom w:val="nil"/>
              <w:right w:val="single" w:sz="4" w:space="0" w:color="auto"/>
            </w:tcBorders>
            <w:shd w:val="clear" w:color="000000" w:fill="CCFFCC"/>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A.2. RESULTADO FINANCIERO (12+13+14+16)</w:t>
            </w:r>
          </w:p>
        </w:tc>
        <w:tc>
          <w:tcPr>
            <w:tcW w:w="1276" w:type="dxa"/>
            <w:tcBorders>
              <w:top w:val="nil"/>
              <w:left w:val="nil"/>
              <w:bottom w:val="nil"/>
              <w:right w:val="single" w:sz="4" w:space="0" w:color="auto"/>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4.620.963,49  </w:t>
            </w:r>
          </w:p>
        </w:tc>
        <w:tc>
          <w:tcPr>
            <w:tcW w:w="1275" w:type="dxa"/>
            <w:tcBorders>
              <w:top w:val="nil"/>
              <w:left w:val="nil"/>
              <w:bottom w:val="nil"/>
              <w:right w:val="single" w:sz="4" w:space="0" w:color="auto"/>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144.092,43  </w:t>
            </w:r>
          </w:p>
        </w:tc>
        <w:tc>
          <w:tcPr>
            <w:tcW w:w="709" w:type="dxa"/>
            <w:tcBorders>
              <w:top w:val="nil"/>
              <w:left w:val="single" w:sz="4" w:space="0" w:color="auto"/>
              <w:bottom w:val="nil"/>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4"/>
                <w:szCs w:val="14"/>
                <w:lang w:val="es-ES"/>
              </w:rPr>
            </w:pPr>
            <w:r w:rsidRPr="00B41599">
              <w:rPr>
                <w:rFonts w:ascii="Lucida Bright" w:hAnsi="Lucida Bright" w:cs="Calibri"/>
                <w:b/>
                <w:bCs/>
                <w:sz w:val="14"/>
                <w:szCs w:val="14"/>
                <w:lang w:val="es-ES"/>
              </w:rPr>
              <w:t> </w:t>
            </w:r>
          </w:p>
        </w:tc>
      </w:tr>
      <w:tr w:rsidR="00B41599" w:rsidRPr="00B41599" w:rsidTr="00B41599">
        <w:trPr>
          <w:trHeight w:val="210"/>
        </w:trPr>
        <w:tc>
          <w:tcPr>
            <w:tcW w:w="5392"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276" w:type="dxa"/>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275" w:type="dxa"/>
            <w:tcBorders>
              <w:top w:val="nil"/>
              <w:left w:val="nil"/>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09" w:type="dxa"/>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210"/>
        </w:trPr>
        <w:tc>
          <w:tcPr>
            <w:tcW w:w="5392" w:type="dxa"/>
            <w:tcBorders>
              <w:top w:val="nil"/>
              <w:left w:val="single" w:sz="4" w:space="0" w:color="auto"/>
              <w:bottom w:val="nil"/>
              <w:right w:val="single" w:sz="4" w:space="0" w:color="auto"/>
            </w:tcBorders>
            <w:shd w:val="clear" w:color="000000" w:fill="CCFFCC"/>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A.3. RESULTADO ANTES DE IMPUESTOS (A.1+A.2)</w:t>
            </w:r>
          </w:p>
        </w:tc>
        <w:tc>
          <w:tcPr>
            <w:tcW w:w="1276" w:type="dxa"/>
            <w:tcBorders>
              <w:top w:val="nil"/>
              <w:left w:val="nil"/>
              <w:bottom w:val="nil"/>
              <w:right w:val="single" w:sz="4" w:space="0" w:color="auto"/>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47.050.375,18  </w:t>
            </w:r>
          </w:p>
        </w:tc>
        <w:tc>
          <w:tcPr>
            <w:tcW w:w="1275" w:type="dxa"/>
            <w:tcBorders>
              <w:top w:val="nil"/>
              <w:left w:val="nil"/>
              <w:bottom w:val="nil"/>
              <w:right w:val="single" w:sz="4" w:space="0" w:color="auto"/>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32.807.595,40  </w:t>
            </w:r>
          </w:p>
        </w:tc>
        <w:tc>
          <w:tcPr>
            <w:tcW w:w="709" w:type="dxa"/>
            <w:tcBorders>
              <w:top w:val="nil"/>
              <w:left w:val="single" w:sz="4" w:space="0" w:color="auto"/>
              <w:bottom w:val="nil"/>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4"/>
                <w:szCs w:val="14"/>
                <w:lang w:val="es-ES"/>
              </w:rPr>
            </w:pPr>
            <w:r w:rsidRPr="00B41599">
              <w:rPr>
                <w:rFonts w:ascii="Lucida Bright" w:hAnsi="Lucida Bright" w:cs="Calibri"/>
                <w:b/>
                <w:bCs/>
                <w:sz w:val="14"/>
                <w:szCs w:val="14"/>
                <w:lang w:val="es-ES"/>
              </w:rPr>
              <w:t> </w:t>
            </w:r>
          </w:p>
        </w:tc>
      </w:tr>
      <w:tr w:rsidR="00B41599" w:rsidRPr="00B41599" w:rsidTr="00B41599">
        <w:trPr>
          <w:trHeight w:val="210"/>
        </w:trPr>
        <w:tc>
          <w:tcPr>
            <w:tcW w:w="5392"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276" w:type="dxa"/>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275" w:type="dxa"/>
            <w:tcBorders>
              <w:top w:val="nil"/>
              <w:left w:val="nil"/>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p>
        </w:tc>
        <w:tc>
          <w:tcPr>
            <w:tcW w:w="709" w:type="dxa"/>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210"/>
        </w:trPr>
        <w:tc>
          <w:tcPr>
            <w:tcW w:w="5392"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ind w:firstLineChars="100" w:firstLine="141"/>
              <w:rPr>
                <w:rFonts w:ascii="Lucida Bright" w:hAnsi="Lucida Bright" w:cs="Calibri"/>
                <w:b/>
                <w:bCs/>
                <w:sz w:val="14"/>
                <w:szCs w:val="14"/>
                <w:lang w:val="es-ES"/>
              </w:rPr>
            </w:pPr>
            <w:r w:rsidRPr="00B41599">
              <w:rPr>
                <w:rFonts w:ascii="Lucida Bright" w:hAnsi="Lucida Bright" w:cs="Calibri"/>
                <w:b/>
                <w:bCs/>
                <w:sz w:val="14"/>
                <w:szCs w:val="14"/>
                <w:lang w:val="es-ES"/>
              </w:rPr>
              <w:t>17. Impuesto sobre beneficios</w:t>
            </w:r>
          </w:p>
        </w:tc>
        <w:tc>
          <w:tcPr>
            <w:tcW w:w="1276" w:type="dxa"/>
            <w:tcBorders>
              <w:top w:val="nil"/>
              <w:left w:val="nil"/>
              <w:bottom w:val="nil"/>
              <w:right w:val="single" w:sz="4" w:space="0" w:color="auto"/>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(38.268,16)  </w:t>
            </w:r>
          </w:p>
        </w:tc>
        <w:tc>
          <w:tcPr>
            <w:tcW w:w="1275" w:type="dxa"/>
            <w:tcBorders>
              <w:top w:val="nil"/>
              <w:left w:val="nil"/>
              <w:bottom w:val="nil"/>
              <w:right w:val="nil"/>
            </w:tcBorders>
            <w:shd w:val="clear" w:color="auto" w:fill="auto"/>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133.510,76  </w:t>
            </w:r>
          </w:p>
        </w:tc>
        <w:tc>
          <w:tcPr>
            <w:tcW w:w="709" w:type="dxa"/>
            <w:tcBorders>
              <w:top w:val="nil"/>
              <w:left w:val="single" w:sz="4" w:space="0" w:color="auto"/>
              <w:bottom w:val="nil"/>
              <w:right w:val="single" w:sz="4" w:space="0" w:color="auto"/>
            </w:tcBorders>
            <w:shd w:val="clear" w:color="auto" w:fill="auto"/>
            <w:noWrap/>
            <w:vAlign w:val="bottom"/>
            <w:hideMark/>
          </w:tcPr>
          <w:p w:rsidR="00B41599" w:rsidRPr="00B41599" w:rsidRDefault="00093913" w:rsidP="00B41599">
            <w:pPr>
              <w:jc w:val="center"/>
              <w:rPr>
                <w:rFonts w:ascii="Calibri" w:hAnsi="Calibri" w:cs="Calibri"/>
                <w:color w:val="000000"/>
                <w:sz w:val="14"/>
                <w:szCs w:val="14"/>
                <w:lang w:val="es-ES"/>
              </w:rPr>
            </w:pPr>
            <w:r>
              <w:rPr>
                <w:rFonts w:ascii="Lucida Bright" w:hAnsi="Lucida Bright" w:cs="Calibri"/>
                <w:color w:val="000000"/>
                <w:sz w:val="14"/>
                <w:szCs w:val="14"/>
                <w:lang w:val="es-ES"/>
              </w:rPr>
              <w:t>12</w:t>
            </w:r>
          </w:p>
        </w:tc>
      </w:tr>
      <w:tr w:rsidR="00B41599" w:rsidRPr="00B41599" w:rsidTr="00B41599">
        <w:trPr>
          <w:trHeight w:val="210"/>
        </w:trPr>
        <w:tc>
          <w:tcPr>
            <w:tcW w:w="5392" w:type="dxa"/>
            <w:tcBorders>
              <w:top w:val="nil"/>
              <w:left w:val="single" w:sz="4" w:space="0" w:color="auto"/>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276" w:type="dxa"/>
            <w:tcBorders>
              <w:top w:val="nil"/>
              <w:left w:val="nil"/>
              <w:bottom w:val="nil"/>
              <w:right w:val="single" w:sz="4" w:space="0" w:color="auto"/>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275" w:type="dxa"/>
            <w:tcBorders>
              <w:top w:val="nil"/>
              <w:left w:val="nil"/>
              <w:bottom w:val="nil"/>
              <w:right w:val="nil"/>
            </w:tcBorders>
            <w:shd w:val="clear" w:color="auto" w:fill="auto"/>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709" w:type="dxa"/>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r>
      <w:tr w:rsidR="00B41599" w:rsidRPr="00B41599" w:rsidTr="00B41599">
        <w:trPr>
          <w:trHeight w:val="210"/>
        </w:trPr>
        <w:tc>
          <w:tcPr>
            <w:tcW w:w="5392"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A.4. RESULTADO DEL EJERCICIO (A.3+17)</w:t>
            </w:r>
          </w:p>
        </w:tc>
        <w:tc>
          <w:tcPr>
            <w:tcW w:w="1276" w:type="dxa"/>
            <w:tcBorders>
              <w:top w:val="single" w:sz="4" w:space="0" w:color="auto"/>
              <w:left w:val="nil"/>
              <w:bottom w:val="single" w:sz="4" w:space="0" w:color="auto"/>
              <w:right w:val="single" w:sz="4" w:space="0" w:color="auto"/>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47.012.107,02  </w:t>
            </w:r>
          </w:p>
        </w:tc>
        <w:tc>
          <w:tcPr>
            <w:tcW w:w="127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32.941.106,16  </w:t>
            </w:r>
          </w:p>
        </w:tc>
        <w:tc>
          <w:tcPr>
            <w:tcW w:w="709" w:type="dxa"/>
            <w:tcBorders>
              <w:top w:val="single" w:sz="4" w:space="0" w:color="auto"/>
              <w:left w:val="nil"/>
              <w:bottom w:val="single" w:sz="4" w:space="0" w:color="auto"/>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4"/>
                <w:szCs w:val="14"/>
                <w:lang w:val="es-ES"/>
              </w:rPr>
            </w:pPr>
            <w:r w:rsidRPr="00B41599">
              <w:rPr>
                <w:rFonts w:ascii="Lucida Bright" w:hAnsi="Lucida Bright" w:cs="Calibri"/>
                <w:b/>
                <w:bCs/>
                <w:sz w:val="14"/>
                <w:szCs w:val="14"/>
                <w:lang w:val="es-ES"/>
              </w:rPr>
              <w:t> </w:t>
            </w:r>
          </w:p>
        </w:tc>
      </w:tr>
    </w:tbl>
    <w:p w:rsidR="00ED3379" w:rsidRDefault="00ED3379" w:rsidP="00E13AD1">
      <w:pPr>
        <w:rPr>
          <w:lang w:val="es-ES"/>
        </w:rPr>
      </w:pPr>
      <w:r>
        <w:fldChar w:fldCharType="begin"/>
      </w:r>
      <w:r>
        <w:instrText xml:space="preserve"> LINK </w:instrText>
      </w:r>
      <w:r w:rsidR="00D24A8A">
        <w:instrText xml:space="preserve">Excel.Sheet.12 "C:\\Users\\rnavarro\\Desktop\\MARGA POMAR\\CUENTAS ANUALES 2021\\_b. Pérdidas y Ganancias (1).xlsx" "_b. Pérdidas y Ganancias1!F67C1:F91C4" </w:instrText>
      </w:r>
      <w:r>
        <w:instrText xml:space="preserve">\a \f 4 \h  \* MERGEFORMAT </w:instrText>
      </w:r>
      <w:r>
        <w:fldChar w:fldCharType="separate"/>
      </w:r>
    </w:p>
    <w:p w:rsidR="00133B47" w:rsidRDefault="00ED3379" w:rsidP="00E13AD1">
      <w:pPr>
        <w:rPr>
          <w:lang w:val="es-ES"/>
        </w:rPr>
      </w:pPr>
      <w:r>
        <w:rPr>
          <w:sz w:val="18"/>
        </w:rPr>
        <w:fldChar w:fldCharType="end"/>
      </w:r>
      <w:r w:rsidR="00133B47">
        <w:rPr>
          <w:sz w:val="18"/>
        </w:rPr>
        <w:fldChar w:fldCharType="begin"/>
      </w:r>
      <w:r w:rsidR="00133B47">
        <w:rPr>
          <w:sz w:val="18"/>
        </w:rPr>
        <w:instrText xml:space="preserve"> LINK </w:instrText>
      </w:r>
      <w:r w:rsidR="00D24A8A">
        <w:rPr>
          <w:sz w:val="18"/>
        </w:rPr>
        <w:instrText xml:space="preserve">Excel.Sheet.12 "C:\\Users\\rnavarro\\Desktop\\MARGA POMAR\\CUENTAS ANUALES 2021\\_b. Pérdidas y Ganancias (1).xlsx" "_b. Pérdidas y Ganancias1!F67C1:F91C4" </w:instrText>
      </w:r>
      <w:r w:rsidR="00133B47">
        <w:rPr>
          <w:sz w:val="18"/>
        </w:rPr>
        <w:instrText xml:space="preserve">\a \f 4 \h  \* MERGEFORMAT </w:instrText>
      </w:r>
      <w:r w:rsidR="00133B47">
        <w:rPr>
          <w:sz w:val="18"/>
        </w:rPr>
        <w:fldChar w:fldCharType="separate"/>
      </w:r>
    </w:p>
    <w:p w:rsidR="003C56C8" w:rsidRPr="00ED3379" w:rsidRDefault="00133B47" w:rsidP="00E13AD1">
      <w:pPr>
        <w:rPr>
          <w:sz w:val="18"/>
        </w:rPr>
      </w:pPr>
      <w:r>
        <w:rPr>
          <w:sz w:val="18"/>
        </w:rPr>
        <w:fldChar w:fldCharType="end"/>
      </w:r>
    </w:p>
    <w:p w:rsidR="003C56C8" w:rsidRPr="00ED3379" w:rsidRDefault="003C56C8" w:rsidP="00E13AD1">
      <w:pPr>
        <w:rPr>
          <w:sz w:val="18"/>
        </w:rPr>
      </w:pPr>
    </w:p>
    <w:p w:rsidR="003C56C8" w:rsidRPr="00ED3379" w:rsidRDefault="003C56C8" w:rsidP="00E13AD1">
      <w:pPr>
        <w:rPr>
          <w:sz w:val="18"/>
        </w:rPr>
      </w:pPr>
    </w:p>
    <w:p w:rsidR="003C56C8" w:rsidRPr="00ED3379" w:rsidRDefault="003C56C8" w:rsidP="00E13AD1">
      <w:pPr>
        <w:rPr>
          <w:sz w:val="18"/>
        </w:rPr>
      </w:pPr>
    </w:p>
    <w:p w:rsidR="003C56C8" w:rsidRPr="00ED3379" w:rsidRDefault="003C56C8" w:rsidP="00E13AD1">
      <w:pPr>
        <w:rPr>
          <w:sz w:val="18"/>
        </w:rPr>
      </w:pPr>
    </w:p>
    <w:p w:rsidR="003C56C8" w:rsidRPr="00ED3379" w:rsidRDefault="003C56C8" w:rsidP="00E13AD1">
      <w:pPr>
        <w:rPr>
          <w:sz w:val="18"/>
        </w:rPr>
      </w:pPr>
    </w:p>
    <w:p w:rsidR="003C56C8" w:rsidRPr="00ED3379" w:rsidRDefault="003C56C8" w:rsidP="00E13AD1">
      <w:pPr>
        <w:rPr>
          <w:sz w:val="18"/>
        </w:rPr>
      </w:pPr>
    </w:p>
    <w:p w:rsidR="003C56C8" w:rsidRPr="00ED3379" w:rsidRDefault="003C56C8" w:rsidP="00E13AD1">
      <w:pPr>
        <w:rPr>
          <w:sz w:val="18"/>
        </w:rPr>
      </w:pPr>
    </w:p>
    <w:p w:rsidR="003C56C8" w:rsidRPr="00ED3379" w:rsidRDefault="003C56C8" w:rsidP="00E13AD1">
      <w:pPr>
        <w:rPr>
          <w:sz w:val="18"/>
        </w:rPr>
      </w:pPr>
    </w:p>
    <w:p w:rsidR="003C56C8" w:rsidRPr="00ED3379" w:rsidRDefault="003C56C8" w:rsidP="00E13AD1">
      <w:pPr>
        <w:rPr>
          <w:sz w:val="18"/>
        </w:rPr>
      </w:pPr>
    </w:p>
    <w:p w:rsidR="003C56C8" w:rsidRPr="00ED3379" w:rsidRDefault="003C56C8" w:rsidP="00E13AD1">
      <w:pPr>
        <w:rPr>
          <w:sz w:val="18"/>
        </w:rPr>
      </w:pPr>
    </w:p>
    <w:p w:rsidR="003C56C8" w:rsidRPr="00ED3379" w:rsidRDefault="003C56C8" w:rsidP="00E13AD1">
      <w:pPr>
        <w:rPr>
          <w:sz w:val="18"/>
        </w:rPr>
      </w:pPr>
    </w:p>
    <w:p w:rsidR="003C56C8" w:rsidRPr="00ED3379" w:rsidRDefault="003C56C8" w:rsidP="00E13AD1">
      <w:pPr>
        <w:rPr>
          <w:sz w:val="18"/>
        </w:rPr>
      </w:pPr>
    </w:p>
    <w:p w:rsidR="003C56C8" w:rsidRPr="00ED3379" w:rsidRDefault="003C56C8" w:rsidP="00E13AD1">
      <w:pPr>
        <w:rPr>
          <w:sz w:val="18"/>
        </w:rPr>
      </w:pPr>
    </w:p>
    <w:p w:rsidR="003C56C8" w:rsidRDefault="003C56C8" w:rsidP="00E13AD1"/>
    <w:p w:rsidR="003C56C8" w:rsidRDefault="003C56C8" w:rsidP="00E13AD1"/>
    <w:p w:rsidR="003C56C8" w:rsidRDefault="003C56C8" w:rsidP="00E13AD1"/>
    <w:p w:rsidR="003C56C8" w:rsidRDefault="003C56C8" w:rsidP="00E13AD1"/>
    <w:p w:rsidR="003C56C8" w:rsidRDefault="003C56C8" w:rsidP="00E13AD1"/>
    <w:p w:rsidR="003C56C8" w:rsidRDefault="003C56C8" w:rsidP="00E13AD1"/>
    <w:p w:rsidR="003C56C8" w:rsidRDefault="003C56C8" w:rsidP="00E13AD1"/>
    <w:p w:rsidR="003C56C8" w:rsidRDefault="003C56C8" w:rsidP="00E13AD1"/>
    <w:p w:rsidR="003C56C8" w:rsidRDefault="003C56C8" w:rsidP="00E13AD1"/>
    <w:p w:rsidR="003C56C8" w:rsidRDefault="003C56C8" w:rsidP="00E13AD1"/>
    <w:p w:rsidR="003C56C8" w:rsidRDefault="003C56C8" w:rsidP="00E13AD1"/>
    <w:p w:rsidR="006C4DD8" w:rsidRDefault="006C4DD8" w:rsidP="00E13AD1"/>
    <w:p w:rsidR="003C56C8" w:rsidRDefault="003C56C8" w:rsidP="00E13AD1">
      <w:pPr>
        <w:rPr>
          <w:rFonts w:ascii="Lucida Bright" w:hAnsi="Lucida Bright"/>
          <w:b/>
          <w:bCs/>
          <w:sz w:val="22"/>
          <w:szCs w:val="22"/>
        </w:rPr>
      </w:pPr>
    </w:p>
    <w:p w:rsidR="00CD3595" w:rsidRDefault="00CD3595" w:rsidP="00E13AD1">
      <w:pPr>
        <w:rPr>
          <w:rFonts w:ascii="Lucida Bright" w:hAnsi="Lucida Bright"/>
          <w:b/>
          <w:bCs/>
          <w:sz w:val="22"/>
          <w:szCs w:val="22"/>
        </w:rPr>
      </w:pPr>
    </w:p>
    <w:p w:rsidR="00B24377" w:rsidRDefault="00B24377" w:rsidP="00E13AD1">
      <w:pPr>
        <w:rPr>
          <w:rFonts w:ascii="Lucida Bright" w:hAnsi="Lucida Bright"/>
          <w:b/>
          <w:bCs/>
          <w:sz w:val="22"/>
          <w:szCs w:val="22"/>
        </w:rPr>
        <w:sectPr w:rsidR="00B24377" w:rsidSect="00F52C1B">
          <w:headerReference w:type="default" r:id="rId16"/>
          <w:footerReference w:type="default" r:id="rId17"/>
          <w:pgSz w:w="11907" w:h="16840" w:code="9"/>
          <w:pgMar w:top="1701" w:right="1418" w:bottom="1701" w:left="1985" w:header="567" w:footer="397" w:gutter="0"/>
          <w:cols w:space="720"/>
          <w:docGrid w:linePitch="272"/>
        </w:sectPr>
      </w:pPr>
    </w:p>
    <w:tbl>
      <w:tblPr>
        <w:tblW w:w="4960" w:type="pct"/>
        <w:tblCellMar>
          <w:left w:w="70" w:type="dxa"/>
          <w:right w:w="70" w:type="dxa"/>
        </w:tblCellMar>
        <w:tblLook w:val="04A0" w:firstRow="1" w:lastRow="0" w:firstColumn="1" w:lastColumn="0" w:noHBand="0" w:noVBand="1"/>
      </w:tblPr>
      <w:tblGrid>
        <w:gridCol w:w="8462"/>
        <w:gridCol w:w="308"/>
        <w:gridCol w:w="1702"/>
        <w:gridCol w:w="1702"/>
        <w:gridCol w:w="991"/>
        <w:gridCol w:w="304"/>
      </w:tblGrid>
      <w:tr w:rsidR="00B41599" w:rsidRPr="00B41599" w:rsidTr="00B41599">
        <w:trPr>
          <w:trHeight w:val="164"/>
        </w:trPr>
        <w:tc>
          <w:tcPr>
            <w:tcW w:w="5000" w:type="pct"/>
            <w:gridSpan w:val="6"/>
            <w:tcBorders>
              <w:top w:val="nil"/>
              <w:left w:val="nil"/>
              <w:bottom w:val="nil"/>
              <w:right w:val="nil"/>
            </w:tcBorders>
            <w:shd w:val="clear" w:color="000000" w:fill="FFFFFF"/>
            <w:noWrap/>
            <w:vAlign w:val="center"/>
            <w:hideMark/>
          </w:tcPr>
          <w:p w:rsidR="00B41599" w:rsidRPr="00B41599" w:rsidRDefault="00B41599" w:rsidP="00B41599">
            <w:pPr>
              <w:rPr>
                <w:rFonts w:ascii="Lucida Bright" w:hAnsi="Lucida Bright" w:cs="Calibri"/>
                <w:b/>
                <w:bCs/>
                <w:lang w:val="es-ES"/>
              </w:rPr>
            </w:pPr>
            <w:r w:rsidRPr="00B41599">
              <w:rPr>
                <w:rFonts w:ascii="Lucida Bright" w:hAnsi="Lucida Bright" w:cs="Calibri"/>
                <w:b/>
                <w:bCs/>
                <w:lang w:val="es-ES"/>
              </w:rPr>
              <w:lastRenderedPageBreak/>
              <w:t>Estado de cambios en el patrimonio neto correspondiente al ejercicio terminado el 31-12-23</w:t>
            </w:r>
          </w:p>
        </w:tc>
      </w:tr>
      <w:tr w:rsidR="00B41599" w:rsidRPr="00B41599" w:rsidTr="00B41599">
        <w:trPr>
          <w:trHeight w:val="164"/>
        </w:trPr>
        <w:tc>
          <w:tcPr>
            <w:tcW w:w="3141" w:type="pct"/>
            <w:tcBorders>
              <w:top w:val="nil"/>
              <w:left w:val="nil"/>
              <w:bottom w:val="nil"/>
              <w:right w:val="nil"/>
            </w:tcBorders>
            <w:shd w:val="clear" w:color="000000" w:fill="FFFFFF"/>
            <w:noWrap/>
            <w:vAlign w:val="bottom"/>
            <w:hideMark/>
          </w:tcPr>
          <w:p w:rsidR="00B41599" w:rsidRPr="00B41599" w:rsidRDefault="00B41599" w:rsidP="00B41599">
            <w:pPr>
              <w:rPr>
                <w:rFonts w:ascii="Lucida Bright" w:hAnsi="Lucida Bright" w:cs="Calibri"/>
                <w:b/>
                <w:bCs/>
                <w:lang w:val="es-ES"/>
              </w:rPr>
            </w:pPr>
            <w:r w:rsidRPr="00B41599">
              <w:rPr>
                <w:rFonts w:ascii="Lucida Bright" w:hAnsi="Lucida Bright" w:cs="Calibri"/>
                <w:b/>
                <w:bCs/>
                <w:lang w:val="es-ES"/>
              </w:rPr>
              <w:t> </w:t>
            </w:r>
          </w:p>
        </w:tc>
        <w:tc>
          <w:tcPr>
            <w:tcW w:w="114" w:type="pct"/>
            <w:tcBorders>
              <w:top w:val="nil"/>
              <w:left w:val="nil"/>
              <w:bottom w:val="nil"/>
              <w:right w:val="nil"/>
            </w:tcBorders>
            <w:shd w:val="clear" w:color="000000" w:fill="FFFFFF"/>
            <w:noWrap/>
            <w:vAlign w:val="bottom"/>
            <w:hideMark/>
          </w:tcPr>
          <w:p w:rsidR="00B41599" w:rsidRPr="00B41599" w:rsidRDefault="00B41599" w:rsidP="00B41599">
            <w:pPr>
              <w:rPr>
                <w:rFonts w:ascii="Lucida Bright" w:hAnsi="Lucida Bright" w:cs="Calibri"/>
                <w:b/>
                <w:bCs/>
                <w:lang w:val="es-ES"/>
              </w:rPr>
            </w:pPr>
            <w:r w:rsidRPr="00B41599">
              <w:rPr>
                <w:rFonts w:ascii="Lucida Bright" w:hAnsi="Lucida Bright" w:cs="Calibri"/>
                <w:b/>
                <w:bCs/>
                <w:lang w:val="es-ES"/>
              </w:rPr>
              <w:t> </w:t>
            </w:r>
          </w:p>
        </w:tc>
        <w:tc>
          <w:tcPr>
            <w:tcW w:w="632" w:type="pct"/>
            <w:tcBorders>
              <w:top w:val="nil"/>
              <w:left w:val="nil"/>
              <w:bottom w:val="nil"/>
              <w:right w:val="nil"/>
            </w:tcBorders>
            <w:shd w:val="clear" w:color="000000" w:fill="FFFFFF"/>
            <w:noWrap/>
            <w:vAlign w:val="bottom"/>
            <w:hideMark/>
          </w:tcPr>
          <w:p w:rsidR="00B41599" w:rsidRPr="00B41599" w:rsidRDefault="00B41599" w:rsidP="00B41599">
            <w:pPr>
              <w:rPr>
                <w:rFonts w:ascii="Lucida Bright" w:hAnsi="Lucida Bright" w:cs="Calibri"/>
                <w:lang w:val="es-ES"/>
              </w:rPr>
            </w:pPr>
            <w:r w:rsidRPr="00B41599">
              <w:rPr>
                <w:rFonts w:ascii="Lucida Bright" w:hAnsi="Lucida Bright" w:cs="Calibri"/>
                <w:lang w:val="es-ES"/>
              </w:rPr>
              <w:t> </w:t>
            </w:r>
          </w:p>
        </w:tc>
        <w:tc>
          <w:tcPr>
            <w:tcW w:w="632" w:type="pct"/>
            <w:tcBorders>
              <w:top w:val="nil"/>
              <w:left w:val="nil"/>
              <w:bottom w:val="nil"/>
              <w:right w:val="nil"/>
            </w:tcBorders>
            <w:shd w:val="clear" w:color="000000" w:fill="FFFFFF"/>
            <w:noWrap/>
            <w:vAlign w:val="bottom"/>
            <w:hideMark/>
          </w:tcPr>
          <w:p w:rsidR="00B41599" w:rsidRPr="00B41599" w:rsidRDefault="00B41599" w:rsidP="00B41599">
            <w:pPr>
              <w:jc w:val="right"/>
              <w:rPr>
                <w:rFonts w:ascii="Lucida Bright" w:hAnsi="Lucida Bright" w:cs="Calibri"/>
                <w:sz w:val="24"/>
                <w:szCs w:val="24"/>
                <w:lang w:val="es-ES"/>
              </w:rPr>
            </w:pPr>
            <w:r w:rsidRPr="00B41599">
              <w:rPr>
                <w:rFonts w:ascii="Lucida Bright" w:hAnsi="Lucida Bright" w:cs="Calibri"/>
                <w:sz w:val="24"/>
                <w:szCs w:val="24"/>
                <w:lang w:val="es-ES"/>
              </w:rPr>
              <w:t> </w:t>
            </w:r>
          </w:p>
        </w:tc>
        <w:tc>
          <w:tcPr>
            <w:tcW w:w="368" w:type="pct"/>
            <w:tcBorders>
              <w:top w:val="nil"/>
              <w:left w:val="nil"/>
              <w:bottom w:val="nil"/>
              <w:right w:val="nil"/>
            </w:tcBorders>
            <w:shd w:val="clear" w:color="000000" w:fill="FFFFFF"/>
            <w:noWrap/>
            <w:vAlign w:val="bottom"/>
            <w:hideMark/>
          </w:tcPr>
          <w:p w:rsidR="00B41599" w:rsidRPr="00B41599" w:rsidRDefault="00B41599" w:rsidP="00B41599">
            <w:pPr>
              <w:rPr>
                <w:rFonts w:ascii="Tahoma" w:hAnsi="Tahoma" w:cs="Tahoma"/>
                <w:b/>
                <w:bCs/>
                <w:lang w:val="es-ES"/>
              </w:rPr>
            </w:pPr>
            <w:r w:rsidRPr="00B41599">
              <w:rPr>
                <w:rFonts w:ascii="Tahoma" w:hAnsi="Tahoma" w:cs="Tahoma"/>
                <w:b/>
                <w:bCs/>
                <w:lang w:val="es-ES"/>
              </w:rPr>
              <w:t> </w:t>
            </w:r>
          </w:p>
        </w:tc>
        <w:tc>
          <w:tcPr>
            <w:tcW w:w="113" w:type="pct"/>
            <w:tcBorders>
              <w:top w:val="nil"/>
              <w:left w:val="nil"/>
              <w:bottom w:val="nil"/>
              <w:right w:val="nil"/>
            </w:tcBorders>
            <w:shd w:val="clear" w:color="000000" w:fill="FFFFFF"/>
            <w:noWrap/>
            <w:vAlign w:val="bottom"/>
            <w:hideMark/>
          </w:tcPr>
          <w:p w:rsidR="00B41599" w:rsidRPr="00B41599" w:rsidRDefault="00B41599" w:rsidP="00B41599">
            <w:pPr>
              <w:rPr>
                <w:rFonts w:ascii="Tahoma" w:hAnsi="Tahoma" w:cs="Tahoma"/>
                <w:b/>
                <w:bCs/>
                <w:lang w:val="es-ES"/>
              </w:rPr>
            </w:pPr>
            <w:r w:rsidRPr="00B41599">
              <w:rPr>
                <w:rFonts w:ascii="Tahoma" w:hAnsi="Tahoma" w:cs="Tahoma"/>
                <w:b/>
                <w:bCs/>
                <w:lang w:val="es-ES"/>
              </w:rPr>
              <w:t> </w:t>
            </w:r>
          </w:p>
        </w:tc>
      </w:tr>
      <w:tr w:rsidR="00B41599" w:rsidRPr="00B41599" w:rsidTr="00B41599">
        <w:trPr>
          <w:trHeight w:val="164"/>
        </w:trPr>
        <w:tc>
          <w:tcPr>
            <w:tcW w:w="5000" w:type="pct"/>
            <w:gridSpan w:val="6"/>
            <w:tcBorders>
              <w:top w:val="nil"/>
              <w:left w:val="nil"/>
              <w:bottom w:val="nil"/>
              <w:right w:val="nil"/>
            </w:tcBorders>
            <w:shd w:val="clear" w:color="000000" w:fill="FFFFFF"/>
            <w:vAlign w:val="center"/>
            <w:hideMark/>
          </w:tcPr>
          <w:p w:rsidR="00B41599" w:rsidRPr="00B41599" w:rsidRDefault="00B41599" w:rsidP="00B41599">
            <w:pPr>
              <w:rPr>
                <w:rFonts w:ascii="Lucida Bright" w:hAnsi="Lucida Bright" w:cs="Calibri"/>
                <w:b/>
                <w:bCs/>
                <w:lang w:val="es-ES"/>
              </w:rPr>
            </w:pPr>
            <w:r w:rsidRPr="00B41599">
              <w:rPr>
                <w:rFonts w:ascii="Lucida Bright" w:hAnsi="Lucida Bright" w:cs="Calibri"/>
                <w:b/>
                <w:bCs/>
                <w:lang w:val="es-ES"/>
              </w:rPr>
              <w:t>A) Estado de ingresos y gastos reconocidos correspondiente al ejercicio terminado el 31-12-23</w:t>
            </w:r>
          </w:p>
        </w:tc>
      </w:tr>
      <w:tr w:rsidR="00B41599" w:rsidRPr="00B41599" w:rsidTr="00B41599">
        <w:trPr>
          <w:trHeight w:val="234"/>
        </w:trPr>
        <w:tc>
          <w:tcPr>
            <w:tcW w:w="3141" w:type="pct"/>
            <w:tcBorders>
              <w:top w:val="nil"/>
              <w:left w:val="nil"/>
              <w:bottom w:val="nil"/>
              <w:right w:val="nil"/>
            </w:tcBorders>
            <w:shd w:val="clear" w:color="000000" w:fill="FFFFFF"/>
            <w:noWrap/>
            <w:vAlign w:val="center"/>
            <w:hideMark/>
          </w:tcPr>
          <w:p w:rsidR="00B41599" w:rsidRPr="00B41599" w:rsidRDefault="00B41599" w:rsidP="00B41599">
            <w:pPr>
              <w:rPr>
                <w:rFonts w:ascii="Lucida Bright" w:hAnsi="Lucida Bright" w:cs="Calibri"/>
                <w:sz w:val="16"/>
                <w:szCs w:val="16"/>
                <w:lang w:val="es-ES"/>
              </w:rPr>
            </w:pPr>
            <w:r w:rsidRPr="00B41599">
              <w:rPr>
                <w:rFonts w:ascii="Lucida Bright" w:hAnsi="Lucida Bright" w:cs="Calibri"/>
                <w:sz w:val="16"/>
                <w:szCs w:val="16"/>
                <w:lang w:val="es-ES"/>
              </w:rPr>
              <w:t>(en euros)</w:t>
            </w:r>
          </w:p>
        </w:tc>
        <w:tc>
          <w:tcPr>
            <w:tcW w:w="114" w:type="pct"/>
            <w:tcBorders>
              <w:top w:val="nil"/>
              <w:left w:val="nil"/>
              <w:bottom w:val="nil"/>
              <w:right w:val="nil"/>
            </w:tcBorders>
            <w:shd w:val="clear" w:color="000000" w:fill="FFFFFF"/>
            <w:noWrap/>
            <w:vAlign w:val="center"/>
            <w:hideMark/>
          </w:tcPr>
          <w:p w:rsidR="00B41599" w:rsidRPr="00B41599" w:rsidRDefault="00B41599" w:rsidP="00B41599">
            <w:pPr>
              <w:rPr>
                <w:rFonts w:ascii="Lucida Bright" w:hAnsi="Lucida Bright" w:cs="Calibri"/>
                <w:sz w:val="16"/>
                <w:szCs w:val="16"/>
                <w:lang w:val="es-ES"/>
              </w:rPr>
            </w:pPr>
            <w:r w:rsidRPr="00B41599">
              <w:rPr>
                <w:rFonts w:ascii="Lucida Bright" w:hAnsi="Lucida Bright" w:cs="Calibri"/>
                <w:sz w:val="16"/>
                <w:szCs w:val="16"/>
                <w:lang w:val="es-ES"/>
              </w:rPr>
              <w:t> </w:t>
            </w:r>
          </w:p>
        </w:tc>
        <w:tc>
          <w:tcPr>
            <w:tcW w:w="632" w:type="pct"/>
            <w:tcBorders>
              <w:top w:val="nil"/>
              <w:left w:val="nil"/>
              <w:bottom w:val="nil"/>
              <w:right w:val="nil"/>
            </w:tcBorders>
            <w:shd w:val="clear" w:color="000000" w:fill="FFFFFF"/>
            <w:noWrap/>
            <w:vAlign w:val="center"/>
            <w:hideMark/>
          </w:tcPr>
          <w:p w:rsidR="00B41599" w:rsidRPr="00B41599" w:rsidRDefault="00B41599" w:rsidP="00B41599">
            <w:pPr>
              <w:rPr>
                <w:rFonts w:ascii="Lucida Bright" w:hAnsi="Lucida Bright" w:cs="Calibri"/>
                <w:lang w:val="es-ES"/>
              </w:rPr>
            </w:pPr>
            <w:r w:rsidRPr="00B41599">
              <w:rPr>
                <w:rFonts w:ascii="Lucida Bright" w:hAnsi="Lucida Bright" w:cs="Calibri"/>
                <w:lang w:val="es-ES"/>
              </w:rPr>
              <w:t> </w:t>
            </w:r>
          </w:p>
        </w:tc>
        <w:tc>
          <w:tcPr>
            <w:tcW w:w="632" w:type="pct"/>
            <w:tcBorders>
              <w:top w:val="nil"/>
              <w:left w:val="nil"/>
              <w:bottom w:val="nil"/>
              <w:right w:val="nil"/>
            </w:tcBorders>
            <w:shd w:val="clear" w:color="000000" w:fill="FFFFFF"/>
            <w:noWrap/>
            <w:vAlign w:val="center"/>
            <w:hideMark/>
          </w:tcPr>
          <w:p w:rsidR="00B41599" w:rsidRPr="00B41599" w:rsidRDefault="00B41599" w:rsidP="00B41599">
            <w:pPr>
              <w:rPr>
                <w:rFonts w:ascii="Lucida Bright" w:hAnsi="Lucida Bright" w:cs="Calibri"/>
                <w:b/>
                <w:bCs/>
                <w:sz w:val="24"/>
                <w:szCs w:val="24"/>
                <w:lang w:val="es-ES"/>
              </w:rPr>
            </w:pPr>
            <w:r w:rsidRPr="00B41599">
              <w:rPr>
                <w:rFonts w:ascii="Lucida Bright" w:hAnsi="Lucida Bright" w:cs="Calibri"/>
                <w:b/>
                <w:bCs/>
                <w:sz w:val="24"/>
                <w:szCs w:val="24"/>
                <w:lang w:val="es-ES"/>
              </w:rPr>
              <w:t> </w:t>
            </w:r>
          </w:p>
        </w:tc>
        <w:tc>
          <w:tcPr>
            <w:tcW w:w="368" w:type="pct"/>
            <w:tcBorders>
              <w:top w:val="nil"/>
              <w:left w:val="nil"/>
              <w:bottom w:val="nil"/>
              <w:right w:val="nil"/>
            </w:tcBorders>
            <w:shd w:val="clear" w:color="000000" w:fill="FFFFFF"/>
            <w:noWrap/>
            <w:vAlign w:val="center"/>
            <w:hideMark/>
          </w:tcPr>
          <w:p w:rsidR="00B41599" w:rsidRPr="00B41599" w:rsidRDefault="00B41599" w:rsidP="00B41599">
            <w:pPr>
              <w:jc w:val="right"/>
              <w:rPr>
                <w:rFonts w:ascii="Tahoma" w:hAnsi="Tahoma" w:cs="Tahoma"/>
                <w:b/>
                <w:bCs/>
                <w:color w:val="FFFFFF"/>
                <w:lang w:val="es-ES"/>
              </w:rPr>
            </w:pPr>
            <w:r w:rsidRPr="00B41599">
              <w:rPr>
                <w:rFonts w:ascii="Tahoma" w:hAnsi="Tahoma" w:cs="Tahoma"/>
                <w:b/>
                <w:bCs/>
                <w:color w:val="FFFFFF"/>
                <w:lang w:val="es-ES"/>
              </w:rPr>
              <w:t> </w:t>
            </w:r>
          </w:p>
        </w:tc>
        <w:tc>
          <w:tcPr>
            <w:tcW w:w="113" w:type="pct"/>
            <w:tcBorders>
              <w:top w:val="nil"/>
              <w:left w:val="nil"/>
              <w:bottom w:val="nil"/>
              <w:right w:val="nil"/>
            </w:tcBorders>
            <w:shd w:val="clear" w:color="000000" w:fill="FFFFFF"/>
            <w:noWrap/>
            <w:vAlign w:val="center"/>
            <w:hideMark/>
          </w:tcPr>
          <w:p w:rsidR="00B41599" w:rsidRPr="00B41599" w:rsidRDefault="00B41599" w:rsidP="00B41599">
            <w:pPr>
              <w:rPr>
                <w:rFonts w:ascii="Tahoma" w:hAnsi="Tahoma" w:cs="Tahoma"/>
                <w:b/>
                <w:bCs/>
                <w:lang w:val="es-ES"/>
              </w:rPr>
            </w:pPr>
            <w:r w:rsidRPr="00B41599">
              <w:rPr>
                <w:rFonts w:ascii="Tahoma" w:hAnsi="Tahoma" w:cs="Tahoma"/>
                <w:b/>
                <w:bCs/>
                <w:lang w:val="es-ES"/>
              </w:rPr>
              <w:t> </w:t>
            </w:r>
          </w:p>
        </w:tc>
      </w:tr>
      <w:tr w:rsidR="00B41599" w:rsidRPr="00B41599" w:rsidTr="00B41599">
        <w:trPr>
          <w:trHeight w:val="234"/>
        </w:trPr>
        <w:tc>
          <w:tcPr>
            <w:tcW w:w="3255" w:type="pct"/>
            <w:gridSpan w:val="2"/>
            <w:tcBorders>
              <w:top w:val="single" w:sz="4" w:space="0" w:color="auto"/>
              <w:left w:val="single" w:sz="4" w:space="0" w:color="auto"/>
              <w:bottom w:val="single" w:sz="4" w:space="0" w:color="auto"/>
              <w:right w:val="nil"/>
            </w:tcBorders>
            <w:shd w:val="clear" w:color="000000" w:fill="CCFFCC"/>
            <w:vAlign w:val="center"/>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t>CONCEPTO</w:t>
            </w:r>
          </w:p>
        </w:tc>
        <w:tc>
          <w:tcPr>
            <w:tcW w:w="632"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t>2023</w:t>
            </w:r>
          </w:p>
        </w:tc>
        <w:tc>
          <w:tcPr>
            <w:tcW w:w="632" w:type="pct"/>
            <w:tcBorders>
              <w:top w:val="single" w:sz="4" w:space="0" w:color="auto"/>
              <w:left w:val="nil"/>
              <w:bottom w:val="single" w:sz="4" w:space="0" w:color="auto"/>
              <w:right w:val="single" w:sz="4" w:space="0" w:color="auto"/>
            </w:tcBorders>
            <w:shd w:val="clear" w:color="000000" w:fill="CCFFCC"/>
            <w:noWrap/>
            <w:vAlign w:val="center"/>
            <w:hideMark/>
          </w:tcPr>
          <w:p w:rsidR="00B41599" w:rsidRPr="00B41599" w:rsidRDefault="00B41599" w:rsidP="00B41599">
            <w:pPr>
              <w:jc w:val="center"/>
              <w:rPr>
                <w:rFonts w:ascii="Lucida Bright" w:hAnsi="Lucida Bright" w:cs="Calibri"/>
                <w:b/>
                <w:bCs/>
                <w:sz w:val="18"/>
                <w:szCs w:val="18"/>
                <w:lang w:val="es-ES"/>
              </w:rPr>
            </w:pPr>
            <w:r w:rsidRPr="00B41599">
              <w:rPr>
                <w:rFonts w:ascii="Lucida Bright" w:hAnsi="Lucida Bright" w:cs="Calibri"/>
                <w:b/>
                <w:bCs/>
                <w:sz w:val="18"/>
                <w:szCs w:val="18"/>
                <w:lang w:val="es-ES"/>
              </w:rPr>
              <w:t>2022</w:t>
            </w:r>
          </w:p>
        </w:tc>
        <w:tc>
          <w:tcPr>
            <w:tcW w:w="368" w:type="pct"/>
            <w:tcBorders>
              <w:top w:val="single" w:sz="4" w:space="0" w:color="auto"/>
              <w:left w:val="nil"/>
              <w:bottom w:val="single" w:sz="4" w:space="0" w:color="auto"/>
              <w:right w:val="single" w:sz="4" w:space="0" w:color="auto"/>
            </w:tcBorders>
            <w:shd w:val="clear" w:color="000000" w:fill="CCFFCC"/>
            <w:noWrap/>
            <w:vAlign w:val="bottom"/>
            <w:hideMark/>
          </w:tcPr>
          <w:p w:rsidR="00B41599" w:rsidRPr="00B41599" w:rsidRDefault="00B41599" w:rsidP="00B41599">
            <w:pPr>
              <w:rPr>
                <w:rFonts w:ascii="Lucida Bright" w:hAnsi="Lucida Bright" w:cs="Calibri"/>
                <w:b/>
                <w:bCs/>
                <w:color w:val="000000"/>
                <w:sz w:val="18"/>
                <w:szCs w:val="18"/>
                <w:lang w:val="es-ES"/>
              </w:rPr>
            </w:pPr>
            <w:r w:rsidRPr="00B41599">
              <w:rPr>
                <w:rFonts w:ascii="Lucida Bright" w:hAnsi="Lucida Bright" w:cs="Calibri"/>
                <w:b/>
                <w:bCs/>
                <w:color w:val="000000"/>
                <w:sz w:val="18"/>
                <w:szCs w:val="18"/>
                <w:lang w:val="es-ES"/>
              </w:rPr>
              <w:t>Notas</w:t>
            </w:r>
          </w:p>
        </w:tc>
        <w:tc>
          <w:tcPr>
            <w:tcW w:w="113" w:type="pct"/>
            <w:tcBorders>
              <w:top w:val="nil"/>
              <w:left w:val="nil"/>
              <w:bottom w:val="nil"/>
              <w:right w:val="nil"/>
            </w:tcBorders>
            <w:shd w:val="clear" w:color="000000" w:fill="FFFFFF"/>
            <w:noWrap/>
            <w:vAlign w:val="bottom"/>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109"/>
        </w:trPr>
        <w:tc>
          <w:tcPr>
            <w:tcW w:w="3141" w:type="pct"/>
            <w:tcBorders>
              <w:top w:val="nil"/>
              <w:left w:val="single" w:sz="4" w:space="0" w:color="auto"/>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14" w:type="pct"/>
            <w:tcBorders>
              <w:top w:val="nil"/>
              <w:left w:val="nil"/>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single" w:sz="4" w:space="0" w:color="auto"/>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nil"/>
              <w:bottom w:val="nil"/>
              <w:right w:val="single" w:sz="4" w:space="0" w:color="auto"/>
            </w:tcBorders>
            <w:shd w:val="clear" w:color="auto" w:fill="auto"/>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rPr>
                <w:rFonts w:ascii="Calibri" w:hAnsi="Calibri" w:cs="Calibri"/>
                <w:color w:val="000000"/>
                <w:sz w:val="22"/>
                <w:szCs w:val="22"/>
                <w:lang w:val="es-ES"/>
              </w:rPr>
            </w:pPr>
            <w:r w:rsidRPr="00B41599">
              <w:rPr>
                <w:rFonts w:ascii="Calibri" w:hAnsi="Calibri" w:cs="Calibri"/>
                <w:color w:val="000000"/>
                <w:sz w:val="22"/>
                <w:szCs w:val="22"/>
                <w:lang w:val="es-ES"/>
              </w:rPr>
              <w:t> </w:t>
            </w:r>
          </w:p>
        </w:tc>
        <w:tc>
          <w:tcPr>
            <w:tcW w:w="113" w:type="pct"/>
            <w:tcBorders>
              <w:top w:val="nil"/>
              <w:left w:val="nil"/>
              <w:bottom w:val="nil"/>
              <w:right w:val="nil"/>
            </w:tcBorders>
            <w:shd w:val="clear" w:color="000000" w:fill="FFFFFF"/>
            <w:noWrap/>
            <w:vAlign w:val="bottom"/>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234"/>
        </w:trPr>
        <w:tc>
          <w:tcPr>
            <w:tcW w:w="3255" w:type="pct"/>
            <w:gridSpan w:val="2"/>
            <w:tcBorders>
              <w:top w:val="nil"/>
              <w:left w:val="single" w:sz="4" w:space="0" w:color="auto"/>
              <w:bottom w:val="nil"/>
              <w:right w:val="nil"/>
            </w:tcBorders>
            <w:shd w:val="clear" w:color="000000" w:fill="CCFFCC"/>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A) Resultado de la cuenta de pérdidas y ganancias</w:t>
            </w:r>
          </w:p>
        </w:tc>
        <w:tc>
          <w:tcPr>
            <w:tcW w:w="632" w:type="pct"/>
            <w:tcBorders>
              <w:top w:val="nil"/>
              <w:left w:val="single" w:sz="4" w:space="0" w:color="auto"/>
              <w:bottom w:val="nil"/>
              <w:right w:val="single" w:sz="4" w:space="0" w:color="auto"/>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47.012.107,02 </w:t>
            </w:r>
          </w:p>
        </w:tc>
        <w:tc>
          <w:tcPr>
            <w:tcW w:w="632" w:type="pct"/>
            <w:tcBorders>
              <w:top w:val="nil"/>
              <w:left w:val="nil"/>
              <w:bottom w:val="nil"/>
              <w:right w:val="single" w:sz="4" w:space="0" w:color="auto"/>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32.941.106,16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c>
          <w:tcPr>
            <w:tcW w:w="113" w:type="pct"/>
            <w:tcBorders>
              <w:top w:val="nil"/>
              <w:left w:val="nil"/>
              <w:bottom w:val="nil"/>
              <w:right w:val="nil"/>
            </w:tcBorders>
            <w:shd w:val="clear" w:color="000000" w:fill="FFFFFF"/>
            <w:noWrap/>
            <w:vAlign w:val="center"/>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109"/>
        </w:trPr>
        <w:tc>
          <w:tcPr>
            <w:tcW w:w="3141" w:type="pct"/>
            <w:tcBorders>
              <w:top w:val="nil"/>
              <w:left w:val="single" w:sz="4" w:space="0" w:color="auto"/>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14" w:type="pct"/>
            <w:tcBorders>
              <w:top w:val="nil"/>
              <w:left w:val="nil"/>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single" w:sz="4" w:space="0" w:color="auto"/>
              <w:bottom w:val="nil"/>
              <w:right w:val="single" w:sz="4" w:space="0" w:color="auto"/>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nil"/>
              <w:bottom w:val="nil"/>
              <w:right w:val="single" w:sz="4" w:space="0" w:color="auto"/>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c>
          <w:tcPr>
            <w:tcW w:w="113" w:type="pct"/>
            <w:tcBorders>
              <w:top w:val="nil"/>
              <w:left w:val="nil"/>
              <w:bottom w:val="nil"/>
              <w:right w:val="nil"/>
            </w:tcBorders>
            <w:shd w:val="clear" w:color="000000" w:fill="FFFFFF"/>
            <w:noWrap/>
            <w:vAlign w:val="bottom"/>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234"/>
        </w:trPr>
        <w:tc>
          <w:tcPr>
            <w:tcW w:w="3255" w:type="pct"/>
            <w:gridSpan w:val="2"/>
            <w:tcBorders>
              <w:top w:val="nil"/>
              <w:left w:val="single" w:sz="4" w:space="0" w:color="auto"/>
              <w:bottom w:val="nil"/>
              <w:right w:val="nil"/>
            </w:tcBorders>
            <w:shd w:val="clear" w:color="000000" w:fill="CCFFCC"/>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B) Ingresos y gastos imputados directamente al patrimonio neto (I+II+III+V)</w:t>
            </w:r>
          </w:p>
        </w:tc>
        <w:tc>
          <w:tcPr>
            <w:tcW w:w="632" w:type="pct"/>
            <w:tcBorders>
              <w:top w:val="nil"/>
              <w:left w:val="single" w:sz="4" w:space="0" w:color="auto"/>
              <w:bottom w:val="nil"/>
              <w:right w:val="single" w:sz="4" w:space="0" w:color="auto"/>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897.120,44 </w:t>
            </w:r>
          </w:p>
        </w:tc>
        <w:tc>
          <w:tcPr>
            <w:tcW w:w="632" w:type="pct"/>
            <w:tcBorders>
              <w:top w:val="nil"/>
              <w:left w:val="nil"/>
              <w:bottom w:val="nil"/>
              <w:right w:val="single" w:sz="4" w:space="0" w:color="auto"/>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535.092,25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c>
          <w:tcPr>
            <w:tcW w:w="113" w:type="pct"/>
            <w:tcBorders>
              <w:top w:val="nil"/>
              <w:left w:val="nil"/>
              <w:bottom w:val="nil"/>
              <w:right w:val="nil"/>
            </w:tcBorders>
            <w:shd w:val="clear" w:color="000000" w:fill="FFFFFF"/>
            <w:noWrap/>
            <w:vAlign w:val="center"/>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109"/>
        </w:trPr>
        <w:tc>
          <w:tcPr>
            <w:tcW w:w="3141" w:type="pct"/>
            <w:tcBorders>
              <w:top w:val="nil"/>
              <w:left w:val="single" w:sz="4" w:space="0" w:color="auto"/>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14" w:type="pct"/>
            <w:tcBorders>
              <w:top w:val="nil"/>
              <w:left w:val="nil"/>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single" w:sz="4" w:space="0" w:color="auto"/>
              <w:bottom w:val="nil"/>
              <w:right w:val="single" w:sz="4" w:space="0" w:color="auto"/>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nil"/>
              <w:bottom w:val="nil"/>
              <w:right w:val="single" w:sz="4" w:space="0" w:color="auto"/>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c>
          <w:tcPr>
            <w:tcW w:w="113" w:type="pct"/>
            <w:tcBorders>
              <w:top w:val="nil"/>
              <w:left w:val="nil"/>
              <w:bottom w:val="nil"/>
              <w:right w:val="nil"/>
            </w:tcBorders>
            <w:shd w:val="clear" w:color="000000" w:fill="FFFFFF"/>
            <w:noWrap/>
            <w:vAlign w:val="bottom"/>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164"/>
        </w:trPr>
        <w:tc>
          <w:tcPr>
            <w:tcW w:w="3255" w:type="pct"/>
            <w:gridSpan w:val="2"/>
            <w:tcBorders>
              <w:top w:val="nil"/>
              <w:left w:val="single" w:sz="4" w:space="0" w:color="auto"/>
              <w:bottom w:val="nil"/>
              <w:right w:val="nil"/>
            </w:tcBorders>
            <w:shd w:val="clear" w:color="000000" w:fill="FFFFFF"/>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 Por valoración de instrumentos financieros</w:t>
            </w:r>
          </w:p>
        </w:tc>
        <w:tc>
          <w:tcPr>
            <w:tcW w:w="632" w:type="pct"/>
            <w:tcBorders>
              <w:top w:val="nil"/>
              <w:left w:val="single" w:sz="4" w:space="0" w:color="auto"/>
              <w:bottom w:val="nil"/>
              <w:right w:val="single" w:sz="4" w:space="0" w:color="auto"/>
            </w:tcBorders>
            <w:shd w:val="clear" w:color="000000" w:fill="FFFFFF"/>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632" w:type="pct"/>
            <w:tcBorders>
              <w:top w:val="nil"/>
              <w:left w:val="nil"/>
              <w:bottom w:val="nil"/>
              <w:right w:val="single" w:sz="4" w:space="0" w:color="auto"/>
            </w:tcBorders>
            <w:shd w:val="clear" w:color="000000" w:fill="FFFFFF"/>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c>
          <w:tcPr>
            <w:tcW w:w="113" w:type="pct"/>
            <w:tcBorders>
              <w:top w:val="nil"/>
              <w:left w:val="nil"/>
              <w:bottom w:val="nil"/>
              <w:right w:val="nil"/>
            </w:tcBorders>
            <w:shd w:val="clear" w:color="000000" w:fill="FFFFFF"/>
            <w:noWrap/>
            <w:vAlign w:val="center"/>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164"/>
        </w:trPr>
        <w:tc>
          <w:tcPr>
            <w:tcW w:w="3141" w:type="pct"/>
            <w:tcBorders>
              <w:top w:val="nil"/>
              <w:left w:val="single" w:sz="4" w:space="0" w:color="auto"/>
              <w:bottom w:val="nil"/>
              <w:right w:val="nil"/>
            </w:tcBorders>
            <w:shd w:val="clear" w:color="000000" w:fill="FFFFFF"/>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1. Activos financieros a valor razonable con cambios en el patrimonio neto</w:t>
            </w:r>
          </w:p>
        </w:tc>
        <w:tc>
          <w:tcPr>
            <w:tcW w:w="114" w:type="pct"/>
            <w:tcBorders>
              <w:top w:val="nil"/>
              <w:left w:val="nil"/>
              <w:bottom w:val="nil"/>
              <w:right w:val="nil"/>
            </w:tcBorders>
            <w:shd w:val="clear" w:color="000000" w:fill="FFFFFF"/>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632" w:type="pct"/>
            <w:tcBorders>
              <w:top w:val="nil"/>
              <w:left w:val="single" w:sz="4" w:space="0" w:color="auto"/>
              <w:bottom w:val="nil"/>
              <w:right w:val="single" w:sz="4" w:space="0" w:color="auto"/>
            </w:tcBorders>
            <w:shd w:val="clear" w:color="000000" w:fill="FFFFFF"/>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632" w:type="pct"/>
            <w:tcBorders>
              <w:top w:val="nil"/>
              <w:left w:val="nil"/>
              <w:bottom w:val="nil"/>
              <w:right w:val="single" w:sz="4" w:space="0" w:color="auto"/>
            </w:tcBorders>
            <w:shd w:val="clear" w:color="000000" w:fill="FFFFFF"/>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FF0000"/>
                <w:sz w:val="14"/>
                <w:szCs w:val="14"/>
                <w:lang w:val="es-ES"/>
              </w:rPr>
            </w:pPr>
            <w:r w:rsidRPr="00B41599">
              <w:rPr>
                <w:rFonts w:ascii="Lucida Bright" w:hAnsi="Lucida Bright" w:cs="Calibri"/>
                <w:color w:val="FF0000"/>
                <w:sz w:val="14"/>
                <w:szCs w:val="14"/>
                <w:lang w:val="es-ES"/>
              </w:rPr>
              <w:t> </w:t>
            </w:r>
          </w:p>
        </w:tc>
        <w:tc>
          <w:tcPr>
            <w:tcW w:w="113" w:type="pct"/>
            <w:tcBorders>
              <w:top w:val="nil"/>
              <w:left w:val="nil"/>
              <w:bottom w:val="nil"/>
              <w:right w:val="nil"/>
            </w:tcBorders>
            <w:shd w:val="clear" w:color="000000" w:fill="FFFFFF"/>
            <w:noWrap/>
            <w:vAlign w:val="center"/>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164"/>
        </w:trPr>
        <w:tc>
          <w:tcPr>
            <w:tcW w:w="3141" w:type="pct"/>
            <w:tcBorders>
              <w:top w:val="nil"/>
              <w:left w:val="single" w:sz="4" w:space="0" w:color="auto"/>
              <w:bottom w:val="nil"/>
              <w:right w:val="nil"/>
            </w:tcBorders>
            <w:shd w:val="clear" w:color="000000" w:fill="FFFFFF"/>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2. Otros ingresos/gastos</w:t>
            </w:r>
          </w:p>
        </w:tc>
        <w:tc>
          <w:tcPr>
            <w:tcW w:w="114" w:type="pct"/>
            <w:tcBorders>
              <w:top w:val="nil"/>
              <w:left w:val="nil"/>
              <w:bottom w:val="nil"/>
              <w:right w:val="nil"/>
            </w:tcBorders>
            <w:shd w:val="clear" w:color="000000" w:fill="FFFFFF"/>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632" w:type="pct"/>
            <w:tcBorders>
              <w:top w:val="nil"/>
              <w:left w:val="single" w:sz="4" w:space="0" w:color="auto"/>
              <w:bottom w:val="nil"/>
              <w:right w:val="single" w:sz="4" w:space="0" w:color="auto"/>
            </w:tcBorders>
            <w:shd w:val="clear" w:color="000000" w:fill="FFFFFF"/>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632" w:type="pct"/>
            <w:tcBorders>
              <w:top w:val="nil"/>
              <w:left w:val="nil"/>
              <w:bottom w:val="nil"/>
              <w:right w:val="single" w:sz="4" w:space="0" w:color="auto"/>
            </w:tcBorders>
            <w:shd w:val="clear" w:color="000000" w:fill="FFFFFF"/>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c>
          <w:tcPr>
            <w:tcW w:w="113" w:type="pct"/>
            <w:tcBorders>
              <w:top w:val="nil"/>
              <w:left w:val="nil"/>
              <w:bottom w:val="nil"/>
              <w:right w:val="nil"/>
            </w:tcBorders>
            <w:shd w:val="clear" w:color="000000" w:fill="FFFFFF"/>
            <w:noWrap/>
            <w:vAlign w:val="center"/>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109"/>
        </w:trPr>
        <w:tc>
          <w:tcPr>
            <w:tcW w:w="3141" w:type="pct"/>
            <w:tcBorders>
              <w:top w:val="nil"/>
              <w:left w:val="single" w:sz="4" w:space="0" w:color="auto"/>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14" w:type="pct"/>
            <w:tcBorders>
              <w:top w:val="nil"/>
              <w:left w:val="nil"/>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single" w:sz="4" w:space="0" w:color="auto"/>
              <w:bottom w:val="nil"/>
              <w:right w:val="single" w:sz="4" w:space="0" w:color="auto"/>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nil"/>
              <w:bottom w:val="nil"/>
              <w:right w:val="single" w:sz="4" w:space="0" w:color="auto"/>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c>
          <w:tcPr>
            <w:tcW w:w="113" w:type="pct"/>
            <w:tcBorders>
              <w:top w:val="nil"/>
              <w:left w:val="nil"/>
              <w:bottom w:val="nil"/>
              <w:right w:val="nil"/>
            </w:tcBorders>
            <w:shd w:val="clear" w:color="000000" w:fill="FFFFFF"/>
            <w:noWrap/>
            <w:vAlign w:val="bottom"/>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164"/>
        </w:trPr>
        <w:tc>
          <w:tcPr>
            <w:tcW w:w="3141" w:type="pct"/>
            <w:tcBorders>
              <w:top w:val="nil"/>
              <w:left w:val="single" w:sz="4" w:space="0" w:color="auto"/>
              <w:bottom w:val="nil"/>
              <w:right w:val="nil"/>
            </w:tcBorders>
            <w:shd w:val="clear" w:color="000000" w:fill="FFFFFF"/>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II. Por coberturas de flujos de efectivos</w:t>
            </w:r>
          </w:p>
        </w:tc>
        <w:tc>
          <w:tcPr>
            <w:tcW w:w="114" w:type="pct"/>
            <w:tcBorders>
              <w:top w:val="nil"/>
              <w:left w:val="nil"/>
              <w:bottom w:val="nil"/>
              <w:right w:val="nil"/>
            </w:tcBorders>
            <w:shd w:val="clear" w:color="000000" w:fill="FFFFFF"/>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single" w:sz="4" w:space="0" w:color="auto"/>
              <w:bottom w:val="nil"/>
              <w:right w:val="single" w:sz="4" w:space="0" w:color="auto"/>
            </w:tcBorders>
            <w:shd w:val="clear" w:color="000000" w:fill="FFFFFF"/>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632" w:type="pct"/>
            <w:tcBorders>
              <w:top w:val="nil"/>
              <w:left w:val="nil"/>
              <w:bottom w:val="nil"/>
              <w:right w:val="single" w:sz="4" w:space="0" w:color="auto"/>
            </w:tcBorders>
            <w:shd w:val="clear" w:color="000000" w:fill="FFFFFF"/>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c>
          <w:tcPr>
            <w:tcW w:w="113" w:type="pct"/>
            <w:tcBorders>
              <w:top w:val="nil"/>
              <w:left w:val="nil"/>
              <w:bottom w:val="nil"/>
              <w:right w:val="nil"/>
            </w:tcBorders>
            <w:shd w:val="clear" w:color="000000" w:fill="FFFFFF"/>
            <w:noWrap/>
            <w:vAlign w:val="center"/>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109"/>
        </w:trPr>
        <w:tc>
          <w:tcPr>
            <w:tcW w:w="3141" w:type="pct"/>
            <w:tcBorders>
              <w:top w:val="nil"/>
              <w:left w:val="single" w:sz="4" w:space="0" w:color="auto"/>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14" w:type="pct"/>
            <w:tcBorders>
              <w:top w:val="nil"/>
              <w:left w:val="nil"/>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single" w:sz="4" w:space="0" w:color="auto"/>
              <w:bottom w:val="nil"/>
              <w:right w:val="single" w:sz="4" w:space="0" w:color="auto"/>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nil"/>
              <w:bottom w:val="nil"/>
              <w:right w:val="single" w:sz="4" w:space="0" w:color="auto"/>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c>
          <w:tcPr>
            <w:tcW w:w="113" w:type="pct"/>
            <w:tcBorders>
              <w:top w:val="nil"/>
              <w:left w:val="nil"/>
              <w:bottom w:val="nil"/>
              <w:right w:val="nil"/>
            </w:tcBorders>
            <w:shd w:val="clear" w:color="000000" w:fill="FFFFFF"/>
            <w:noWrap/>
            <w:vAlign w:val="bottom"/>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164"/>
        </w:trPr>
        <w:tc>
          <w:tcPr>
            <w:tcW w:w="3141" w:type="pct"/>
            <w:tcBorders>
              <w:top w:val="nil"/>
              <w:left w:val="single" w:sz="4" w:space="0" w:color="auto"/>
              <w:bottom w:val="nil"/>
              <w:right w:val="nil"/>
            </w:tcBorders>
            <w:shd w:val="clear" w:color="000000" w:fill="FFFFFF"/>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III. Subvenciones, donaciones y legados</w:t>
            </w:r>
          </w:p>
        </w:tc>
        <w:tc>
          <w:tcPr>
            <w:tcW w:w="114" w:type="pct"/>
            <w:tcBorders>
              <w:top w:val="nil"/>
              <w:left w:val="nil"/>
              <w:bottom w:val="nil"/>
              <w:right w:val="nil"/>
            </w:tcBorders>
            <w:shd w:val="clear" w:color="000000" w:fill="FFFFFF"/>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single" w:sz="4" w:space="0" w:color="auto"/>
              <w:bottom w:val="nil"/>
              <w:right w:val="single" w:sz="4" w:space="0" w:color="auto"/>
            </w:tcBorders>
            <w:shd w:val="clear" w:color="000000" w:fill="FFFFFF"/>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1.196.160,57 </w:t>
            </w:r>
          </w:p>
        </w:tc>
        <w:tc>
          <w:tcPr>
            <w:tcW w:w="632" w:type="pct"/>
            <w:tcBorders>
              <w:top w:val="nil"/>
              <w:left w:val="nil"/>
              <w:bottom w:val="nil"/>
              <w:right w:val="single" w:sz="4" w:space="0" w:color="auto"/>
            </w:tcBorders>
            <w:shd w:val="clear" w:color="000000" w:fill="FFFFFF"/>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535.092,25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11</w:t>
            </w:r>
          </w:p>
        </w:tc>
        <w:tc>
          <w:tcPr>
            <w:tcW w:w="113" w:type="pct"/>
            <w:tcBorders>
              <w:top w:val="nil"/>
              <w:left w:val="nil"/>
              <w:bottom w:val="nil"/>
              <w:right w:val="nil"/>
            </w:tcBorders>
            <w:shd w:val="clear" w:color="000000" w:fill="FFFFFF"/>
            <w:noWrap/>
            <w:vAlign w:val="bottom"/>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109"/>
        </w:trPr>
        <w:tc>
          <w:tcPr>
            <w:tcW w:w="3141" w:type="pct"/>
            <w:tcBorders>
              <w:top w:val="nil"/>
              <w:left w:val="single" w:sz="4" w:space="0" w:color="auto"/>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14" w:type="pct"/>
            <w:tcBorders>
              <w:top w:val="nil"/>
              <w:left w:val="nil"/>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single" w:sz="4" w:space="0" w:color="auto"/>
              <w:bottom w:val="nil"/>
              <w:right w:val="single" w:sz="4" w:space="0" w:color="auto"/>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nil"/>
              <w:bottom w:val="nil"/>
              <w:right w:val="single" w:sz="4" w:space="0" w:color="auto"/>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c>
          <w:tcPr>
            <w:tcW w:w="113" w:type="pct"/>
            <w:tcBorders>
              <w:top w:val="nil"/>
              <w:left w:val="nil"/>
              <w:bottom w:val="nil"/>
              <w:right w:val="nil"/>
            </w:tcBorders>
            <w:shd w:val="clear" w:color="000000" w:fill="FFFFFF"/>
            <w:noWrap/>
            <w:vAlign w:val="bottom"/>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164"/>
        </w:trPr>
        <w:tc>
          <w:tcPr>
            <w:tcW w:w="3141" w:type="pct"/>
            <w:tcBorders>
              <w:top w:val="nil"/>
              <w:left w:val="single" w:sz="4" w:space="0" w:color="auto"/>
              <w:bottom w:val="nil"/>
              <w:right w:val="nil"/>
            </w:tcBorders>
            <w:shd w:val="clear" w:color="000000" w:fill="FFFFFF"/>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V. Efecto impositivo</w:t>
            </w:r>
          </w:p>
        </w:tc>
        <w:tc>
          <w:tcPr>
            <w:tcW w:w="114" w:type="pct"/>
            <w:tcBorders>
              <w:top w:val="nil"/>
              <w:left w:val="nil"/>
              <w:bottom w:val="nil"/>
              <w:right w:val="nil"/>
            </w:tcBorders>
            <w:shd w:val="clear" w:color="000000" w:fill="FFFFFF"/>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single" w:sz="4" w:space="0" w:color="auto"/>
              <w:bottom w:val="nil"/>
              <w:right w:val="single" w:sz="4" w:space="0" w:color="auto"/>
            </w:tcBorders>
            <w:shd w:val="clear" w:color="000000" w:fill="FFFFFF"/>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(299.040,13) </w:t>
            </w:r>
          </w:p>
        </w:tc>
        <w:tc>
          <w:tcPr>
            <w:tcW w:w="632" w:type="pct"/>
            <w:tcBorders>
              <w:top w:val="nil"/>
              <w:left w:val="nil"/>
              <w:bottom w:val="nil"/>
              <w:right w:val="single" w:sz="4" w:space="0" w:color="auto"/>
            </w:tcBorders>
            <w:shd w:val="clear" w:color="000000" w:fill="FFFFFF"/>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12</w:t>
            </w:r>
          </w:p>
        </w:tc>
        <w:tc>
          <w:tcPr>
            <w:tcW w:w="113" w:type="pct"/>
            <w:tcBorders>
              <w:top w:val="nil"/>
              <w:left w:val="nil"/>
              <w:bottom w:val="nil"/>
              <w:right w:val="nil"/>
            </w:tcBorders>
            <w:shd w:val="clear" w:color="000000" w:fill="FFFFFF"/>
            <w:noWrap/>
            <w:vAlign w:val="bottom"/>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164"/>
        </w:trPr>
        <w:tc>
          <w:tcPr>
            <w:tcW w:w="3141" w:type="pct"/>
            <w:tcBorders>
              <w:top w:val="nil"/>
              <w:left w:val="single" w:sz="4" w:space="0" w:color="auto"/>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14" w:type="pct"/>
            <w:tcBorders>
              <w:top w:val="nil"/>
              <w:left w:val="nil"/>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single" w:sz="4" w:space="0" w:color="auto"/>
              <w:bottom w:val="nil"/>
              <w:right w:val="single" w:sz="4" w:space="0" w:color="auto"/>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nil"/>
              <w:bottom w:val="nil"/>
              <w:right w:val="single" w:sz="4" w:space="0" w:color="auto"/>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c>
          <w:tcPr>
            <w:tcW w:w="113" w:type="pct"/>
            <w:tcBorders>
              <w:top w:val="nil"/>
              <w:left w:val="nil"/>
              <w:bottom w:val="nil"/>
              <w:right w:val="nil"/>
            </w:tcBorders>
            <w:shd w:val="clear" w:color="000000" w:fill="FFFFFF"/>
            <w:noWrap/>
            <w:vAlign w:val="bottom"/>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234"/>
        </w:trPr>
        <w:tc>
          <w:tcPr>
            <w:tcW w:w="3255" w:type="pct"/>
            <w:gridSpan w:val="2"/>
            <w:tcBorders>
              <w:top w:val="nil"/>
              <w:left w:val="single" w:sz="4" w:space="0" w:color="auto"/>
              <w:bottom w:val="nil"/>
              <w:right w:val="nil"/>
            </w:tcBorders>
            <w:shd w:val="clear" w:color="000000" w:fill="CCFFCC"/>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C) Transferencias a la cuenta de pérdidas y ganancias (VI+VII+VIII+IX)</w:t>
            </w:r>
          </w:p>
        </w:tc>
        <w:tc>
          <w:tcPr>
            <w:tcW w:w="632" w:type="pct"/>
            <w:tcBorders>
              <w:top w:val="nil"/>
              <w:left w:val="single" w:sz="4" w:space="0" w:color="auto"/>
              <w:bottom w:val="nil"/>
              <w:right w:val="single" w:sz="4" w:space="0" w:color="auto"/>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(891.242,59) </w:t>
            </w:r>
          </w:p>
        </w:tc>
        <w:tc>
          <w:tcPr>
            <w:tcW w:w="632" w:type="pct"/>
            <w:tcBorders>
              <w:top w:val="nil"/>
              <w:left w:val="nil"/>
              <w:bottom w:val="nil"/>
              <w:right w:val="single" w:sz="4" w:space="0" w:color="auto"/>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(882.917,85)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c>
          <w:tcPr>
            <w:tcW w:w="113" w:type="pct"/>
            <w:tcBorders>
              <w:top w:val="nil"/>
              <w:left w:val="nil"/>
              <w:bottom w:val="nil"/>
              <w:right w:val="nil"/>
            </w:tcBorders>
            <w:shd w:val="clear" w:color="000000" w:fill="FFFFFF"/>
            <w:noWrap/>
            <w:vAlign w:val="bottom"/>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109"/>
        </w:trPr>
        <w:tc>
          <w:tcPr>
            <w:tcW w:w="3141" w:type="pct"/>
            <w:tcBorders>
              <w:top w:val="nil"/>
              <w:left w:val="single" w:sz="4" w:space="0" w:color="auto"/>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14" w:type="pct"/>
            <w:tcBorders>
              <w:top w:val="nil"/>
              <w:left w:val="nil"/>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single" w:sz="4" w:space="0" w:color="auto"/>
              <w:bottom w:val="nil"/>
              <w:right w:val="single" w:sz="4" w:space="0" w:color="auto"/>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nil"/>
              <w:bottom w:val="nil"/>
              <w:right w:val="single" w:sz="4" w:space="0" w:color="auto"/>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c>
          <w:tcPr>
            <w:tcW w:w="113" w:type="pct"/>
            <w:tcBorders>
              <w:top w:val="nil"/>
              <w:left w:val="nil"/>
              <w:bottom w:val="nil"/>
              <w:right w:val="nil"/>
            </w:tcBorders>
            <w:shd w:val="clear" w:color="000000" w:fill="FFFFFF"/>
            <w:noWrap/>
            <w:vAlign w:val="bottom"/>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164"/>
        </w:trPr>
        <w:tc>
          <w:tcPr>
            <w:tcW w:w="3141" w:type="pct"/>
            <w:tcBorders>
              <w:top w:val="nil"/>
              <w:left w:val="single" w:sz="4" w:space="0" w:color="auto"/>
              <w:bottom w:val="nil"/>
              <w:right w:val="nil"/>
            </w:tcBorders>
            <w:shd w:val="clear" w:color="000000" w:fill="FFFFFF"/>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VI. Por valoración de activos y pasivos</w:t>
            </w:r>
          </w:p>
        </w:tc>
        <w:tc>
          <w:tcPr>
            <w:tcW w:w="114" w:type="pct"/>
            <w:tcBorders>
              <w:top w:val="nil"/>
              <w:left w:val="nil"/>
              <w:bottom w:val="nil"/>
              <w:right w:val="nil"/>
            </w:tcBorders>
            <w:shd w:val="clear" w:color="000000" w:fill="FFFFFF"/>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single" w:sz="4" w:space="0" w:color="auto"/>
              <w:bottom w:val="nil"/>
              <w:right w:val="single" w:sz="4" w:space="0" w:color="auto"/>
            </w:tcBorders>
            <w:shd w:val="clear" w:color="000000" w:fill="FFFFFF"/>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632" w:type="pct"/>
            <w:tcBorders>
              <w:top w:val="nil"/>
              <w:left w:val="nil"/>
              <w:bottom w:val="nil"/>
              <w:right w:val="single" w:sz="4" w:space="0" w:color="auto"/>
            </w:tcBorders>
            <w:shd w:val="clear" w:color="000000" w:fill="FFFFFF"/>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c>
          <w:tcPr>
            <w:tcW w:w="113" w:type="pct"/>
            <w:tcBorders>
              <w:top w:val="nil"/>
              <w:left w:val="nil"/>
              <w:bottom w:val="nil"/>
              <w:right w:val="nil"/>
            </w:tcBorders>
            <w:shd w:val="clear" w:color="000000" w:fill="FFFFFF"/>
            <w:noWrap/>
            <w:vAlign w:val="bottom"/>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164"/>
        </w:trPr>
        <w:tc>
          <w:tcPr>
            <w:tcW w:w="3141" w:type="pct"/>
            <w:tcBorders>
              <w:top w:val="nil"/>
              <w:left w:val="single" w:sz="4" w:space="0" w:color="auto"/>
              <w:bottom w:val="nil"/>
              <w:right w:val="nil"/>
            </w:tcBorders>
            <w:shd w:val="clear" w:color="000000" w:fill="FFFFFF"/>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1. Activos financieros a valor razonable con cambios en el patrimonio neto</w:t>
            </w:r>
          </w:p>
        </w:tc>
        <w:tc>
          <w:tcPr>
            <w:tcW w:w="114" w:type="pct"/>
            <w:tcBorders>
              <w:top w:val="nil"/>
              <w:left w:val="nil"/>
              <w:bottom w:val="nil"/>
              <w:right w:val="nil"/>
            </w:tcBorders>
            <w:shd w:val="clear" w:color="000000" w:fill="FFFFFF"/>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632" w:type="pct"/>
            <w:tcBorders>
              <w:top w:val="nil"/>
              <w:left w:val="single" w:sz="4" w:space="0" w:color="auto"/>
              <w:bottom w:val="nil"/>
              <w:right w:val="single" w:sz="4" w:space="0" w:color="auto"/>
            </w:tcBorders>
            <w:shd w:val="clear" w:color="000000" w:fill="FFFFFF"/>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632" w:type="pct"/>
            <w:tcBorders>
              <w:top w:val="nil"/>
              <w:left w:val="nil"/>
              <w:bottom w:val="nil"/>
              <w:right w:val="single" w:sz="4" w:space="0" w:color="auto"/>
            </w:tcBorders>
            <w:shd w:val="clear" w:color="000000" w:fill="FFFFFF"/>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FF0000"/>
                <w:sz w:val="14"/>
                <w:szCs w:val="14"/>
                <w:lang w:val="es-ES"/>
              </w:rPr>
            </w:pPr>
            <w:r w:rsidRPr="00B41599">
              <w:rPr>
                <w:rFonts w:ascii="Lucida Bright" w:hAnsi="Lucida Bright" w:cs="Calibri"/>
                <w:color w:val="FF0000"/>
                <w:sz w:val="14"/>
                <w:szCs w:val="14"/>
                <w:lang w:val="es-ES"/>
              </w:rPr>
              <w:t> </w:t>
            </w:r>
          </w:p>
        </w:tc>
        <w:tc>
          <w:tcPr>
            <w:tcW w:w="113" w:type="pct"/>
            <w:tcBorders>
              <w:top w:val="nil"/>
              <w:left w:val="nil"/>
              <w:bottom w:val="nil"/>
              <w:right w:val="nil"/>
            </w:tcBorders>
            <w:shd w:val="clear" w:color="000000" w:fill="FFFFFF"/>
            <w:noWrap/>
            <w:vAlign w:val="bottom"/>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164"/>
        </w:trPr>
        <w:tc>
          <w:tcPr>
            <w:tcW w:w="3141" w:type="pct"/>
            <w:tcBorders>
              <w:top w:val="nil"/>
              <w:left w:val="single" w:sz="4" w:space="0" w:color="auto"/>
              <w:bottom w:val="nil"/>
              <w:right w:val="nil"/>
            </w:tcBorders>
            <w:shd w:val="clear" w:color="000000" w:fill="FFFFFF"/>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xml:space="preserve">         2. Otros ingresos/gastos</w:t>
            </w:r>
          </w:p>
        </w:tc>
        <w:tc>
          <w:tcPr>
            <w:tcW w:w="114" w:type="pct"/>
            <w:tcBorders>
              <w:top w:val="nil"/>
              <w:left w:val="nil"/>
              <w:bottom w:val="nil"/>
              <w:right w:val="nil"/>
            </w:tcBorders>
            <w:shd w:val="clear" w:color="000000" w:fill="FFFFFF"/>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632" w:type="pct"/>
            <w:tcBorders>
              <w:top w:val="nil"/>
              <w:left w:val="single" w:sz="4" w:space="0" w:color="auto"/>
              <w:bottom w:val="nil"/>
              <w:right w:val="single" w:sz="4" w:space="0" w:color="auto"/>
            </w:tcBorders>
            <w:shd w:val="clear" w:color="000000" w:fill="FFFFFF"/>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632" w:type="pct"/>
            <w:tcBorders>
              <w:top w:val="nil"/>
              <w:left w:val="nil"/>
              <w:bottom w:val="nil"/>
              <w:right w:val="single" w:sz="4" w:space="0" w:color="auto"/>
            </w:tcBorders>
            <w:shd w:val="clear" w:color="000000" w:fill="FFFFFF"/>
            <w:noWrap/>
            <w:vAlign w:val="center"/>
            <w:hideMark/>
          </w:tcPr>
          <w:p w:rsidR="00B41599" w:rsidRPr="00B41599" w:rsidRDefault="00B41599" w:rsidP="00B41599">
            <w:pPr>
              <w:jc w:val="right"/>
              <w:rPr>
                <w:rFonts w:ascii="Lucida Bright" w:hAnsi="Lucida Bright" w:cs="Calibri"/>
                <w:sz w:val="14"/>
                <w:szCs w:val="14"/>
                <w:lang w:val="es-ES"/>
              </w:rPr>
            </w:pPr>
            <w:r w:rsidRPr="00B41599">
              <w:rPr>
                <w:rFonts w:ascii="Lucida Bright" w:hAnsi="Lucida Bright" w:cs="Calibri"/>
                <w:sz w:val="14"/>
                <w:szCs w:val="14"/>
                <w:lang w:val="es-ES"/>
              </w:rPr>
              <w:t xml:space="preserve">-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c>
          <w:tcPr>
            <w:tcW w:w="113" w:type="pct"/>
            <w:tcBorders>
              <w:top w:val="nil"/>
              <w:left w:val="nil"/>
              <w:bottom w:val="nil"/>
              <w:right w:val="nil"/>
            </w:tcBorders>
            <w:shd w:val="clear" w:color="000000" w:fill="FFFFFF"/>
            <w:noWrap/>
            <w:vAlign w:val="bottom"/>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109"/>
        </w:trPr>
        <w:tc>
          <w:tcPr>
            <w:tcW w:w="3141" w:type="pct"/>
            <w:tcBorders>
              <w:top w:val="nil"/>
              <w:left w:val="single" w:sz="4" w:space="0" w:color="auto"/>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14" w:type="pct"/>
            <w:tcBorders>
              <w:top w:val="nil"/>
              <w:left w:val="nil"/>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single" w:sz="4" w:space="0" w:color="auto"/>
              <w:bottom w:val="nil"/>
              <w:right w:val="single" w:sz="4" w:space="0" w:color="auto"/>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nil"/>
              <w:bottom w:val="nil"/>
              <w:right w:val="single" w:sz="4" w:space="0" w:color="auto"/>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c>
          <w:tcPr>
            <w:tcW w:w="113" w:type="pct"/>
            <w:tcBorders>
              <w:top w:val="nil"/>
              <w:left w:val="nil"/>
              <w:bottom w:val="nil"/>
              <w:right w:val="nil"/>
            </w:tcBorders>
            <w:shd w:val="clear" w:color="auto" w:fill="auto"/>
            <w:noWrap/>
            <w:vAlign w:val="bottom"/>
            <w:hideMark/>
          </w:tcPr>
          <w:p w:rsidR="00B41599" w:rsidRPr="00B41599" w:rsidRDefault="00B41599" w:rsidP="00B41599">
            <w:pPr>
              <w:rPr>
                <w:rFonts w:ascii="Calibri" w:hAnsi="Calibri" w:cs="Calibri"/>
                <w:color w:val="000000"/>
                <w:sz w:val="22"/>
                <w:szCs w:val="22"/>
                <w:lang w:val="es-ES"/>
              </w:rPr>
            </w:pPr>
          </w:p>
        </w:tc>
      </w:tr>
      <w:tr w:rsidR="00B41599" w:rsidRPr="00B41599" w:rsidTr="00B41599">
        <w:trPr>
          <w:trHeight w:val="164"/>
        </w:trPr>
        <w:tc>
          <w:tcPr>
            <w:tcW w:w="3141" w:type="pct"/>
            <w:tcBorders>
              <w:top w:val="nil"/>
              <w:left w:val="single" w:sz="4" w:space="0" w:color="auto"/>
              <w:bottom w:val="nil"/>
              <w:right w:val="nil"/>
            </w:tcBorders>
            <w:shd w:val="clear" w:color="000000" w:fill="FFFFFF"/>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VII. Por coberturas de flujos de efectivos</w:t>
            </w:r>
          </w:p>
        </w:tc>
        <w:tc>
          <w:tcPr>
            <w:tcW w:w="114" w:type="pct"/>
            <w:tcBorders>
              <w:top w:val="nil"/>
              <w:left w:val="nil"/>
              <w:bottom w:val="nil"/>
              <w:right w:val="nil"/>
            </w:tcBorders>
            <w:shd w:val="clear" w:color="000000" w:fill="FFFFFF"/>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single" w:sz="4" w:space="0" w:color="auto"/>
              <w:bottom w:val="nil"/>
              <w:right w:val="single" w:sz="4" w:space="0" w:color="auto"/>
            </w:tcBorders>
            <w:shd w:val="clear" w:color="000000" w:fill="FFFFFF"/>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632" w:type="pct"/>
            <w:tcBorders>
              <w:top w:val="nil"/>
              <w:left w:val="nil"/>
              <w:bottom w:val="nil"/>
              <w:right w:val="single" w:sz="4" w:space="0" w:color="auto"/>
            </w:tcBorders>
            <w:shd w:val="clear" w:color="000000" w:fill="FFFFFF"/>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c>
          <w:tcPr>
            <w:tcW w:w="113" w:type="pct"/>
            <w:tcBorders>
              <w:top w:val="nil"/>
              <w:left w:val="nil"/>
              <w:bottom w:val="nil"/>
              <w:right w:val="nil"/>
            </w:tcBorders>
            <w:shd w:val="clear" w:color="000000" w:fill="FFFFFF"/>
            <w:noWrap/>
            <w:vAlign w:val="center"/>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109"/>
        </w:trPr>
        <w:tc>
          <w:tcPr>
            <w:tcW w:w="3141" w:type="pct"/>
            <w:tcBorders>
              <w:top w:val="nil"/>
              <w:left w:val="single" w:sz="4" w:space="0" w:color="auto"/>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14" w:type="pct"/>
            <w:tcBorders>
              <w:top w:val="nil"/>
              <w:left w:val="nil"/>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single" w:sz="4" w:space="0" w:color="auto"/>
              <w:bottom w:val="nil"/>
              <w:right w:val="single" w:sz="4" w:space="0" w:color="auto"/>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nil"/>
              <w:bottom w:val="nil"/>
              <w:right w:val="single" w:sz="4" w:space="0" w:color="auto"/>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c>
          <w:tcPr>
            <w:tcW w:w="113" w:type="pct"/>
            <w:tcBorders>
              <w:top w:val="nil"/>
              <w:left w:val="nil"/>
              <w:bottom w:val="nil"/>
              <w:right w:val="nil"/>
            </w:tcBorders>
            <w:shd w:val="clear" w:color="000000" w:fill="FFFFFF"/>
            <w:noWrap/>
            <w:vAlign w:val="bottom"/>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164"/>
        </w:trPr>
        <w:tc>
          <w:tcPr>
            <w:tcW w:w="3141" w:type="pct"/>
            <w:tcBorders>
              <w:top w:val="nil"/>
              <w:left w:val="single" w:sz="4" w:space="0" w:color="auto"/>
              <w:bottom w:val="nil"/>
              <w:right w:val="nil"/>
            </w:tcBorders>
            <w:shd w:val="clear" w:color="000000" w:fill="FFFFFF"/>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VIII. Subvenciones, donaciones y legados</w:t>
            </w:r>
          </w:p>
        </w:tc>
        <w:tc>
          <w:tcPr>
            <w:tcW w:w="114" w:type="pct"/>
            <w:tcBorders>
              <w:top w:val="nil"/>
              <w:left w:val="nil"/>
              <w:bottom w:val="nil"/>
              <w:right w:val="nil"/>
            </w:tcBorders>
            <w:shd w:val="clear" w:color="000000" w:fill="FFFFFF"/>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single" w:sz="4" w:space="0" w:color="auto"/>
              <w:bottom w:val="nil"/>
              <w:right w:val="single" w:sz="4" w:space="0" w:color="auto"/>
            </w:tcBorders>
            <w:shd w:val="clear" w:color="000000" w:fill="FFFFFF"/>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(1.090.957,03) </w:t>
            </w:r>
          </w:p>
        </w:tc>
        <w:tc>
          <w:tcPr>
            <w:tcW w:w="632" w:type="pct"/>
            <w:tcBorders>
              <w:top w:val="nil"/>
              <w:left w:val="nil"/>
              <w:bottom w:val="nil"/>
              <w:right w:val="single" w:sz="4" w:space="0" w:color="auto"/>
            </w:tcBorders>
            <w:shd w:val="clear" w:color="000000" w:fill="FFFFFF"/>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(1.115.054,43)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11</w:t>
            </w:r>
          </w:p>
        </w:tc>
        <w:tc>
          <w:tcPr>
            <w:tcW w:w="113" w:type="pct"/>
            <w:tcBorders>
              <w:top w:val="nil"/>
              <w:left w:val="nil"/>
              <w:bottom w:val="nil"/>
              <w:right w:val="nil"/>
            </w:tcBorders>
            <w:shd w:val="clear" w:color="000000" w:fill="FFFFFF"/>
            <w:noWrap/>
            <w:vAlign w:val="center"/>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109"/>
        </w:trPr>
        <w:tc>
          <w:tcPr>
            <w:tcW w:w="3141" w:type="pct"/>
            <w:tcBorders>
              <w:top w:val="nil"/>
              <w:left w:val="single" w:sz="4" w:space="0" w:color="auto"/>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114" w:type="pct"/>
            <w:tcBorders>
              <w:top w:val="nil"/>
              <w:left w:val="nil"/>
              <w:bottom w:val="nil"/>
              <w:right w:val="nil"/>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single" w:sz="4" w:space="0" w:color="auto"/>
              <w:bottom w:val="nil"/>
              <w:right w:val="single" w:sz="4" w:space="0" w:color="auto"/>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nil"/>
              <w:bottom w:val="nil"/>
              <w:right w:val="single" w:sz="4" w:space="0" w:color="auto"/>
            </w:tcBorders>
            <w:shd w:val="clear" w:color="000000" w:fill="FFFFFF"/>
            <w:noWrap/>
            <w:vAlign w:val="bottom"/>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 </w:t>
            </w:r>
          </w:p>
        </w:tc>
        <w:tc>
          <w:tcPr>
            <w:tcW w:w="113" w:type="pct"/>
            <w:tcBorders>
              <w:top w:val="nil"/>
              <w:left w:val="nil"/>
              <w:bottom w:val="nil"/>
              <w:right w:val="nil"/>
            </w:tcBorders>
            <w:shd w:val="clear" w:color="000000" w:fill="FFFFFF"/>
            <w:noWrap/>
            <w:vAlign w:val="bottom"/>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164"/>
        </w:trPr>
        <w:tc>
          <w:tcPr>
            <w:tcW w:w="3141" w:type="pct"/>
            <w:tcBorders>
              <w:top w:val="nil"/>
              <w:left w:val="single" w:sz="4" w:space="0" w:color="auto"/>
              <w:bottom w:val="nil"/>
              <w:right w:val="nil"/>
            </w:tcBorders>
            <w:shd w:val="clear" w:color="000000" w:fill="FFFFFF"/>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IX. Efecto impositivo</w:t>
            </w:r>
          </w:p>
        </w:tc>
        <w:tc>
          <w:tcPr>
            <w:tcW w:w="114" w:type="pct"/>
            <w:tcBorders>
              <w:top w:val="nil"/>
              <w:left w:val="nil"/>
              <w:bottom w:val="nil"/>
              <w:right w:val="nil"/>
            </w:tcBorders>
            <w:shd w:val="clear" w:color="000000" w:fill="FFFFFF"/>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w:t>
            </w:r>
          </w:p>
        </w:tc>
        <w:tc>
          <w:tcPr>
            <w:tcW w:w="632" w:type="pct"/>
            <w:tcBorders>
              <w:top w:val="nil"/>
              <w:left w:val="single" w:sz="4" w:space="0" w:color="auto"/>
              <w:bottom w:val="nil"/>
              <w:right w:val="single" w:sz="4" w:space="0" w:color="auto"/>
            </w:tcBorders>
            <w:shd w:val="clear" w:color="000000" w:fill="FFFFFF"/>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199.714,44 </w:t>
            </w:r>
          </w:p>
        </w:tc>
        <w:tc>
          <w:tcPr>
            <w:tcW w:w="632" w:type="pct"/>
            <w:tcBorders>
              <w:top w:val="nil"/>
              <w:left w:val="nil"/>
              <w:bottom w:val="nil"/>
              <w:right w:val="single" w:sz="4" w:space="0" w:color="auto"/>
            </w:tcBorders>
            <w:shd w:val="clear" w:color="000000" w:fill="FFFFFF"/>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232.136,58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Lucida Bright" w:hAnsi="Lucida Bright" w:cs="Calibri"/>
                <w:color w:val="000000"/>
                <w:sz w:val="14"/>
                <w:szCs w:val="14"/>
                <w:lang w:val="es-ES"/>
              </w:rPr>
            </w:pPr>
            <w:r w:rsidRPr="00B41599">
              <w:rPr>
                <w:rFonts w:ascii="Lucida Bright" w:hAnsi="Lucida Bright" w:cs="Calibri"/>
                <w:color w:val="000000"/>
                <w:sz w:val="14"/>
                <w:szCs w:val="14"/>
                <w:lang w:val="es-ES"/>
              </w:rPr>
              <w:t>12</w:t>
            </w:r>
          </w:p>
        </w:tc>
        <w:tc>
          <w:tcPr>
            <w:tcW w:w="113" w:type="pct"/>
            <w:tcBorders>
              <w:top w:val="nil"/>
              <w:left w:val="nil"/>
              <w:bottom w:val="nil"/>
              <w:right w:val="nil"/>
            </w:tcBorders>
            <w:shd w:val="clear" w:color="000000" w:fill="FFFFFF"/>
            <w:noWrap/>
            <w:vAlign w:val="center"/>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109"/>
        </w:trPr>
        <w:tc>
          <w:tcPr>
            <w:tcW w:w="3141" w:type="pct"/>
            <w:tcBorders>
              <w:top w:val="nil"/>
              <w:left w:val="single" w:sz="4" w:space="0" w:color="auto"/>
              <w:bottom w:val="nil"/>
              <w:right w:val="nil"/>
            </w:tcBorders>
            <w:shd w:val="clear" w:color="000000" w:fill="FFFFFF"/>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114" w:type="pct"/>
            <w:tcBorders>
              <w:top w:val="nil"/>
              <w:left w:val="nil"/>
              <w:bottom w:val="nil"/>
              <w:right w:val="nil"/>
            </w:tcBorders>
            <w:shd w:val="clear" w:color="000000" w:fill="FFFFFF"/>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632" w:type="pct"/>
            <w:tcBorders>
              <w:top w:val="nil"/>
              <w:left w:val="single" w:sz="4" w:space="0" w:color="auto"/>
              <w:bottom w:val="nil"/>
              <w:right w:val="single" w:sz="4" w:space="0" w:color="auto"/>
            </w:tcBorders>
            <w:shd w:val="clear" w:color="000000" w:fill="FFFFFF"/>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632" w:type="pct"/>
            <w:tcBorders>
              <w:top w:val="nil"/>
              <w:left w:val="nil"/>
              <w:bottom w:val="nil"/>
              <w:right w:val="single" w:sz="4" w:space="0" w:color="auto"/>
            </w:tcBorders>
            <w:shd w:val="clear" w:color="000000" w:fill="FFFFFF"/>
            <w:noWrap/>
            <w:vAlign w:val="center"/>
            <w:hideMark/>
          </w:tcPr>
          <w:p w:rsidR="00B41599" w:rsidRPr="00B41599" w:rsidRDefault="00B41599" w:rsidP="00B41599">
            <w:pPr>
              <w:rPr>
                <w:rFonts w:ascii="Lucida Bright" w:hAnsi="Lucida Bright" w:cs="Calibri"/>
                <w:sz w:val="14"/>
                <w:szCs w:val="14"/>
                <w:lang w:val="es-ES"/>
              </w:rPr>
            </w:pPr>
            <w:r w:rsidRPr="00B41599">
              <w:rPr>
                <w:rFonts w:ascii="Lucida Bright" w:hAnsi="Lucida Bright" w:cs="Calibri"/>
                <w:sz w:val="14"/>
                <w:szCs w:val="14"/>
                <w:lang w:val="es-ES"/>
              </w:rPr>
              <w:t> </w:t>
            </w:r>
          </w:p>
        </w:tc>
        <w:tc>
          <w:tcPr>
            <w:tcW w:w="368" w:type="pct"/>
            <w:tcBorders>
              <w:top w:val="nil"/>
              <w:left w:val="nil"/>
              <w:bottom w:val="nil"/>
              <w:right w:val="single" w:sz="4" w:space="0" w:color="auto"/>
            </w:tcBorders>
            <w:shd w:val="clear" w:color="000000" w:fill="FFFFFF"/>
            <w:noWrap/>
            <w:vAlign w:val="bottom"/>
            <w:hideMark/>
          </w:tcPr>
          <w:p w:rsidR="00B41599" w:rsidRPr="00B41599" w:rsidRDefault="00B41599" w:rsidP="00B41599">
            <w:pPr>
              <w:jc w:val="center"/>
              <w:rPr>
                <w:rFonts w:ascii="Calibri" w:hAnsi="Calibri" w:cs="Calibri"/>
                <w:color w:val="000000"/>
                <w:sz w:val="14"/>
                <w:szCs w:val="14"/>
                <w:lang w:val="es-ES"/>
              </w:rPr>
            </w:pPr>
            <w:r w:rsidRPr="00B41599">
              <w:rPr>
                <w:rFonts w:ascii="Calibri" w:hAnsi="Calibri" w:cs="Calibri"/>
                <w:color w:val="000000"/>
                <w:sz w:val="14"/>
                <w:szCs w:val="14"/>
                <w:lang w:val="es-ES"/>
              </w:rPr>
              <w:t> </w:t>
            </w:r>
          </w:p>
        </w:tc>
        <w:tc>
          <w:tcPr>
            <w:tcW w:w="113" w:type="pct"/>
            <w:tcBorders>
              <w:top w:val="nil"/>
              <w:left w:val="nil"/>
              <w:bottom w:val="nil"/>
              <w:right w:val="nil"/>
            </w:tcBorders>
            <w:shd w:val="clear" w:color="000000" w:fill="FFFFFF"/>
            <w:noWrap/>
            <w:vAlign w:val="center"/>
            <w:hideMark/>
          </w:tcPr>
          <w:p w:rsidR="00B41599" w:rsidRPr="00B41599" w:rsidRDefault="00B41599" w:rsidP="00B41599">
            <w:pPr>
              <w:rPr>
                <w:rFonts w:ascii="Tahoma" w:hAnsi="Tahoma" w:cs="Tahoma"/>
                <w:lang w:val="es-ES"/>
              </w:rPr>
            </w:pPr>
            <w:r w:rsidRPr="00B41599">
              <w:rPr>
                <w:rFonts w:ascii="Tahoma" w:hAnsi="Tahoma" w:cs="Tahoma"/>
                <w:lang w:val="es-ES"/>
              </w:rPr>
              <w:t> </w:t>
            </w:r>
          </w:p>
        </w:tc>
      </w:tr>
      <w:tr w:rsidR="00B41599" w:rsidRPr="00B41599" w:rsidTr="00B41599">
        <w:trPr>
          <w:trHeight w:val="234"/>
        </w:trPr>
        <w:tc>
          <w:tcPr>
            <w:tcW w:w="3255" w:type="pct"/>
            <w:gridSpan w:val="2"/>
            <w:tcBorders>
              <w:top w:val="single" w:sz="4" w:space="0" w:color="auto"/>
              <w:left w:val="single" w:sz="4" w:space="0" w:color="auto"/>
              <w:bottom w:val="single" w:sz="4" w:space="0" w:color="auto"/>
              <w:right w:val="nil"/>
            </w:tcBorders>
            <w:shd w:val="clear" w:color="000000" w:fill="CCFFCC"/>
            <w:noWrap/>
            <w:vAlign w:val="center"/>
            <w:hideMark/>
          </w:tcPr>
          <w:p w:rsidR="00B41599" w:rsidRPr="00B41599" w:rsidRDefault="00B41599" w:rsidP="00B41599">
            <w:pPr>
              <w:rPr>
                <w:rFonts w:ascii="Lucida Bright" w:hAnsi="Lucida Bright" w:cs="Calibri"/>
                <w:b/>
                <w:bCs/>
                <w:sz w:val="14"/>
                <w:szCs w:val="14"/>
                <w:lang w:val="es-ES"/>
              </w:rPr>
            </w:pPr>
            <w:r w:rsidRPr="00B41599">
              <w:rPr>
                <w:rFonts w:ascii="Lucida Bright" w:hAnsi="Lucida Bright" w:cs="Calibri"/>
                <w:b/>
                <w:bCs/>
                <w:sz w:val="14"/>
                <w:szCs w:val="14"/>
                <w:lang w:val="es-ES"/>
              </w:rPr>
              <w:t xml:space="preserve"> Total de ingresos y gastos reconocidos (A+B+C)</w:t>
            </w:r>
          </w:p>
        </w:tc>
        <w:tc>
          <w:tcPr>
            <w:tcW w:w="632"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47.017.984,87 </w:t>
            </w:r>
          </w:p>
        </w:tc>
        <w:tc>
          <w:tcPr>
            <w:tcW w:w="632"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B41599" w:rsidRPr="00B41599" w:rsidRDefault="00B41599" w:rsidP="00B41599">
            <w:pPr>
              <w:jc w:val="right"/>
              <w:rPr>
                <w:rFonts w:ascii="Lucida Bright" w:hAnsi="Lucida Bright" w:cs="Calibri"/>
                <w:b/>
                <w:bCs/>
                <w:sz w:val="14"/>
                <w:szCs w:val="14"/>
                <w:lang w:val="es-ES"/>
              </w:rPr>
            </w:pPr>
            <w:r w:rsidRPr="00B41599">
              <w:rPr>
                <w:rFonts w:ascii="Lucida Bright" w:hAnsi="Lucida Bright" w:cs="Calibri"/>
                <w:b/>
                <w:bCs/>
                <w:sz w:val="14"/>
                <w:szCs w:val="14"/>
                <w:lang w:val="es-ES"/>
              </w:rPr>
              <w:t xml:space="preserve">32.593.280,56 </w:t>
            </w:r>
          </w:p>
        </w:tc>
        <w:tc>
          <w:tcPr>
            <w:tcW w:w="368" w:type="pct"/>
            <w:tcBorders>
              <w:top w:val="single" w:sz="4" w:space="0" w:color="auto"/>
              <w:left w:val="nil"/>
              <w:bottom w:val="single" w:sz="4" w:space="0" w:color="auto"/>
              <w:right w:val="single" w:sz="4" w:space="0" w:color="auto"/>
            </w:tcBorders>
            <w:shd w:val="clear" w:color="000000" w:fill="CCFFCC"/>
            <w:noWrap/>
            <w:vAlign w:val="bottom"/>
            <w:hideMark/>
          </w:tcPr>
          <w:p w:rsidR="00B41599" w:rsidRPr="00B41599" w:rsidRDefault="00B41599" w:rsidP="00B41599">
            <w:pPr>
              <w:rPr>
                <w:rFonts w:ascii="Calibri" w:hAnsi="Calibri" w:cs="Calibri"/>
                <w:color w:val="000000"/>
                <w:sz w:val="22"/>
                <w:szCs w:val="22"/>
                <w:lang w:val="es-ES"/>
              </w:rPr>
            </w:pPr>
            <w:r w:rsidRPr="00B41599">
              <w:rPr>
                <w:rFonts w:ascii="Calibri" w:hAnsi="Calibri" w:cs="Calibri"/>
                <w:color w:val="000000"/>
                <w:sz w:val="22"/>
                <w:szCs w:val="22"/>
                <w:lang w:val="es-ES"/>
              </w:rPr>
              <w:t> </w:t>
            </w:r>
          </w:p>
        </w:tc>
        <w:tc>
          <w:tcPr>
            <w:tcW w:w="113" w:type="pct"/>
            <w:tcBorders>
              <w:top w:val="nil"/>
              <w:left w:val="nil"/>
              <w:bottom w:val="nil"/>
              <w:right w:val="nil"/>
            </w:tcBorders>
            <w:shd w:val="clear" w:color="000000" w:fill="FFFFFF"/>
            <w:noWrap/>
            <w:vAlign w:val="center"/>
            <w:hideMark/>
          </w:tcPr>
          <w:p w:rsidR="00B41599" w:rsidRPr="00B41599" w:rsidRDefault="00B41599" w:rsidP="00B41599">
            <w:pPr>
              <w:rPr>
                <w:rFonts w:ascii="Tahoma" w:hAnsi="Tahoma" w:cs="Tahoma"/>
                <w:lang w:val="es-ES"/>
              </w:rPr>
            </w:pPr>
            <w:r w:rsidRPr="00B41599">
              <w:rPr>
                <w:rFonts w:ascii="Tahoma" w:hAnsi="Tahoma" w:cs="Tahoma"/>
                <w:lang w:val="es-ES"/>
              </w:rPr>
              <w:t> </w:t>
            </w:r>
          </w:p>
        </w:tc>
      </w:tr>
    </w:tbl>
    <w:p w:rsidR="000927E0" w:rsidRDefault="000927E0" w:rsidP="00E13AD1">
      <w:pPr>
        <w:rPr>
          <w:rFonts w:ascii="Lucida Bright" w:hAnsi="Lucida Bright"/>
          <w:b/>
          <w:bCs/>
          <w:sz w:val="22"/>
          <w:szCs w:val="22"/>
        </w:rPr>
      </w:pPr>
    </w:p>
    <w:tbl>
      <w:tblPr>
        <w:tblW w:w="5000" w:type="pct"/>
        <w:tblCellMar>
          <w:left w:w="70" w:type="dxa"/>
          <w:right w:w="70" w:type="dxa"/>
        </w:tblCellMar>
        <w:tblLook w:val="04A0" w:firstRow="1" w:lastRow="0" w:firstColumn="1" w:lastColumn="0" w:noHBand="0" w:noVBand="1"/>
      </w:tblPr>
      <w:tblGrid>
        <w:gridCol w:w="4981"/>
        <w:gridCol w:w="1469"/>
        <w:gridCol w:w="1561"/>
        <w:gridCol w:w="1548"/>
        <w:gridCol w:w="959"/>
        <w:gridCol w:w="1504"/>
        <w:gridCol w:w="1556"/>
      </w:tblGrid>
      <w:tr w:rsidR="00723230" w:rsidRPr="00723230" w:rsidTr="00723230">
        <w:trPr>
          <w:trHeight w:val="300"/>
        </w:trPr>
        <w:tc>
          <w:tcPr>
            <w:tcW w:w="5000" w:type="pct"/>
            <w:gridSpan w:val="7"/>
            <w:tcBorders>
              <w:top w:val="nil"/>
              <w:left w:val="nil"/>
              <w:bottom w:val="nil"/>
              <w:right w:val="nil"/>
            </w:tcBorders>
            <w:shd w:val="clear" w:color="000000" w:fill="FFFFFF"/>
            <w:noWrap/>
            <w:vAlign w:val="bottom"/>
            <w:hideMark/>
          </w:tcPr>
          <w:p w:rsidR="00723230" w:rsidRPr="00723230" w:rsidRDefault="00723230" w:rsidP="00723230">
            <w:pPr>
              <w:rPr>
                <w:rFonts w:ascii="Lucida Bright" w:hAnsi="Lucida Bright" w:cs="Calibri"/>
                <w:b/>
                <w:bCs/>
                <w:lang w:val="es-ES"/>
              </w:rPr>
            </w:pPr>
            <w:r w:rsidRPr="00723230">
              <w:rPr>
                <w:rFonts w:ascii="Lucida Bright" w:hAnsi="Lucida Bright" w:cs="Calibri"/>
                <w:b/>
                <w:bCs/>
                <w:lang w:val="es-ES"/>
              </w:rPr>
              <w:t>B) Estado total de cambios en el patrimonio neto correspondiente al ejercicio terminado el 31-12-23</w:t>
            </w:r>
          </w:p>
        </w:tc>
      </w:tr>
      <w:tr w:rsidR="00723230" w:rsidRPr="00723230" w:rsidTr="00723230">
        <w:trPr>
          <w:trHeight w:val="300"/>
        </w:trPr>
        <w:tc>
          <w:tcPr>
            <w:tcW w:w="1834" w:type="pct"/>
            <w:tcBorders>
              <w:top w:val="nil"/>
              <w:left w:val="nil"/>
              <w:bottom w:val="nil"/>
              <w:right w:val="nil"/>
            </w:tcBorders>
            <w:shd w:val="clear" w:color="000000" w:fill="FFFFFF"/>
            <w:noWrap/>
            <w:vAlign w:val="center"/>
            <w:hideMark/>
          </w:tcPr>
          <w:p w:rsidR="00723230" w:rsidRPr="00723230" w:rsidRDefault="00723230" w:rsidP="00723230">
            <w:pPr>
              <w:rPr>
                <w:rFonts w:ascii="Lucida Bright" w:hAnsi="Lucida Bright" w:cs="Calibri"/>
                <w:sz w:val="16"/>
                <w:szCs w:val="16"/>
                <w:lang w:val="es-ES"/>
              </w:rPr>
            </w:pPr>
            <w:r w:rsidRPr="00723230">
              <w:rPr>
                <w:rFonts w:ascii="Lucida Bright" w:hAnsi="Lucida Bright" w:cs="Calibri"/>
                <w:sz w:val="16"/>
                <w:szCs w:val="16"/>
                <w:lang w:val="es-ES"/>
              </w:rPr>
              <w:t>(en euros)</w:t>
            </w:r>
          </w:p>
        </w:tc>
        <w:tc>
          <w:tcPr>
            <w:tcW w:w="541" w:type="pct"/>
            <w:tcBorders>
              <w:top w:val="nil"/>
              <w:left w:val="nil"/>
              <w:bottom w:val="nil"/>
              <w:right w:val="nil"/>
            </w:tcBorders>
            <w:shd w:val="clear" w:color="000000" w:fill="FFFFFF"/>
            <w:noWrap/>
            <w:vAlign w:val="center"/>
            <w:hideMark/>
          </w:tcPr>
          <w:p w:rsidR="00723230" w:rsidRPr="00723230" w:rsidRDefault="00723230" w:rsidP="00723230">
            <w:pPr>
              <w:rPr>
                <w:rFonts w:ascii="Tahoma" w:hAnsi="Tahoma" w:cs="Tahoma"/>
                <w:sz w:val="16"/>
                <w:szCs w:val="16"/>
                <w:lang w:val="es-ES"/>
              </w:rPr>
            </w:pPr>
            <w:r w:rsidRPr="00723230">
              <w:rPr>
                <w:rFonts w:ascii="Tahoma" w:hAnsi="Tahoma" w:cs="Tahoma"/>
                <w:sz w:val="16"/>
                <w:szCs w:val="16"/>
                <w:lang w:val="es-ES"/>
              </w:rPr>
              <w:t> </w:t>
            </w:r>
          </w:p>
        </w:tc>
        <w:tc>
          <w:tcPr>
            <w:tcW w:w="575" w:type="pct"/>
            <w:tcBorders>
              <w:top w:val="nil"/>
              <w:left w:val="nil"/>
              <w:bottom w:val="nil"/>
              <w:right w:val="nil"/>
            </w:tcBorders>
            <w:shd w:val="clear" w:color="000000" w:fill="FFFFFF"/>
            <w:noWrap/>
            <w:vAlign w:val="center"/>
            <w:hideMark/>
          </w:tcPr>
          <w:p w:rsidR="00723230" w:rsidRPr="00723230" w:rsidRDefault="00723230" w:rsidP="00723230">
            <w:pPr>
              <w:rPr>
                <w:rFonts w:ascii="Tahoma" w:hAnsi="Tahoma" w:cs="Tahoma"/>
                <w:lang w:val="es-ES"/>
              </w:rPr>
            </w:pPr>
            <w:r w:rsidRPr="00723230">
              <w:rPr>
                <w:rFonts w:ascii="Tahoma" w:hAnsi="Tahoma" w:cs="Tahoma"/>
                <w:lang w:val="es-ES"/>
              </w:rPr>
              <w:t> </w:t>
            </w:r>
          </w:p>
        </w:tc>
        <w:tc>
          <w:tcPr>
            <w:tcW w:w="570" w:type="pct"/>
            <w:tcBorders>
              <w:top w:val="nil"/>
              <w:left w:val="nil"/>
              <w:bottom w:val="nil"/>
              <w:right w:val="nil"/>
            </w:tcBorders>
            <w:shd w:val="clear" w:color="000000" w:fill="FFFFFF"/>
            <w:noWrap/>
            <w:vAlign w:val="center"/>
            <w:hideMark/>
          </w:tcPr>
          <w:p w:rsidR="00723230" w:rsidRPr="00723230" w:rsidRDefault="00723230" w:rsidP="00723230">
            <w:pPr>
              <w:rPr>
                <w:rFonts w:ascii="Tahoma" w:hAnsi="Tahoma" w:cs="Tahoma"/>
                <w:lang w:val="es-ES"/>
              </w:rPr>
            </w:pPr>
            <w:r w:rsidRPr="00723230">
              <w:rPr>
                <w:rFonts w:ascii="Tahoma" w:hAnsi="Tahoma" w:cs="Tahoma"/>
                <w:lang w:val="es-ES"/>
              </w:rPr>
              <w:t> </w:t>
            </w:r>
          </w:p>
        </w:tc>
        <w:tc>
          <w:tcPr>
            <w:tcW w:w="353" w:type="pct"/>
            <w:tcBorders>
              <w:top w:val="nil"/>
              <w:left w:val="nil"/>
              <w:bottom w:val="nil"/>
              <w:right w:val="nil"/>
            </w:tcBorders>
            <w:shd w:val="clear" w:color="000000" w:fill="FFFFFF"/>
            <w:noWrap/>
            <w:vAlign w:val="center"/>
            <w:hideMark/>
          </w:tcPr>
          <w:p w:rsidR="00723230" w:rsidRPr="00723230" w:rsidRDefault="00723230" w:rsidP="00723230">
            <w:pPr>
              <w:rPr>
                <w:rFonts w:ascii="Tahoma" w:hAnsi="Tahoma" w:cs="Tahoma"/>
                <w:lang w:val="es-ES"/>
              </w:rPr>
            </w:pPr>
            <w:r w:rsidRPr="00723230">
              <w:rPr>
                <w:rFonts w:ascii="Tahoma" w:hAnsi="Tahoma" w:cs="Tahoma"/>
                <w:lang w:val="es-ES"/>
              </w:rPr>
              <w:t> </w:t>
            </w:r>
          </w:p>
        </w:tc>
        <w:tc>
          <w:tcPr>
            <w:tcW w:w="554" w:type="pct"/>
            <w:tcBorders>
              <w:top w:val="nil"/>
              <w:left w:val="nil"/>
              <w:bottom w:val="nil"/>
              <w:right w:val="nil"/>
            </w:tcBorders>
            <w:shd w:val="clear" w:color="000000" w:fill="FFFFFF"/>
            <w:noWrap/>
            <w:vAlign w:val="center"/>
            <w:hideMark/>
          </w:tcPr>
          <w:p w:rsidR="00723230" w:rsidRPr="00723230" w:rsidRDefault="00723230" w:rsidP="00723230">
            <w:pPr>
              <w:rPr>
                <w:rFonts w:ascii="Tahoma" w:hAnsi="Tahoma" w:cs="Tahoma"/>
                <w:lang w:val="es-ES"/>
              </w:rPr>
            </w:pPr>
            <w:r w:rsidRPr="00723230">
              <w:rPr>
                <w:rFonts w:ascii="Tahoma" w:hAnsi="Tahoma" w:cs="Tahoma"/>
                <w:lang w:val="es-ES"/>
              </w:rPr>
              <w:t> </w:t>
            </w:r>
          </w:p>
        </w:tc>
        <w:tc>
          <w:tcPr>
            <w:tcW w:w="575" w:type="pct"/>
            <w:tcBorders>
              <w:top w:val="nil"/>
              <w:left w:val="nil"/>
              <w:bottom w:val="nil"/>
              <w:right w:val="nil"/>
            </w:tcBorders>
            <w:shd w:val="clear" w:color="000000" w:fill="FFFFFF"/>
            <w:noWrap/>
            <w:vAlign w:val="center"/>
            <w:hideMark/>
          </w:tcPr>
          <w:p w:rsidR="00723230" w:rsidRPr="00723230" w:rsidRDefault="00723230" w:rsidP="00723230">
            <w:pPr>
              <w:rPr>
                <w:rFonts w:ascii="Tahoma" w:hAnsi="Tahoma" w:cs="Tahoma"/>
                <w:lang w:val="es-ES"/>
              </w:rPr>
            </w:pPr>
            <w:r w:rsidRPr="00723230">
              <w:rPr>
                <w:rFonts w:ascii="Tahoma" w:hAnsi="Tahoma" w:cs="Tahoma"/>
                <w:lang w:val="es-ES"/>
              </w:rPr>
              <w:t> </w:t>
            </w:r>
          </w:p>
        </w:tc>
      </w:tr>
      <w:tr w:rsidR="00723230" w:rsidRPr="00723230" w:rsidTr="00723230">
        <w:trPr>
          <w:trHeight w:val="540"/>
        </w:trPr>
        <w:tc>
          <w:tcPr>
            <w:tcW w:w="1834"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23230" w:rsidRPr="00723230" w:rsidRDefault="00723230" w:rsidP="00723230">
            <w:pPr>
              <w:jc w:val="cente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41" w:type="pct"/>
            <w:tcBorders>
              <w:top w:val="single" w:sz="4" w:space="0" w:color="auto"/>
              <w:left w:val="nil"/>
              <w:bottom w:val="single" w:sz="4" w:space="0" w:color="auto"/>
              <w:right w:val="single" w:sz="4" w:space="0" w:color="auto"/>
            </w:tcBorders>
            <w:shd w:val="clear" w:color="000000" w:fill="CCFFCC"/>
            <w:noWrap/>
            <w:vAlign w:val="center"/>
            <w:hideMark/>
          </w:tcPr>
          <w:p w:rsidR="00723230" w:rsidRPr="00723230" w:rsidRDefault="00723230" w:rsidP="00723230">
            <w:pPr>
              <w:jc w:val="center"/>
              <w:rPr>
                <w:rFonts w:ascii="Lucida Bright" w:hAnsi="Lucida Bright" w:cs="Calibri"/>
                <w:sz w:val="14"/>
                <w:szCs w:val="14"/>
                <w:lang w:val="es-ES"/>
              </w:rPr>
            </w:pPr>
            <w:r w:rsidRPr="00723230">
              <w:rPr>
                <w:rFonts w:ascii="Lucida Bright" w:hAnsi="Lucida Bright" w:cs="Calibri"/>
                <w:sz w:val="14"/>
                <w:szCs w:val="14"/>
                <w:lang w:val="es-ES"/>
              </w:rPr>
              <w:t>Patrimonio</w:t>
            </w:r>
          </w:p>
        </w:tc>
        <w:tc>
          <w:tcPr>
            <w:tcW w:w="575" w:type="pct"/>
            <w:tcBorders>
              <w:top w:val="single" w:sz="4" w:space="0" w:color="auto"/>
              <w:left w:val="nil"/>
              <w:bottom w:val="single" w:sz="4" w:space="0" w:color="auto"/>
              <w:right w:val="single" w:sz="4" w:space="0" w:color="auto"/>
            </w:tcBorders>
            <w:shd w:val="clear" w:color="000000" w:fill="CCFFCC"/>
            <w:vAlign w:val="center"/>
            <w:hideMark/>
          </w:tcPr>
          <w:p w:rsidR="00723230" w:rsidRPr="00723230" w:rsidRDefault="00723230" w:rsidP="00723230">
            <w:pPr>
              <w:jc w:val="center"/>
              <w:rPr>
                <w:rFonts w:ascii="Lucida Bright" w:hAnsi="Lucida Bright" w:cs="Calibri"/>
                <w:sz w:val="14"/>
                <w:szCs w:val="14"/>
                <w:lang w:val="es-ES"/>
              </w:rPr>
            </w:pPr>
            <w:r w:rsidRPr="00723230">
              <w:rPr>
                <w:rFonts w:ascii="Lucida Bright" w:hAnsi="Lucida Bright" w:cs="Calibri"/>
                <w:sz w:val="14"/>
                <w:szCs w:val="14"/>
                <w:lang w:val="es-ES"/>
              </w:rPr>
              <w:t>Resultados</w:t>
            </w:r>
            <w:r w:rsidRPr="00723230">
              <w:rPr>
                <w:rFonts w:ascii="Lucida Bright" w:hAnsi="Lucida Bright" w:cs="Calibri"/>
                <w:sz w:val="14"/>
                <w:szCs w:val="14"/>
                <w:lang w:val="es-ES"/>
              </w:rPr>
              <w:br/>
              <w:t>de ejercicios</w:t>
            </w:r>
            <w:r w:rsidRPr="00723230">
              <w:rPr>
                <w:rFonts w:ascii="Lucida Bright" w:hAnsi="Lucida Bright" w:cs="Calibri"/>
                <w:sz w:val="14"/>
                <w:szCs w:val="14"/>
                <w:lang w:val="es-ES"/>
              </w:rPr>
              <w:br/>
              <w:t>anteriores</w:t>
            </w:r>
          </w:p>
        </w:tc>
        <w:tc>
          <w:tcPr>
            <w:tcW w:w="570" w:type="pct"/>
            <w:tcBorders>
              <w:top w:val="single" w:sz="4" w:space="0" w:color="auto"/>
              <w:left w:val="nil"/>
              <w:bottom w:val="single" w:sz="4" w:space="0" w:color="auto"/>
              <w:right w:val="single" w:sz="4" w:space="0" w:color="auto"/>
            </w:tcBorders>
            <w:shd w:val="clear" w:color="000000" w:fill="CCFFCC"/>
            <w:vAlign w:val="center"/>
            <w:hideMark/>
          </w:tcPr>
          <w:p w:rsidR="00723230" w:rsidRPr="00723230" w:rsidRDefault="00723230" w:rsidP="00723230">
            <w:pPr>
              <w:jc w:val="center"/>
              <w:rPr>
                <w:rFonts w:ascii="Lucida Bright" w:hAnsi="Lucida Bright" w:cs="Calibri"/>
                <w:sz w:val="14"/>
                <w:szCs w:val="14"/>
                <w:lang w:val="es-ES"/>
              </w:rPr>
            </w:pPr>
            <w:r w:rsidRPr="00723230">
              <w:rPr>
                <w:rFonts w:ascii="Lucida Bright" w:hAnsi="Lucida Bright" w:cs="Calibri"/>
                <w:sz w:val="14"/>
                <w:szCs w:val="14"/>
                <w:lang w:val="es-ES"/>
              </w:rPr>
              <w:t>Resultado del ejercicio</w:t>
            </w:r>
          </w:p>
        </w:tc>
        <w:tc>
          <w:tcPr>
            <w:tcW w:w="353" w:type="pct"/>
            <w:tcBorders>
              <w:top w:val="single" w:sz="4" w:space="0" w:color="auto"/>
              <w:left w:val="nil"/>
              <w:bottom w:val="single" w:sz="4" w:space="0" w:color="auto"/>
              <w:right w:val="single" w:sz="4" w:space="0" w:color="auto"/>
            </w:tcBorders>
            <w:shd w:val="clear" w:color="000000" w:fill="CCFFCC"/>
            <w:vAlign w:val="center"/>
            <w:hideMark/>
          </w:tcPr>
          <w:p w:rsidR="00723230" w:rsidRPr="00723230" w:rsidRDefault="00723230" w:rsidP="00723230">
            <w:pPr>
              <w:jc w:val="center"/>
              <w:rPr>
                <w:rFonts w:ascii="Lucida Bright" w:hAnsi="Lucida Bright" w:cs="Calibri"/>
                <w:sz w:val="14"/>
                <w:szCs w:val="14"/>
                <w:lang w:val="es-ES"/>
              </w:rPr>
            </w:pPr>
            <w:r w:rsidRPr="00723230">
              <w:rPr>
                <w:rFonts w:ascii="Lucida Bright" w:hAnsi="Lucida Bright" w:cs="Calibri"/>
                <w:sz w:val="14"/>
                <w:szCs w:val="14"/>
                <w:lang w:val="es-ES"/>
              </w:rPr>
              <w:t>Ajustes por cambio de valor</w:t>
            </w:r>
          </w:p>
        </w:tc>
        <w:tc>
          <w:tcPr>
            <w:tcW w:w="554" w:type="pct"/>
            <w:tcBorders>
              <w:top w:val="single" w:sz="4" w:space="0" w:color="auto"/>
              <w:left w:val="nil"/>
              <w:bottom w:val="single" w:sz="4" w:space="0" w:color="auto"/>
              <w:right w:val="single" w:sz="4" w:space="0" w:color="auto"/>
            </w:tcBorders>
            <w:shd w:val="clear" w:color="000000" w:fill="CCFFCC"/>
            <w:vAlign w:val="center"/>
            <w:hideMark/>
          </w:tcPr>
          <w:p w:rsidR="00723230" w:rsidRPr="00723230" w:rsidRDefault="00723230" w:rsidP="00723230">
            <w:pPr>
              <w:jc w:val="center"/>
              <w:rPr>
                <w:rFonts w:ascii="Lucida Bright" w:hAnsi="Lucida Bright" w:cs="Calibri"/>
                <w:sz w:val="14"/>
                <w:szCs w:val="14"/>
                <w:lang w:val="es-ES"/>
              </w:rPr>
            </w:pPr>
            <w:r w:rsidRPr="00723230">
              <w:rPr>
                <w:rFonts w:ascii="Lucida Bright" w:hAnsi="Lucida Bright" w:cs="Calibri"/>
                <w:sz w:val="14"/>
                <w:szCs w:val="14"/>
                <w:lang w:val="es-ES"/>
              </w:rPr>
              <w:t>Subvenciones, donaciones y legados recibidos</w:t>
            </w:r>
          </w:p>
        </w:tc>
        <w:tc>
          <w:tcPr>
            <w:tcW w:w="575" w:type="pct"/>
            <w:tcBorders>
              <w:top w:val="single" w:sz="4" w:space="0" w:color="auto"/>
              <w:left w:val="nil"/>
              <w:bottom w:val="single" w:sz="4" w:space="0" w:color="auto"/>
              <w:right w:val="single" w:sz="4" w:space="0" w:color="auto"/>
            </w:tcBorders>
            <w:shd w:val="clear" w:color="000000" w:fill="CCFFCC"/>
            <w:vAlign w:val="center"/>
            <w:hideMark/>
          </w:tcPr>
          <w:p w:rsidR="00723230" w:rsidRPr="00723230" w:rsidRDefault="00723230" w:rsidP="00723230">
            <w:pPr>
              <w:jc w:val="center"/>
              <w:rPr>
                <w:rFonts w:ascii="Lucida Bright" w:hAnsi="Lucida Bright" w:cs="Calibri"/>
                <w:sz w:val="14"/>
                <w:szCs w:val="14"/>
                <w:lang w:val="es-ES"/>
              </w:rPr>
            </w:pPr>
            <w:r w:rsidRPr="00723230">
              <w:rPr>
                <w:rFonts w:ascii="Lucida Bright" w:hAnsi="Lucida Bright" w:cs="Calibri"/>
                <w:sz w:val="14"/>
                <w:szCs w:val="14"/>
                <w:lang w:val="es-ES"/>
              </w:rPr>
              <w:t>Total</w:t>
            </w:r>
          </w:p>
        </w:tc>
      </w:tr>
      <w:tr w:rsidR="00723230" w:rsidRPr="00723230" w:rsidTr="00723230">
        <w:trPr>
          <w:trHeight w:val="139"/>
        </w:trPr>
        <w:tc>
          <w:tcPr>
            <w:tcW w:w="1834" w:type="pct"/>
            <w:tcBorders>
              <w:top w:val="nil"/>
              <w:left w:val="single" w:sz="4" w:space="0" w:color="auto"/>
              <w:bottom w:val="nil"/>
              <w:right w:val="single" w:sz="4" w:space="0" w:color="auto"/>
            </w:tcBorders>
            <w:shd w:val="clear" w:color="auto" w:fill="auto"/>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41" w:type="pct"/>
            <w:tcBorders>
              <w:top w:val="nil"/>
              <w:left w:val="nil"/>
              <w:bottom w:val="nil"/>
              <w:right w:val="single" w:sz="4" w:space="0" w:color="auto"/>
            </w:tcBorders>
            <w:shd w:val="clear" w:color="auto" w:fill="auto"/>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5" w:type="pct"/>
            <w:tcBorders>
              <w:top w:val="nil"/>
              <w:left w:val="nil"/>
              <w:bottom w:val="nil"/>
              <w:right w:val="single" w:sz="4" w:space="0" w:color="auto"/>
            </w:tcBorders>
            <w:shd w:val="clear" w:color="auto" w:fill="auto"/>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0" w:type="pct"/>
            <w:tcBorders>
              <w:top w:val="nil"/>
              <w:left w:val="nil"/>
              <w:bottom w:val="nil"/>
              <w:right w:val="single" w:sz="4" w:space="0" w:color="auto"/>
            </w:tcBorders>
            <w:shd w:val="clear" w:color="auto" w:fill="auto"/>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353" w:type="pct"/>
            <w:tcBorders>
              <w:top w:val="nil"/>
              <w:left w:val="nil"/>
              <w:bottom w:val="nil"/>
              <w:right w:val="single" w:sz="4" w:space="0" w:color="auto"/>
            </w:tcBorders>
            <w:shd w:val="clear" w:color="auto" w:fill="auto"/>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54" w:type="pct"/>
            <w:tcBorders>
              <w:top w:val="nil"/>
              <w:left w:val="nil"/>
              <w:bottom w:val="nil"/>
              <w:right w:val="single" w:sz="4" w:space="0" w:color="auto"/>
            </w:tcBorders>
            <w:shd w:val="clear" w:color="auto" w:fill="auto"/>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5" w:type="pct"/>
            <w:tcBorders>
              <w:top w:val="nil"/>
              <w:left w:val="nil"/>
              <w:bottom w:val="nil"/>
              <w:right w:val="single" w:sz="4" w:space="0" w:color="auto"/>
            </w:tcBorders>
            <w:shd w:val="clear" w:color="auto" w:fill="auto"/>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r>
      <w:tr w:rsidR="00723230" w:rsidRPr="00723230" w:rsidTr="00723230">
        <w:trPr>
          <w:trHeight w:val="210"/>
        </w:trPr>
        <w:tc>
          <w:tcPr>
            <w:tcW w:w="1834" w:type="pct"/>
            <w:tcBorders>
              <w:top w:val="nil"/>
              <w:left w:val="single" w:sz="4" w:space="0" w:color="auto"/>
              <w:bottom w:val="nil"/>
              <w:right w:val="single" w:sz="4" w:space="0" w:color="auto"/>
            </w:tcBorders>
            <w:shd w:val="clear" w:color="000000" w:fill="CCFFCC"/>
            <w:noWrap/>
            <w:vAlign w:val="center"/>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xml:space="preserve"> A. SALDO, FINAL DEL AÑO 2021</w:t>
            </w:r>
          </w:p>
        </w:tc>
        <w:tc>
          <w:tcPr>
            <w:tcW w:w="541" w:type="pct"/>
            <w:tcBorders>
              <w:top w:val="nil"/>
              <w:left w:val="nil"/>
              <w:bottom w:val="nil"/>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212.383.193,39 </w:t>
            </w:r>
          </w:p>
        </w:tc>
        <w:tc>
          <w:tcPr>
            <w:tcW w:w="575" w:type="pct"/>
            <w:tcBorders>
              <w:top w:val="nil"/>
              <w:left w:val="nil"/>
              <w:bottom w:val="nil"/>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398.943.220,75 </w:t>
            </w:r>
          </w:p>
        </w:tc>
        <w:tc>
          <w:tcPr>
            <w:tcW w:w="570" w:type="pct"/>
            <w:tcBorders>
              <w:top w:val="nil"/>
              <w:left w:val="nil"/>
              <w:bottom w:val="nil"/>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30.188.626,13 </w:t>
            </w:r>
          </w:p>
        </w:tc>
        <w:tc>
          <w:tcPr>
            <w:tcW w:w="353" w:type="pct"/>
            <w:tcBorders>
              <w:top w:val="nil"/>
              <w:left w:val="nil"/>
              <w:bottom w:val="nil"/>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(0,00) </w:t>
            </w:r>
          </w:p>
        </w:tc>
        <w:tc>
          <w:tcPr>
            <w:tcW w:w="554" w:type="pct"/>
            <w:tcBorders>
              <w:top w:val="nil"/>
              <w:left w:val="nil"/>
              <w:bottom w:val="nil"/>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22.007.325,71 </w:t>
            </w:r>
          </w:p>
        </w:tc>
        <w:tc>
          <w:tcPr>
            <w:tcW w:w="575" w:type="pct"/>
            <w:tcBorders>
              <w:top w:val="nil"/>
              <w:left w:val="nil"/>
              <w:bottom w:val="nil"/>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663.522.365,98 </w:t>
            </w:r>
          </w:p>
        </w:tc>
      </w:tr>
      <w:tr w:rsidR="00723230" w:rsidRPr="00723230" w:rsidTr="00723230">
        <w:trPr>
          <w:trHeight w:val="139"/>
        </w:trPr>
        <w:tc>
          <w:tcPr>
            <w:tcW w:w="1834" w:type="pct"/>
            <w:tcBorders>
              <w:top w:val="nil"/>
              <w:left w:val="single" w:sz="4" w:space="0" w:color="auto"/>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41"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5"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0"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353"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54"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5"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r>
      <w:tr w:rsidR="00723230" w:rsidRPr="00723230" w:rsidTr="00723230">
        <w:trPr>
          <w:trHeight w:val="210"/>
        </w:trPr>
        <w:tc>
          <w:tcPr>
            <w:tcW w:w="1834" w:type="pct"/>
            <w:tcBorders>
              <w:top w:val="nil"/>
              <w:left w:val="single" w:sz="4" w:space="0" w:color="auto"/>
              <w:bottom w:val="nil"/>
              <w:right w:val="single" w:sz="4" w:space="0" w:color="auto"/>
            </w:tcBorders>
            <w:shd w:val="clear" w:color="000000" w:fill="FFFFFF"/>
            <w:noWrap/>
            <w:vAlign w:val="center"/>
            <w:hideMark/>
          </w:tcPr>
          <w:p w:rsidR="00723230" w:rsidRPr="00723230" w:rsidRDefault="00723230" w:rsidP="00723230">
            <w:pPr>
              <w:rPr>
                <w:rFonts w:ascii="Lucida Bright" w:hAnsi="Lucida Bright" w:cs="Calibri"/>
                <w:sz w:val="14"/>
                <w:szCs w:val="14"/>
                <w:lang w:val="es-ES"/>
              </w:rPr>
            </w:pPr>
            <w:r w:rsidRPr="00723230">
              <w:rPr>
                <w:rFonts w:ascii="Lucida Bright" w:hAnsi="Lucida Bright" w:cs="Calibri"/>
                <w:sz w:val="14"/>
                <w:szCs w:val="14"/>
                <w:lang w:val="es-ES"/>
              </w:rPr>
              <w:t xml:space="preserve">      I. Ajustes por cambios de criterio 2021 y anteriores.</w:t>
            </w:r>
          </w:p>
        </w:tc>
        <w:tc>
          <w:tcPr>
            <w:tcW w:w="541"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75"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70"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353"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54"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75"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r>
      <w:tr w:rsidR="00723230" w:rsidRPr="00723230" w:rsidTr="00723230">
        <w:trPr>
          <w:trHeight w:val="210"/>
        </w:trPr>
        <w:tc>
          <w:tcPr>
            <w:tcW w:w="1834" w:type="pct"/>
            <w:tcBorders>
              <w:top w:val="nil"/>
              <w:left w:val="single" w:sz="4" w:space="0" w:color="auto"/>
              <w:bottom w:val="nil"/>
              <w:right w:val="single" w:sz="4" w:space="0" w:color="auto"/>
            </w:tcBorders>
            <w:shd w:val="clear" w:color="000000" w:fill="FFFFFF"/>
            <w:noWrap/>
            <w:vAlign w:val="center"/>
            <w:hideMark/>
          </w:tcPr>
          <w:p w:rsidR="00723230" w:rsidRPr="00723230" w:rsidRDefault="00723230" w:rsidP="00723230">
            <w:pPr>
              <w:rPr>
                <w:rFonts w:ascii="Lucida Bright" w:hAnsi="Lucida Bright" w:cs="Calibri"/>
                <w:sz w:val="14"/>
                <w:szCs w:val="14"/>
                <w:lang w:val="es-ES"/>
              </w:rPr>
            </w:pPr>
            <w:r w:rsidRPr="00723230">
              <w:rPr>
                <w:rFonts w:ascii="Lucida Bright" w:hAnsi="Lucida Bright" w:cs="Calibri"/>
                <w:sz w:val="14"/>
                <w:szCs w:val="14"/>
                <w:lang w:val="es-ES"/>
              </w:rPr>
              <w:t xml:space="preserve">     II. Ajustes por errores 2021 y anteriores.</w:t>
            </w:r>
          </w:p>
        </w:tc>
        <w:tc>
          <w:tcPr>
            <w:tcW w:w="541" w:type="pct"/>
            <w:tcBorders>
              <w:top w:val="nil"/>
              <w:left w:val="nil"/>
              <w:bottom w:val="nil"/>
              <w:right w:val="single" w:sz="4" w:space="0" w:color="auto"/>
            </w:tcBorders>
            <w:shd w:val="clear" w:color="000000" w:fill="FFFFFF"/>
            <w:noWrap/>
            <w:vAlign w:val="center"/>
            <w:hideMark/>
          </w:tcPr>
          <w:p w:rsidR="00723230" w:rsidRPr="00723230" w:rsidRDefault="00723230" w:rsidP="00723230">
            <w:pPr>
              <w:rPr>
                <w:rFonts w:ascii="Lucida Bright" w:hAnsi="Lucida Bright" w:cs="Calibri"/>
                <w:sz w:val="14"/>
                <w:szCs w:val="14"/>
                <w:lang w:val="es-ES"/>
              </w:rPr>
            </w:pPr>
            <w:r w:rsidRPr="00723230">
              <w:rPr>
                <w:rFonts w:ascii="Lucida Bright" w:hAnsi="Lucida Bright" w:cs="Calibri"/>
                <w:sz w:val="14"/>
                <w:szCs w:val="14"/>
                <w:lang w:val="es-ES"/>
              </w:rPr>
              <w:t> </w:t>
            </w:r>
          </w:p>
        </w:tc>
        <w:tc>
          <w:tcPr>
            <w:tcW w:w="575"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(1.096,04) </w:t>
            </w:r>
          </w:p>
        </w:tc>
        <w:tc>
          <w:tcPr>
            <w:tcW w:w="570"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(83.944,05) </w:t>
            </w:r>
          </w:p>
        </w:tc>
        <w:tc>
          <w:tcPr>
            <w:tcW w:w="353"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54"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75"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(85.040,09) </w:t>
            </w:r>
          </w:p>
        </w:tc>
      </w:tr>
      <w:tr w:rsidR="00723230" w:rsidRPr="00723230" w:rsidTr="00723230">
        <w:trPr>
          <w:trHeight w:val="139"/>
        </w:trPr>
        <w:tc>
          <w:tcPr>
            <w:tcW w:w="1834" w:type="pct"/>
            <w:tcBorders>
              <w:top w:val="nil"/>
              <w:left w:val="single" w:sz="4" w:space="0" w:color="auto"/>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41"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5"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0"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353"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54"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5"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r>
      <w:tr w:rsidR="00723230" w:rsidRPr="00723230" w:rsidTr="00723230">
        <w:trPr>
          <w:trHeight w:val="210"/>
        </w:trPr>
        <w:tc>
          <w:tcPr>
            <w:tcW w:w="1834" w:type="pct"/>
            <w:tcBorders>
              <w:top w:val="nil"/>
              <w:left w:val="single" w:sz="4" w:space="0" w:color="auto"/>
              <w:bottom w:val="nil"/>
              <w:right w:val="single" w:sz="4" w:space="0" w:color="auto"/>
            </w:tcBorders>
            <w:shd w:val="clear" w:color="000000" w:fill="CCFFCC"/>
            <w:noWrap/>
            <w:vAlign w:val="center"/>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xml:space="preserve"> B. SALDO AJUSTADO, INICIO DEL AÑO 2022</w:t>
            </w:r>
          </w:p>
        </w:tc>
        <w:tc>
          <w:tcPr>
            <w:tcW w:w="541" w:type="pct"/>
            <w:tcBorders>
              <w:top w:val="nil"/>
              <w:left w:val="nil"/>
              <w:bottom w:val="nil"/>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212.383.193,39 </w:t>
            </w:r>
          </w:p>
        </w:tc>
        <w:tc>
          <w:tcPr>
            <w:tcW w:w="575" w:type="pct"/>
            <w:tcBorders>
              <w:top w:val="nil"/>
              <w:left w:val="nil"/>
              <w:bottom w:val="nil"/>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398.942.124,71 </w:t>
            </w:r>
          </w:p>
        </w:tc>
        <w:tc>
          <w:tcPr>
            <w:tcW w:w="570" w:type="pct"/>
            <w:tcBorders>
              <w:top w:val="nil"/>
              <w:left w:val="nil"/>
              <w:bottom w:val="nil"/>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30.104.682,08 </w:t>
            </w:r>
          </w:p>
        </w:tc>
        <w:tc>
          <w:tcPr>
            <w:tcW w:w="353" w:type="pct"/>
            <w:tcBorders>
              <w:top w:val="nil"/>
              <w:left w:val="nil"/>
              <w:bottom w:val="nil"/>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(0,00) </w:t>
            </w:r>
          </w:p>
        </w:tc>
        <w:tc>
          <w:tcPr>
            <w:tcW w:w="554" w:type="pct"/>
            <w:tcBorders>
              <w:top w:val="nil"/>
              <w:left w:val="nil"/>
              <w:bottom w:val="nil"/>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22.007.325,71 </w:t>
            </w:r>
          </w:p>
        </w:tc>
        <w:tc>
          <w:tcPr>
            <w:tcW w:w="575" w:type="pct"/>
            <w:tcBorders>
              <w:top w:val="nil"/>
              <w:left w:val="nil"/>
              <w:bottom w:val="nil"/>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663.437.325,89 </w:t>
            </w:r>
          </w:p>
        </w:tc>
      </w:tr>
      <w:tr w:rsidR="00723230" w:rsidRPr="00723230" w:rsidTr="00723230">
        <w:trPr>
          <w:trHeight w:val="139"/>
        </w:trPr>
        <w:tc>
          <w:tcPr>
            <w:tcW w:w="1834" w:type="pct"/>
            <w:tcBorders>
              <w:top w:val="nil"/>
              <w:left w:val="single" w:sz="4" w:space="0" w:color="auto"/>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41"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5"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0"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353"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54"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5"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r>
      <w:tr w:rsidR="00723230" w:rsidRPr="00723230" w:rsidTr="00723230">
        <w:trPr>
          <w:trHeight w:val="210"/>
        </w:trPr>
        <w:tc>
          <w:tcPr>
            <w:tcW w:w="1834" w:type="pct"/>
            <w:tcBorders>
              <w:top w:val="nil"/>
              <w:left w:val="single" w:sz="4" w:space="0" w:color="auto"/>
              <w:bottom w:val="nil"/>
              <w:right w:val="single" w:sz="4" w:space="0" w:color="auto"/>
            </w:tcBorders>
            <w:shd w:val="clear" w:color="000000" w:fill="FFFFFF"/>
            <w:noWrap/>
            <w:vAlign w:val="center"/>
            <w:hideMark/>
          </w:tcPr>
          <w:p w:rsidR="00723230" w:rsidRPr="00723230" w:rsidRDefault="00723230" w:rsidP="00723230">
            <w:pPr>
              <w:rPr>
                <w:rFonts w:ascii="Lucida Bright" w:hAnsi="Lucida Bright" w:cs="Calibri"/>
                <w:sz w:val="14"/>
                <w:szCs w:val="14"/>
                <w:lang w:val="es-ES"/>
              </w:rPr>
            </w:pPr>
            <w:r w:rsidRPr="00723230">
              <w:rPr>
                <w:rFonts w:ascii="Lucida Bright" w:hAnsi="Lucida Bright" w:cs="Calibri"/>
                <w:sz w:val="14"/>
                <w:szCs w:val="14"/>
                <w:lang w:val="es-ES"/>
              </w:rPr>
              <w:t xml:space="preserve">      I. Total ingresos y gastos reconocidos</w:t>
            </w:r>
          </w:p>
        </w:tc>
        <w:tc>
          <w:tcPr>
            <w:tcW w:w="541"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75"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70"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32.937.294,09 </w:t>
            </w:r>
          </w:p>
        </w:tc>
        <w:tc>
          <w:tcPr>
            <w:tcW w:w="353"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54"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(347.825,60) </w:t>
            </w:r>
          </w:p>
        </w:tc>
        <w:tc>
          <w:tcPr>
            <w:tcW w:w="575"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32.589.468,49 </w:t>
            </w:r>
          </w:p>
        </w:tc>
      </w:tr>
      <w:tr w:rsidR="00723230" w:rsidRPr="00723230" w:rsidTr="00723230">
        <w:trPr>
          <w:trHeight w:val="210"/>
        </w:trPr>
        <w:tc>
          <w:tcPr>
            <w:tcW w:w="1834" w:type="pct"/>
            <w:tcBorders>
              <w:top w:val="nil"/>
              <w:left w:val="single" w:sz="4" w:space="0" w:color="auto"/>
              <w:bottom w:val="nil"/>
              <w:right w:val="single" w:sz="4" w:space="0" w:color="auto"/>
            </w:tcBorders>
            <w:shd w:val="clear" w:color="000000" w:fill="FFFFFF"/>
            <w:noWrap/>
            <w:vAlign w:val="center"/>
            <w:hideMark/>
          </w:tcPr>
          <w:p w:rsidR="00723230" w:rsidRPr="00723230" w:rsidRDefault="00723230" w:rsidP="00723230">
            <w:pPr>
              <w:rPr>
                <w:rFonts w:ascii="Lucida Bright" w:hAnsi="Lucida Bright" w:cs="Calibri"/>
                <w:sz w:val="14"/>
                <w:szCs w:val="14"/>
                <w:lang w:val="es-ES"/>
              </w:rPr>
            </w:pPr>
            <w:r w:rsidRPr="00723230">
              <w:rPr>
                <w:rFonts w:ascii="Lucida Bright" w:hAnsi="Lucida Bright" w:cs="Calibri"/>
                <w:sz w:val="14"/>
                <w:szCs w:val="14"/>
                <w:lang w:val="es-ES"/>
              </w:rPr>
              <w:t xml:space="preserve">     II. Operaciones con socios o propietarios (*)</w:t>
            </w:r>
          </w:p>
        </w:tc>
        <w:tc>
          <w:tcPr>
            <w:tcW w:w="541"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75"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70"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353"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54"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75"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r>
      <w:tr w:rsidR="00723230" w:rsidRPr="00723230" w:rsidTr="00723230">
        <w:trPr>
          <w:trHeight w:val="210"/>
        </w:trPr>
        <w:tc>
          <w:tcPr>
            <w:tcW w:w="1834" w:type="pct"/>
            <w:tcBorders>
              <w:top w:val="nil"/>
              <w:left w:val="single" w:sz="4" w:space="0" w:color="auto"/>
              <w:bottom w:val="nil"/>
              <w:right w:val="single" w:sz="4" w:space="0" w:color="auto"/>
            </w:tcBorders>
            <w:shd w:val="clear" w:color="000000" w:fill="FFFFFF"/>
            <w:noWrap/>
            <w:vAlign w:val="center"/>
            <w:hideMark/>
          </w:tcPr>
          <w:p w:rsidR="00723230" w:rsidRPr="00723230" w:rsidRDefault="00723230" w:rsidP="00723230">
            <w:pPr>
              <w:rPr>
                <w:rFonts w:ascii="Lucida Bright" w:hAnsi="Lucida Bright" w:cs="Calibri"/>
                <w:sz w:val="14"/>
                <w:szCs w:val="14"/>
                <w:lang w:val="es-ES"/>
              </w:rPr>
            </w:pPr>
            <w:r w:rsidRPr="00723230">
              <w:rPr>
                <w:rFonts w:ascii="Lucida Bright" w:hAnsi="Lucida Bright" w:cs="Calibri"/>
                <w:sz w:val="14"/>
                <w:szCs w:val="14"/>
                <w:lang w:val="es-ES"/>
              </w:rPr>
              <w:t xml:space="preserve">    III. Otras variaciones del patrimonio neto</w:t>
            </w:r>
          </w:p>
        </w:tc>
        <w:tc>
          <w:tcPr>
            <w:tcW w:w="541"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75"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30.104.682,08 </w:t>
            </w:r>
          </w:p>
        </w:tc>
        <w:tc>
          <w:tcPr>
            <w:tcW w:w="570"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(30.104.682,08) </w:t>
            </w:r>
          </w:p>
        </w:tc>
        <w:tc>
          <w:tcPr>
            <w:tcW w:w="353"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54"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75"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r>
      <w:tr w:rsidR="00723230" w:rsidRPr="00723230" w:rsidTr="00723230">
        <w:trPr>
          <w:trHeight w:val="139"/>
        </w:trPr>
        <w:tc>
          <w:tcPr>
            <w:tcW w:w="1834" w:type="pct"/>
            <w:tcBorders>
              <w:top w:val="nil"/>
              <w:left w:val="single" w:sz="4" w:space="0" w:color="auto"/>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41"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5"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0"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353"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54"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5"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r>
      <w:tr w:rsidR="00723230" w:rsidRPr="00723230" w:rsidTr="00723230">
        <w:trPr>
          <w:trHeight w:val="210"/>
        </w:trPr>
        <w:tc>
          <w:tcPr>
            <w:tcW w:w="1834" w:type="pct"/>
            <w:tcBorders>
              <w:top w:val="nil"/>
              <w:left w:val="single" w:sz="4" w:space="0" w:color="auto"/>
              <w:bottom w:val="nil"/>
              <w:right w:val="single" w:sz="4" w:space="0" w:color="auto"/>
            </w:tcBorders>
            <w:shd w:val="clear" w:color="000000" w:fill="CCFFCC"/>
            <w:noWrap/>
            <w:vAlign w:val="center"/>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xml:space="preserve"> C. SALDO, FINAL DEL AÑO 2022</w:t>
            </w:r>
          </w:p>
        </w:tc>
        <w:tc>
          <w:tcPr>
            <w:tcW w:w="541" w:type="pct"/>
            <w:tcBorders>
              <w:top w:val="nil"/>
              <w:left w:val="nil"/>
              <w:bottom w:val="nil"/>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212.383.193,39 </w:t>
            </w:r>
          </w:p>
        </w:tc>
        <w:tc>
          <w:tcPr>
            <w:tcW w:w="575" w:type="pct"/>
            <w:tcBorders>
              <w:top w:val="nil"/>
              <w:left w:val="nil"/>
              <w:bottom w:val="nil"/>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429.046.806,79 </w:t>
            </w:r>
          </w:p>
        </w:tc>
        <w:tc>
          <w:tcPr>
            <w:tcW w:w="570" w:type="pct"/>
            <w:tcBorders>
              <w:top w:val="nil"/>
              <w:left w:val="nil"/>
              <w:bottom w:val="nil"/>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32.937.294,09 </w:t>
            </w:r>
          </w:p>
        </w:tc>
        <w:tc>
          <w:tcPr>
            <w:tcW w:w="353" w:type="pct"/>
            <w:tcBorders>
              <w:top w:val="nil"/>
              <w:left w:val="nil"/>
              <w:bottom w:val="nil"/>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(0,00) </w:t>
            </w:r>
          </w:p>
        </w:tc>
        <w:tc>
          <w:tcPr>
            <w:tcW w:w="554" w:type="pct"/>
            <w:tcBorders>
              <w:top w:val="nil"/>
              <w:left w:val="nil"/>
              <w:bottom w:val="nil"/>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21.659.500,11 </w:t>
            </w:r>
          </w:p>
        </w:tc>
        <w:tc>
          <w:tcPr>
            <w:tcW w:w="575" w:type="pct"/>
            <w:tcBorders>
              <w:top w:val="nil"/>
              <w:left w:val="nil"/>
              <w:bottom w:val="nil"/>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696.026.794,38 </w:t>
            </w:r>
          </w:p>
        </w:tc>
      </w:tr>
      <w:tr w:rsidR="00723230" w:rsidRPr="00723230" w:rsidTr="00723230">
        <w:trPr>
          <w:trHeight w:val="139"/>
        </w:trPr>
        <w:tc>
          <w:tcPr>
            <w:tcW w:w="1834" w:type="pct"/>
            <w:tcBorders>
              <w:top w:val="nil"/>
              <w:left w:val="single" w:sz="4" w:space="0" w:color="auto"/>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41"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5"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0"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353"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54"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5"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r>
      <w:tr w:rsidR="00723230" w:rsidRPr="00723230" w:rsidTr="00723230">
        <w:trPr>
          <w:trHeight w:val="210"/>
        </w:trPr>
        <w:tc>
          <w:tcPr>
            <w:tcW w:w="1834" w:type="pct"/>
            <w:tcBorders>
              <w:top w:val="nil"/>
              <w:left w:val="single" w:sz="4" w:space="0" w:color="auto"/>
              <w:bottom w:val="nil"/>
              <w:right w:val="single" w:sz="4" w:space="0" w:color="auto"/>
            </w:tcBorders>
            <w:shd w:val="clear" w:color="000000" w:fill="FFFFFF"/>
            <w:noWrap/>
            <w:vAlign w:val="center"/>
            <w:hideMark/>
          </w:tcPr>
          <w:p w:rsidR="00723230" w:rsidRPr="00723230" w:rsidRDefault="00723230" w:rsidP="00723230">
            <w:pPr>
              <w:rPr>
                <w:rFonts w:ascii="Lucida Bright" w:hAnsi="Lucida Bright" w:cs="Calibri"/>
                <w:sz w:val="14"/>
                <w:szCs w:val="14"/>
                <w:lang w:val="es-ES"/>
              </w:rPr>
            </w:pPr>
            <w:r w:rsidRPr="00723230">
              <w:rPr>
                <w:rFonts w:ascii="Lucida Bright" w:hAnsi="Lucida Bright" w:cs="Calibri"/>
                <w:sz w:val="14"/>
                <w:szCs w:val="14"/>
                <w:lang w:val="es-ES"/>
              </w:rPr>
              <w:t xml:space="preserve">      I. Ajustes por cambios de criterio 2022.</w:t>
            </w:r>
          </w:p>
        </w:tc>
        <w:tc>
          <w:tcPr>
            <w:tcW w:w="541"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75"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70"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353"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54"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75"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r>
      <w:tr w:rsidR="00723230" w:rsidRPr="00723230" w:rsidTr="00723230">
        <w:trPr>
          <w:trHeight w:val="210"/>
        </w:trPr>
        <w:tc>
          <w:tcPr>
            <w:tcW w:w="1834" w:type="pct"/>
            <w:tcBorders>
              <w:top w:val="nil"/>
              <w:left w:val="single" w:sz="4" w:space="0" w:color="auto"/>
              <w:bottom w:val="nil"/>
              <w:right w:val="single" w:sz="4" w:space="0" w:color="auto"/>
            </w:tcBorders>
            <w:shd w:val="clear" w:color="000000" w:fill="FFFFFF"/>
            <w:noWrap/>
            <w:vAlign w:val="center"/>
            <w:hideMark/>
          </w:tcPr>
          <w:p w:rsidR="00723230" w:rsidRPr="00723230" w:rsidRDefault="00723230" w:rsidP="00723230">
            <w:pPr>
              <w:rPr>
                <w:rFonts w:ascii="Lucida Bright" w:hAnsi="Lucida Bright" w:cs="Calibri"/>
                <w:sz w:val="14"/>
                <w:szCs w:val="14"/>
                <w:lang w:val="es-ES"/>
              </w:rPr>
            </w:pPr>
            <w:r w:rsidRPr="00723230">
              <w:rPr>
                <w:rFonts w:ascii="Lucida Bright" w:hAnsi="Lucida Bright" w:cs="Calibri"/>
                <w:sz w:val="14"/>
                <w:szCs w:val="14"/>
                <w:lang w:val="es-ES"/>
              </w:rPr>
              <w:t xml:space="preserve">     II. Ajustes por errores 2022.</w:t>
            </w:r>
          </w:p>
        </w:tc>
        <w:tc>
          <w:tcPr>
            <w:tcW w:w="541"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75"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70"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3.812,07 </w:t>
            </w:r>
          </w:p>
        </w:tc>
        <w:tc>
          <w:tcPr>
            <w:tcW w:w="353"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54"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75"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3.812,07 </w:t>
            </w:r>
          </w:p>
        </w:tc>
      </w:tr>
      <w:tr w:rsidR="00723230" w:rsidRPr="00723230" w:rsidTr="00723230">
        <w:trPr>
          <w:trHeight w:val="139"/>
        </w:trPr>
        <w:tc>
          <w:tcPr>
            <w:tcW w:w="1834" w:type="pct"/>
            <w:tcBorders>
              <w:top w:val="nil"/>
              <w:left w:val="single" w:sz="4" w:space="0" w:color="auto"/>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41"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5"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0"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353"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54"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5"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r>
      <w:tr w:rsidR="00723230" w:rsidRPr="00723230" w:rsidTr="00723230">
        <w:trPr>
          <w:trHeight w:val="210"/>
        </w:trPr>
        <w:tc>
          <w:tcPr>
            <w:tcW w:w="1834" w:type="pct"/>
            <w:tcBorders>
              <w:top w:val="nil"/>
              <w:left w:val="single" w:sz="4" w:space="0" w:color="auto"/>
              <w:bottom w:val="nil"/>
              <w:right w:val="single" w:sz="4" w:space="0" w:color="auto"/>
            </w:tcBorders>
            <w:shd w:val="clear" w:color="000000" w:fill="CCFFCC"/>
            <w:noWrap/>
            <w:vAlign w:val="center"/>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xml:space="preserve"> D. SALDO AJUSTADO, INICIO DEL AÑO 2023</w:t>
            </w:r>
          </w:p>
        </w:tc>
        <w:tc>
          <w:tcPr>
            <w:tcW w:w="541" w:type="pct"/>
            <w:tcBorders>
              <w:top w:val="nil"/>
              <w:left w:val="nil"/>
              <w:bottom w:val="nil"/>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212.383.193,39 </w:t>
            </w:r>
          </w:p>
        </w:tc>
        <w:tc>
          <w:tcPr>
            <w:tcW w:w="575" w:type="pct"/>
            <w:tcBorders>
              <w:top w:val="nil"/>
              <w:left w:val="nil"/>
              <w:bottom w:val="nil"/>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429.046.806,79 </w:t>
            </w:r>
          </w:p>
        </w:tc>
        <w:tc>
          <w:tcPr>
            <w:tcW w:w="570" w:type="pct"/>
            <w:tcBorders>
              <w:top w:val="nil"/>
              <w:left w:val="nil"/>
              <w:bottom w:val="nil"/>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32.941.106,16 </w:t>
            </w:r>
          </w:p>
        </w:tc>
        <w:tc>
          <w:tcPr>
            <w:tcW w:w="353" w:type="pct"/>
            <w:tcBorders>
              <w:top w:val="nil"/>
              <w:left w:val="nil"/>
              <w:bottom w:val="nil"/>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(0,00) </w:t>
            </w:r>
          </w:p>
        </w:tc>
        <w:tc>
          <w:tcPr>
            <w:tcW w:w="554" w:type="pct"/>
            <w:tcBorders>
              <w:top w:val="nil"/>
              <w:left w:val="nil"/>
              <w:bottom w:val="nil"/>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21.659.500,11 </w:t>
            </w:r>
          </w:p>
        </w:tc>
        <w:tc>
          <w:tcPr>
            <w:tcW w:w="575" w:type="pct"/>
            <w:tcBorders>
              <w:top w:val="nil"/>
              <w:left w:val="nil"/>
              <w:bottom w:val="nil"/>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696.030.606,45 </w:t>
            </w:r>
          </w:p>
        </w:tc>
      </w:tr>
      <w:tr w:rsidR="00723230" w:rsidRPr="00723230" w:rsidTr="00723230">
        <w:trPr>
          <w:trHeight w:val="139"/>
        </w:trPr>
        <w:tc>
          <w:tcPr>
            <w:tcW w:w="1834" w:type="pct"/>
            <w:tcBorders>
              <w:top w:val="nil"/>
              <w:left w:val="single" w:sz="4" w:space="0" w:color="auto"/>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41"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5"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0"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353"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54"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5"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r>
      <w:tr w:rsidR="00723230" w:rsidRPr="00723230" w:rsidTr="00723230">
        <w:trPr>
          <w:trHeight w:val="210"/>
        </w:trPr>
        <w:tc>
          <w:tcPr>
            <w:tcW w:w="1834" w:type="pct"/>
            <w:tcBorders>
              <w:top w:val="nil"/>
              <w:left w:val="single" w:sz="4" w:space="0" w:color="auto"/>
              <w:bottom w:val="nil"/>
              <w:right w:val="single" w:sz="4" w:space="0" w:color="auto"/>
            </w:tcBorders>
            <w:shd w:val="clear" w:color="000000" w:fill="FFFFFF"/>
            <w:noWrap/>
            <w:vAlign w:val="center"/>
            <w:hideMark/>
          </w:tcPr>
          <w:p w:rsidR="00723230" w:rsidRPr="00723230" w:rsidRDefault="00723230" w:rsidP="00723230">
            <w:pPr>
              <w:rPr>
                <w:rFonts w:ascii="Lucida Bright" w:hAnsi="Lucida Bright" w:cs="Calibri"/>
                <w:sz w:val="14"/>
                <w:szCs w:val="14"/>
                <w:lang w:val="es-ES"/>
              </w:rPr>
            </w:pPr>
            <w:r w:rsidRPr="00723230">
              <w:rPr>
                <w:rFonts w:ascii="Lucida Bright" w:hAnsi="Lucida Bright" w:cs="Calibri"/>
                <w:sz w:val="14"/>
                <w:szCs w:val="14"/>
                <w:lang w:val="es-ES"/>
              </w:rPr>
              <w:t xml:space="preserve">      I. Total ingresos y gastos reconocidos</w:t>
            </w:r>
          </w:p>
        </w:tc>
        <w:tc>
          <w:tcPr>
            <w:tcW w:w="541"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75"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70"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47.012.107,02 </w:t>
            </w:r>
          </w:p>
        </w:tc>
        <w:tc>
          <w:tcPr>
            <w:tcW w:w="353"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54"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5.877,85 </w:t>
            </w:r>
          </w:p>
        </w:tc>
        <w:tc>
          <w:tcPr>
            <w:tcW w:w="575"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47.017.984,87 </w:t>
            </w:r>
          </w:p>
        </w:tc>
      </w:tr>
      <w:tr w:rsidR="00723230" w:rsidRPr="00723230" w:rsidTr="00723230">
        <w:trPr>
          <w:trHeight w:val="210"/>
        </w:trPr>
        <w:tc>
          <w:tcPr>
            <w:tcW w:w="1834" w:type="pct"/>
            <w:tcBorders>
              <w:top w:val="nil"/>
              <w:left w:val="single" w:sz="4" w:space="0" w:color="auto"/>
              <w:bottom w:val="nil"/>
              <w:right w:val="single" w:sz="4" w:space="0" w:color="auto"/>
            </w:tcBorders>
            <w:shd w:val="clear" w:color="000000" w:fill="FFFFFF"/>
            <w:noWrap/>
            <w:vAlign w:val="center"/>
            <w:hideMark/>
          </w:tcPr>
          <w:p w:rsidR="00723230" w:rsidRPr="00723230" w:rsidRDefault="00723230" w:rsidP="00723230">
            <w:pPr>
              <w:rPr>
                <w:rFonts w:ascii="Lucida Bright" w:hAnsi="Lucida Bright" w:cs="Calibri"/>
                <w:sz w:val="14"/>
                <w:szCs w:val="14"/>
                <w:lang w:val="es-ES"/>
              </w:rPr>
            </w:pPr>
            <w:r w:rsidRPr="00723230">
              <w:rPr>
                <w:rFonts w:ascii="Lucida Bright" w:hAnsi="Lucida Bright" w:cs="Calibri"/>
                <w:sz w:val="14"/>
                <w:szCs w:val="14"/>
                <w:lang w:val="es-ES"/>
              </w:rPr>
              <w:t xml:space="preserve">     II. Operaciones con socios o propietarios (*)</w:t>
            </w:r>
          </w:p>
        </w:tc>
        <w:tc>
          <w:tcPr>
            <w:tcW w:w="541"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14.401,08 </w:t>
            </w:r>
          </w:p>
        </w:tc>
        <w:tc>
          <w:tcPr>
            <w:tcW w:w="575"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70"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353"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54"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75"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14.401,08 </w:t>
            </w:r>
          </w:p>
        </w:tc>
      </w:tr>
      <w:tr w:rsidR="00723230" w:rsidRPr="00723230" w:rsidTr="00723230">
        <w:trPr>
          <w:trHeight w:val="210"/>
        </w:trPr>
        <w:tc>
          <w:tcPr>
            <w:tcW w:w="1834" w:type="pct"/>
            <w:tcBorders>
              <w:top w:val="nil"/>
              <w:left w:val="single" w:sz="4" w:space="0" w:color="auto"/>
              <w:bottom w:val="nil"/>
              <w:right w:val="single" w:sz="4" w:space="0" w:color="auto"/>
            </w:tcBorders>
            <w:shd w:val="clear" w:color="000000" w:fill="FFFFFF"/>
            <w:noWrap/>
            <w:vAlign w:val="center"/>
            <w:hideMark/>
          </w:tcPr>
          <w:p w:rsidR="00723230" w:rsidRPr="00723230" w:rsidRDefault="00723230" w:rsidP="00723230">
            <w:pPr>
              <w:rPr>
                <w:rFonts w:ascii="Lucida Bright" w:hAnsi="Lucida Bright" w:cs="Calibri"/>
                <w:sz w:val="14"/>
                <w:szCs w:val="14"/>
                <w:lang w:val="es-ES"/>
              </w:rPr>
            </w:pPr>
            <w:r w:rsidRPr="00723230">
              <w:rPr>
                <w:rFonts w:ascii="Lucida Bright" w:hAnsi="Lucida Bright" w:cs="Calibri"/>
                <w:sz w:val="14"/>
                <w:szCs w:val="14"/>
                <w:lang w:val="es-ES"/>
              </w:rPr>
              <w:t xml:space="preserve">    III. Otras variaciones del patrimonio neto</w:t>
            </w:r>
          </w:p>
        </w:tc>
        <w:tc>
          <w:tcPr>
            <w:tcW w:w="541"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75"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32.941.106,16 </w:t>
            </w:r>
          </w:p>
        </w:tc>
        <w:tc>
          <w:tcPr>
            <w:tcW w:w="570"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(32.941.106,16) </w:t>
            </w:r>
          </w:p>
        </w:tc>
        <w:tc>
          <w:tcPr>
            <w:tcW w:w="353"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54"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c>
          <w:tcPr>
            <w:tcW w:w="575" w:type="pct"/>
            <w:tcBorders>
              <w:top w:val="nil"/>
              <w:left w:val="nil"/>
              <w:bottom w:val="nil"/>
              <w:right w:val="single" w:sz="4" w:space="0" w:color="auto"/>
            </w:tcBorders>
            <w:shd w:val="clear" w:color="000000" w:fill="FFFFFF"/>
            <w:noWrap/>
            <w:vAlign w:val="center"/>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w:t>
            </w:r>
          </w:p>
        </w:tc>
      </w:tr>
      <w:tr w:rsidR="00723230" w:rsidRPr="00723230" w:rsidTr="00723230">
        <w:trPr>
          <w:trHeight w:val="139"/>
        </w:trPr>
        <w:tc>
          <w:tcPr>
            <w:tcW w:w="1834" w:type="pct"/>
            <w:tcBorders>
              <w:top w:val="nil"/>
              <w:left w:val="single" w:sz="4" w:space="0" w:color="auto"/>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41"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5"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0"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353"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54"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c>
          <w:tcPr>
            <w:tcW w:w="575" w:type="pct"/>
            <w:tcBorders>
              <w:top w:val="nil"/>
              <w:left w:val="nil"/>
              <w:bottom w:val="nil"/>
              <w:right w:val="single" w:sz="4" w:space="0" w:color="auto"/>
            </w:tcBorders>
            <w:shd w:val="clear" w:color="000000" w:fill="FFFFFF"/>
            <w:noWrap/>
            <w:vAlign w:val="bottom"/>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w:t>
            </w:r>
          </w:p>
        </w:tc>
      </w:tr>
      <w:tr w:rsidR="00723230" w:rsidRPr="00723230" w:rsidTr="00723230">
        <w:trPr>
          <w:trHeight w:val="300"/>
        </w:trPr>
        <w:tc>
          <w:tcPr>
            <w:tcW w:w="1834"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23230" w:rsidRPr="00723230" w:rsidRDefault="00723230" w:rsidP="00723230">
            <w:pPr>
              <w:rPr>
                <w:rFonts w:ascii="Lucida Bright" w:hAnsi="Lucida Bright" w:cs="Calibri"/>
                <w:b/>
                <w:bCs/>
                <w:sz w:val="14"/>
                <w:szCs w:val="14"/>
                <w:lang w:val="es-ES"/>
              </w:rPr>
            </w:pPr>
            <w:r w:rsidRPr="00723230">
              <w:rPr>
                <w:rFonts w:ascii="Lucida Bright" w:hAnsi="Lucida Bright" w:cs="Calibri"/>
                <w:b/>
                <w:bCs/>
                <w:sz w:val="14"/>
                <w:szCs w:val="14"/>
                <w:lang w:val="es-ES"/>
              </w:rPr>
              <w:t xml:space="preserve"> E. SALDO, FINAL DEL AÑO 2023</w:t>
            </w:r>
          </w:p>
        </w:tc>
        <w:tc>
          <w:tcPr>
            <w:tcW w:w="541" w:type="pct"/>
            <w:tcBorders>
              <w:top w:val="single" w:sz="4" w:space="0" w:color="auto"/>
              <w:left w:val="nil"/>
              <w:bottom w:val="single" w:sz="4" w:space="0" w:color="auto"/>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212.397.594,47 </w:t>
            </w:r>
          </w:p>
        </w:tc>
        <w:tc>
          <w:tcPr>
            <w:tcW w:w="575" w:type="pct"/>
            <w:tcBorders>
              <w:top w:val="single" w:sz="4" w:space="0" w:color="auto"/>
              <w:left w:val="nil"/>
              <w:bottom w:val="single" w:sz="4" w:space="0" w:color="auto"/>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461.987.912,95 </w:t>
            </w:r>
          </w:p>
        </w:tc>
        <w:tc>
          <w:tcPr>
            <w:tcW w:w="570" w:type="pct"/>
            <w:tcBorders>
              <w:top w:val="single" w:sz="4" w:space="0" w:color="auto"/>
              <w:left w:val="nil"/>
              <w:bottom w:val="single" w:sz="4" w:space="0" w:color="auto"/>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47.012.107,02 </w:t>
            </w:r>
          </w:p>
        </w:tc>
        <w:tc>
          <w:tcPr>
            <w:tcW w:w="353" w:type="pct"/>
            <w:tcBorders>
              <w:top w:val="single" w:sz="4" w:space="0" w:color="auto"/>
              <w:left w:val="nil"/>
              <w:bottom w:val="single" w:sz="4" w:space="0" w:color="auto"/>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(0,00) </w:t>
            </w:r>
          </w:p>
        </w:tc>
        <w:tc>
          <w:tcPr>
            <w:tcW w:w="554" w:type="pct"/>
            <w:tcBorders>
              <w:top w:val="single" w:sz="4" w:space="0" w:color="auto"/>
              <w:left w:val="nil"/>
              <w:bottom w:val="single" w:sz="4" w:space="0" w:color="auto"/>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21.665.377,96 </w:t>
            </w:r>
          </w:p>
        </w:tc>
        <w:tc>
          <w:tcPr>
            <w:tcW w:w="575" w:type="pct"/>
            <w:tcBorders>
              <w:top w:val="single" w:sz="4" w:space="0" w:color="auto"/>
              <w:left w:val="nil"/>
              <w:bottom w:val="single" w:sz="4" w:space="0" w:color="auto"/>
              <w:right w:val="single" w:sz="4" w:space="0" w:color="auto"/>
            </w:tcBorders>
            <w:shd w:val="clear" w:color="000000" w:fill="CCFFCC"/>
            <w:noWrap/>
            <w:vAlign w:val="center"/>
            <w:hideMark/>
          </w:tcPr>
          <w:p w:rsidR="00723230" w:rsidRPr="00723230" w:rsidRDefault="00723230" w:rsidP="00723230">
            <w:pPr>
              <w:jc w:val="right"/>
              <w:rPr>
                <w:rFonts w:ascii="Lucida Bright" w:hAnsi="Lucida Bright" w:cs="Calibri"/>
                <w:b/>
                <w:bCs/>
                <w:sz w:val="14"/>
                <w:szCs w:val="14"/>
                <w:lang w:val="es-ES"/>
              </w:rPr>
            </w:pPr>
            <w:r w:rsidRPr="00723230">
              <w:rPr>
                <w:rFonts w:ascii="Lucida Bright" w:hAnsi="Lucida Bright" w:cs="Calibri"/>
                <w:b/>
                <w:bCs/>
                <w:sz w:val="14"/>
                <w:szCs w:val="14"/>
                <w:lang w:val="es-ES"/>
              </w:rPr>
              <w:t xml:space="preserve">743.062.992,40 </w:t>
            </w:r>
          </w:p>
        </w:tc>
      </w:tr>
      <w:tr w:rsidR="00723230" w:rsidRPr="00723230" w:rsidTr="00723230">
        <w:trPr>
          <w:trHeight w:val="300"/>
        </w:trPr>
        <w:tc>
          <w:tcPr>
            <w:tcW w:w="1834" w:type="pct"/>
            <w:tcBorders>
              <w:top w:val="nil"/>
              <w:left w:val="nil"/>
              <w:bottom w:val="nil"/>
              <w:right w:val="nil"/>
            </w:tcBorders>
            <w:shd w:val="clear" w:color="000000" w:fill="FFFFFF"/>
            <w:noWrap/>
            <w:vAlign w:val="bottom"/>
            <w:hideMark/>
          </w:tcPr>
          <w:p w:rsidR="00723230" w:rsidRPr="00723230" w:rsidRDefault="00723230" w:rsidP="00723230">
            <w:pPr>
              <w:jc w:val="right"/>
              <w:rPr>
                <w:rFonts w:ascii="Lucida Bright" w:hAnsi="Lucida Bright" w:cs="Calibri"/>
                <w:sz w:val="14"/>
                <w:szCs w:val="14"/>
                <w:lang w:val="es-ES"/>
              </w:rPr>
            </w:pPr>
            <w:r w:rsidRPr="00723230">
              <w:rPr>
                <w:rFonts w:ascii="Lucida Bright" w:hAnsi="Lucida Bright" w:cs="Calibri"/>
                <w:sz w:val="14"/>
                <w:szCs w:val="14"/>
                <w:lang w:val="es-ES"/>
              </w:rPr>
              <w:t xml:space="preserve">(*) Adscripciones y </w:t>
            </w:r>
            <w:proofErr w:type="spellStart"/>
            <w:r w:rsidRPr="00723230">
              <w:rPr>
                <w:rFonts w:ascii="Lucida Bright" w:hAnsi="Lucida Bright" w:cs="Calibri"/>
                <w:sz w:val="14"/>
                <w:szCs w:val="14"/>
                <w:lang w:val="es-ES"/>
              </w:rPr>
              <w:t>desadscripciones</w:t>
            </w:r>
            <w:proofErr w:type="spellEnd"/>
            <w:r w:rsidRPr="00723230">
              <w:rPr>
                <w:rFonts w:ascii="Lucida Bright" w:hAnsi="Lucida Bright" w:cs="Calibri"/>
                <w:sz w:val="14"/>
                <w:szCs w:val="14"/>
                <w:lang w:val="es-ES"/>
              </w:rPr>
              <w:t xml:space="preserve"> patrimoniales</w:t>
            </w:r>
          </w:p>
        </w:tc>
        <w:tc>
          <w:tcPr>
            <w:tcW w:w="541" w:type="pct"/>
            <w:tcBorders>
              <w:top w:val="nil"/>
              <w:left w:val="nil"/>
              <w:bottom w:val="nil"/>
              <w:right w:val="nil"/>
            </w:tcBorders>
            <w:shd w:val="clear" w:color="000000" w:fill="FFFFFF"/>
            <w:noWrap/>
            <w:vAlign w:val="bottom"/>
            <w:hideMark/>
          </w:tcPr>
          <w:p w:rsidR="00723230" w:rsidRPr="00723230" w:rsidRDefault="00723230" w:rsidP="00723230">
            <w:pPr>
              <w:rPr>
                <w:rFonts w:ascii="Tahoma" w:hAnsi="Tahoma" w:cs="Tahoma"/>
                <w:lang w:val="es-ES"/>
              </w:rPr>
            </w:pPr>
            <w:r w:rsidRPr="00723230">
              <w:rPr>
                <w:rFonts w:ascii="Tahoma" w:hAnsi="Tahoma" w:cs="Tahoma"/>
                <w:lang w:val="es-ES"/>
              </w:rPr>
              <w:t> </w:t>
            </w:r>
          </w:p>
        </w:tc>
        <w:tc>
          <w:tcPr>
            <w:tcW w:w="575" w:type="pct"/>
            <w:tcBorders>
              <w:top w:val="nil"/>
              <w:left w:val="nil"/>
              <w:bottom w:val="nil"/>
              <w:right w:val="nil"/>
            </w:tcBorders>
            <w:shd w:val="clear" w:color="000000" w:fill="FFFFFF"/>
            <w:noWrap/>
            <w:vAlign w:val="bottom"/>
            <w:hideMark/>
          </w:tcPr>
          <w:p w:rsidR="00723230" w:rsidRPr="00723230" w:rsidRDefault="00723230" w:rsidP="00723230">
            <w:pPr>
              <w:rPr>
                <w:rFonts w:ascii="Tahoma" w:hAnsi="Tahoma" w:cs="Tahoma"/>
                <w:lang w:val="es-ES"/>
              </w:rPr>
            </w:pPr>
            <w:r w:rsidRPr="00723230">
              <w:rPr>
                <w:rFonts w:ascii="Tahoma" w:hAnsi="Tahoma" w:cs="Tahoma"/>
                <w:lang w:val="es-ES"/>
              </w:rPr>
              <w:t> </w:t>
            </w:r>
          </w:p>
        </w:tc>
        <w:tc>
          <w:tcPr>
            <w:tcW w:w="570" w:type="pct"/>
            <w:tcBorders>
              <w:top w:val="nil"/>
              <w:left w:val="nil"/>
              <w:bottom w:val="nil"/>
              <w:right w:val="nil"/>
            </w:tcBorders>
            <w:shd w:val="clear" w:color="000000" w:fill="FFFFFF"/>
            <w:noWrap/>
            <w:vAlign w:val="bottom"/>
            <w:hideMark/>
          </w:tcPr>
          <w:p w:rsidR="00723230" w:rsidRPr="00723230" w:rsidRDefault="00723230" w:rsidP="00723230">
            <w:pPr>
              <w:rPr>
                <w:rFonts w:ascii="Tahoma" w:hAnsi="Tahoma" w:cs="Tahoma"/>
                <w:lang w:val="es-ES"/>
              </w:rPr>
            </w:pPr>
            <w:r w:rsidRPr="00723230">
              <w:rPr>
                <w:rFonts w:ascii="Tahoma" w:hAnsi="Tahoma" w:cs="Tahoma"/>
                <w:lang w:val="es-ES"/>
              </w:rPr>
              <w:t> </w:t>
            </w:r>
          </w:p>
        </w:tc>
        <w:tc>
          <w:tcPr>
            <w:tcW w:w="353" w:type="pct"/>
            <w:tcBorders>
              <w:top w:val="nil"/>
              <w:left w:val="nil"/>
              <w:bottom w:val="nil"/>
              <w:right w:val="nil"/>
            </w:tcBorders>
            <w:shd w:val="clear" w:color="000000" w:fill="FFFFFF"/>
            <w:noWrap/>
            <w:vAlign w:val="bottom"/>
            <w:hideMark/>
          </w:tcPr>
          <w:p w:rsidR="00723230" w:rsidRPr="00723230" w:rsidRDefault="00723230" w:rsidP="00723230">
            <w:pPr>
              <w:rPr>
                <w:rFonts w:ascii="Tahoma" w:hAnsi="Tahoma" w:cs="Tahoma"/>
                <w:lang w:val="es-ES"/>
              </w:rPr>
            </w:pPr>
            <w:r w:rsidRPr="00723230">
              <w:rPr>
                <w:rFonts w:ascii="Tahoma" w:hAnsi="Tahoma" w:cs="Tahoma"/>
                <w:lang w:val="es-ES"/>
              </w:rPr>
              <w:t> </w:t>
            </w:r>
          </w:p>
        </w:tc>
        <w:tc>
          <w:tcPr>
            <w:tcW w:w="554" w:type="pct"/>
            <w:tcBorders>
              <w:top w:val="nil"/>
              <w:left w:val="nil"/>
              <w:bottom w:val="nil"/>
              <w:right w:val="nil"/>
            </w:tcBorders>
            <w:shd w:val="clear" w:color="000000" w:fill="FFFFFF"/>
            <w:noWrap/>
            <w:vAlign w:val="bottom"/>
            <w:hideMark/>
          </w:tcPr>
          <w:p w:rsidR="00723230" w:rsidRPr="00723230" w:rsidRDefault="00723230" w:rsidP="00723230">
            <w:pPr>
              <w:rPr>
                <w:rFonts w:ascii="Tahoma" w:hAnsi="Tahoma" w:cs="Tahoma"/>
                <w:lang w:val="es-ES"/>
              </w:rPr>
            </w:pPr>
            <w:r w:rsidRPr="00723230">
              <w:rPr>
                <w:rFonts w:ascii="Tahoma" w:hAnsi="Tahoma" w:cs="Tahoma"/>
                <w:lang w:val="es-ES"/>
              </w:rPr>
              <w:t> </w:t>
            </w:r>
          </w:p>
        </w:tc>
        <w:tc>
          <w:tcPr>
            <w:tcW w:w="575" w:type="pct"/>
            <w:tcBorders>
              <w:top w:val="nil"/>
              <w:left w:val="nil"/>
              <w:bottom w:val="nil"/>
              <w:right w:val="nil"/>
            </w:tcBorders>
            <w:shd w:val="clear" w:color="000000" w:fill="FFFFFF"/>
            <w:noWrap/>
            <w:vAlign w:val="bottom"/>
            <w:hideMark/>
          </w:tcPr>
          <w:p w:rsidR="00723230" w:rsidRPr="00723230" w:rsidRDefault="00723230" w:rsidP="00723230">
            <w:pPr>
              <w:rPr>
                <w:rFonts w:ascii="Tahoma" w:hAnsi="Tahoma" w:cs="Tahoma"/>
                <w:lang w:val="es-ES"/>
              </w:rPr>
            </w:pPr>
            <w:r w:rsidRPr="00723230">
              <w:rPr>
                <w:rFonts w:ascii="Tahoma" w:hAnsi="Tahoma" w:cs="Tahoma"/>
                <w:lang w:val="es-ES"/>
              </w:rPr>
              <w:t> </w:t>
            </w:r>
          </w:p>
        </w:tc>
      </w:tr>
    </w:tbl>
    <w:p w:rsidR="00B41599" w:rsidRDefault="00B41599" w:rsidP="00E13AD1">
      <w:pPr>
        <w:rPr>
          <w:rFonts w:ascii="Lucida Bright" w:hAnsi="Lucida Bright"/>
          <w:b/>
          <w:bCs/>
          <w:sz w:val="22"/>
          <w:szCs w:val="22"/>
        </w:rPr>
      </w:pPr>
    </w:p>
    <w:p w:rsidR="000927E0" w:rsidRDefault="000927E0" w:rsidP="00E13AD1">
      <w:pPr>
        <w:rPr>
          <w:rFonts w:ascii="Lucida Bright" w:hAnsi="Lucida Bright"/>
          <w:b/>
          <w:bCs/>
          <w:sz w:val="22"/>
          <w:szCs w:val="22"/>
        </w:rPr>
      </w:pPr>
    </w:p>
    <w:p w:rsidR="00CD3595" w:rsidRDefault="00CD3595" w:rsidP="00E13AD1">
      <w:pPr>
        <w:rPr>
          <w:rFonts w:ascii="Lucida Bright" w:hAnsi="Lucida Bright"/>
          <w:b/>
          <w:bCs/>
          <w:sz w:val="22"/>
          <w:szCs w:val="22"/>
        </w:rPr>
      </w:pPr>
    </w:p>
    <w:p w:rsidR="00790C4F" w:rsidRDefault="00790C4F" w:rsidP="00E13AD1">
      <w:pPr>
        <w:rPr>
          <w:rFonts w:ascii="Lucida Bright" w:hAnsi="Lucida Bright"/>
          <w:b/>
          <w:bCs/>
          <w:sz w:val="22"/>
          <w:szCs w:val="22"/>
        </w:rPr>
        <w:sectPr w:rsidR="00790C4F" w:rsidSect="00790C4F">
          <w:pgSz w:w="16840" w:h="11907" w:orient="landscape" w:code="9"/>
          <w:pgMar w:top="1985" w:right="1701" w:bottom="1418" w:left="1701" w:header="567" w:footer="397" w:gutter="0"/>
          <w:cols w:space="720"/>
          <w:docGrid w:linePitch="272"/>
        </w:sectPr>
      </w:pPr>
    </w:p>
    <w:tbl>
      <w:tblPr>
        <w:tblW w:w="10231" w:type="dxa"/>
        <w:tblInd w:w="-663" w:type="dxa"/>
        <w:tblCellMar>
          <w:left w:w="70" w:type="dxa"/>
          <w:right w:w="70" w:type="dxa"/>
        </w:tblCellMar>
        <w:tblLook w:val="04A0" w:firstRow="1" w:lastRow="0" w:firstColumn="1" w:lastColumn="0" w:noHBand="0" w:noVBand="1"/>
      </w:tblPr>
      <w:tblGrid>
        <w:gridCol w:w="7148"/>
        <w:gridCol w:w="1216"/>
        <w:gridCol w:w="1216"/>
        <w:gridCol w:w="651"/>
      </w:tblGrid>
      <w:tr w:rsidR="00B633D2" w:rsidRPr="00B633D2" w:rsidTr="00B633D2">
        <w:trPr>
          <w:trHeight w:val="255"/>
        </w:trPr>
        <w:tc>
          <w:tcPr>
            <w:tcW w:w="8364" w:type="dxa"/>
            <w:gridSpan w:val="2"/>
            <w:tcBorders>
              <w:top w:val="nil"/>
              <w:left w:val="nil"/>
              <w:bottom w:val="nil"/>
              <w:right w:val="nil"/>
            </w:tcBorders>
            <w:shd w:val="clear" w:color="000000" w:fill="FFFFFF"/>
            <w:noWrap/>
            <w:vAlign w:val="center"/>
            <w:hideMark/>
          </w:tcPr>
          <w:p w:rsidR="00B633D2" w:rsidRPr="00B633D2" w:rsidRDefault="00B633D2" w:rsidP="00B633D2">
            <w:pPr>
              <w:rPr>
                <w:rFonts w:ascii="Lucida Bright" w:hAnsi="Lucida Bright" w:cs="Calibri"/>
                <w:b/>
                <w:bCs/>
                <w:lang w:val="es-ES"/>
              </w:rPr>
            </w:pPr>
            <w:r w:rsidRPr="00B633D2">
              <w:rPr>
                <w:rFonts w:ascii="Lucida Bright" w:hAnsi="Lucida Bright" w:cs="Calibri"/>
                <w:b/>
                <w:bCs/>
                <w:lang w:val="es-ES"/>
              </w:rPr>
              <w:lastRenderedPageBreak/>
              <w:t>Estado de flujos de efectivo correspondiente al ejercicio terminado el 31-12-23</w:t>
            </w:r>
          </w:p>
        </w:tc>
        <w:tc>
          <w:tcPr>
            <w:tcW w:w="1216" w:type="dxa"/>
            <w:tcBorders>
              <w:top w:val="nil"/>
              <w:left w:val="nil"/>
              <w:bottom w:val="nil"/>
              <w:right w:val="nil"/>
            </w:tcBorders>
            <w:shd w:val="clear" w:color="000000" w:fill="FFFFFF"/>
            <w:noWrap/>
            <w:vAlign w:val="bottom"/>
            <w:hideMark/>
          </w:tcPr>
          <w:p w:rsidR="00B633D2" w:rsidRPr="00B633D2" w:rsidRDefault="00B633D2" w:rsidP="00B633D2">
            <w:pPr>
              <w:rPr>
                <w:rFonts w:ascii="Lucida Bright" w:hAnsi="Lucida Bright" w:cs="Calibri"/>
                <w:lang w:val="es-ES"/>
              </w:rPr>
            </w:pPr>
            <w:r w:rsidRPr="00B633D2">
              <w:rPr>
                <w:rFonts w:ascii="Lucida Bright" w:hAnsi="Lucida Bright" w:cs="Calibri"/>
                <w:lang w:val="es-ES"/>
              </w:rPr>
              <w:t> </w:t>
            </w:r>
          </w:p>
        </w:tc>
        <w:tc>
          <w:tcPr>
            <w:tcW w:w="651" w:type="dxa"/>
            <w:tcBorders>
              <w:top w:val="nil"/>
              <w:left w:val="nil"/>
              <w:bottom w:val="nil"/>
              <w:right w:val="nil"/>
            </w:tcBorders>
            <w:shd w:val="clear" w:color="auto" w:fill="auto"/>
            <w:noWrap/>
            <w:vAlign w:val="bottom"/>
            <w:hideMark/>
          </w:tcPr>
          <w:p w:rsidR="00B633D2" w:rsidRPr="00B633D2" w:rsidRDefault="00B633D2" w:rsidP="00B633D2">
            <w:pPr>
              <w:rPr>
                <w:rFonts w:ascii="Lucida Bright" w:hAnsi="Lucida Bright" w:cs="Calibri"/>
                <w:color w:val="000000"/>
                <w:lang w:val="es-ES"/>
              </w:rPr>
            </w:pPr>
          </w:p>
        </w:tc>
      </w:tr>
      <w:tr w:rsidR="00B633D2" w:rsidRPr="00B633D2" w:rsidTr="00B633D2">
        <w:trPr>
          <w:trHeight w:val="180"/>
        </w:trPr>
        <w:tc>
          <w:tcPr>
            <w:tcW w:w="7148" w:type="dxa"/>
            <w:tcBorders>
              <w:top w:val="nil"/>
              <w:left w:val="nil"/>
              <w:bottom w:val="nil"/>
              <w:right w:val="nil"/>
            </w:tcBorders>
            <w:shd w:val="clear" w:color="000000" w:fill="FFFFFF"/>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(en euros)</w:t>
            </w:r>
          </w:p>
        </w:tc>
        <w:tc>
          <w:tcPr>
            <w:tcW w:w="1216" w:type="dxa"/>
            <w:tcBorders>
              <w:top w:val="nil"/>
              <w:left w:val="nil"/>
              <w:bottom w:val="nil"/>
              <w:right w:val="nil"/>
            </w:tcBorders>
            <w:shd w:val="clear" w:color="000000" w:fill="FFFFFF"/>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w:t>
            </w:r>
          </w:p>
        </w:tc>
        <w:tc>
          <w:tcPr>
            <w:tcW w:w="1216" w:type="dxa"/>
            <w:tcBorders>
              <w:top w:val="nil"/>
              <w:left w:val="nil"/>
              <w:bottom w:val="nil"/>
              <w:right w:val="nil"/>
            </w:tcBorders>
            <w:shd w:val="clear" w:color="000000" w:fill="FFFFFF"/>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w:t>
            </w:r>
          </w:p>
        </w:tc>
        <w:tc>
          <w:tcPr>
            <w:tcW w:w="651" w:type="dxa"/>
            <w:tcBorders>
              <w:top w:val="nil"/>
              <w:left w:val="nil"/>
              <w:bottom w:val="nil"/>
              <w:right w:val="nil"/>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p>
        </w:tc>
      </w:tr>
      <w:tr w:rsidR="00B633D2" w:rsidRPr="00B633D2" w:rsidTr="00B633D2">
        <w:trPr>
          <w:trHeight w:val="180"/>
        </w:trPr>
        <w:tc>
          <w:tcPr>
            <w:tcW w:w="7148" w:type="dxa"/>
            <w:tcBorders>
              <w:top w:val="single" w:sz="4" w:space="0" w:color="auto"/>
              <w:left w:val="single" w:sz="4" w:space="0" w:color="auto"/>
              <w:bottom w:val="single" w:sz="4" w:space="0" w:color="auto"/>
              <w:right w:val="nil"/>
            </w:tcBorders>
            <w:shd w:val="clear" w:color="000000" w:fill="CCFFCC"/>
            <w:noWrap/>
            <w:vAlign w:val="center"/>
            <w:hideMark/>
          </w:tcPr>
          <w:p w:rsidR="00B633D2" w:rsidRPr="00B633D2" w:rsidRDefault="00B633D2" w:rsidP="00B633D2">
            <w:pPr>
              <w:jc w:val="center"/>
              <w:rPr>
                <w:rFonts w:ascii="Lucida Bright" w:hAnsi="Lucida Bright" w:cs="Calibri"/>
                <w:b/>
                <w:bCs/>
                <w:sz w:val="14"/>
                <w:szCs w:val="14"/>
                <w:lang w:val="es-ES"/>
              </w:rPr>
            </w:pPr>
            <w:r w:rsidRPr="00B633D2">
              <w:rPr>
                <w:rFonts w:ascii="Lucida Bright" w:hAnsi="Lucida Bright" w:cs="Calibri"/>
                <w:b/>
                <w:bCs/>
                <w:sz w:val="14"/>
                <w:szCs w:val="14"/>
                <w:lang w:val="es-ES"/>
              </w:rPr>
              <w:t>CONCEPTO</w:t>
            </w:r>
          </w:p>
        </w:tc>
        <w:tc>
          <w:tcPr>
            <w:tcW w:w="1216"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B633D2" w:rsidRPr="00B633D2" w:rsidRDefault="00B633D2" w:rsidP="00B633D2">
            <w:pPr>
              <w:jc w:val="center"/>
              <w:rPr>
                <w:rFonts w:ascii="Lucida Bright" w:hAnsi="Lucida Bright" w:cs="Calibri"/>
                <w:b/>
                <w:bCs/>
                <w:sz w:val="14"/>
                <w:szCs w:val="14"/>
                <w:lang w:val="es-ES"/>
              </w:rPr>
            </w:pPr>
            <w:r w:rsidRPr="00B633D2">
              <w:rPr>
                <w:rFonts w:ascii="Lucida Bright" w:hAnsi="Lucida Bright" w:cs="Calibri"/>
                <w:b/>
                <w:bCs/>
                <w:sz w:val="14"/>
                <w:szCs w:val="14"/>
                <w:lang w:val="es-ES"/>
              </w:rPr>
              <w:t>2023</w:t>
            </w:r>
          </w:p>
        </w:tc>
        <w:tc>
          <w:tcPr>
            <w:tcW w:w="1216" w:type="dxa"/>
            <w:tcBorders>
              <w:top w:val="single" w:sz="4" w:space="0" w:color="auto"/>
              <w:left w:val="nil"/>
              <w:bottom w:val="single" w:sz="4" w:space="0" w:color="auto"/>
              <w:right w:val="single" w:sz="4" w:space="0" w:color="auto"/>
            </w:tcBorders>
            <w:shd w:val="clear" w:color="000000" w:fill="CCFFCC"/>
            <w:noWrap/>
            <w:vAlign w:val="center"/>
            <w:hideMark/>
          </w:tcPr>
          <w:p w:rsidR="00B633D2" w:rsidRPr="00B633D2" w:rsidRDefault="00B633D2" w:rsidP="00B633D2">
            <w:pPr>
              <w:jc w:val="center"/>
              <w:rPr>
                <w:rFonts w:ascii="Lucida Bright" w:hAnsi="Lucida Bright" w:cs="Calibri"/>
                <w:b/>
                <w:bCs/>
                <w:sz w:val="14"/>
                <w:szCs w:val="14"/>
                <w:lang w:val="es-ES"/>
              </w:rPr>
            </w:pPr>
            <w:r w:rsidRPr="00B633D2">
              <w:rPr>
                <w:rFonts w:ascii="Lucida Bright" w:hAnsi="Lucida Bright" w:cs="Calibri"/>
                <w:b/>
                <w:bCs/>
                <w:sz w:val="14"/>
                <w:szCs w:val="14"/>
                <w:lang w:val="es-ES"/>
              </w:rPr>
              <w:t>2022</w:t>
            </w:r>
          </w:p>
        </w:tc>
        <w:tc>
          <w:tcPr>
            <w:tcW w:w="651" w:type="dxa"/>
            <w:tcBorders>
              <w:top w:val="single" w:sz="4" w:space="0" w:color="auto"/>
              <w:left w:val="nil"/>
              <w:bottom w:val="single" w:sz="4" w:space="0" w:color="auto"/>
              <w:right w:val="single" w:sz="4" w:space="0" w:color="auto"/>
            </w:tcBorders>
            <w:shd w:val="clear" w:color="000000" w:fill="CCFFCC"/>
            <w:noWrap/>
            <w:vAlign w:val="bottom"/>
            <w:hideMark/>
          </w:tcPr>
          <w:p w:rsidR="00B633D2" w:rsidRPr="00B633D2" w:rsidRDefault="00B633D2" w:rsidP="00B633D2">
            <w:pPr>
              <w:rPr>
                <w:rFonts w:ascii="Lucida Bright" w:hAnsi="Lucida Bright" w:cs="Calibri"/>
                <w:b/>
                <w:bCs/>
                <w:color w:val="000000"/>
                <w:sz w:val="14"/>
                <w:szCs w:val="14"/>
                <w:lang w:val="es-ES"/>
              </w:rPr>
            </w:pPr>
            <w:r w:rsidRPr="00B633D2">
              <w:rPr>
                <w:rFonts w:ascii="Lucida Bright" w:hAnsi="Lucida Bright" w:cs="Calibri"/>
                <w:b/>
                <w:bCs/>
                <w:color w:val="000000"/>
                <w:sz w:val="14"/>
                <w:szCs w:val="14"/>
                <w:lang w:val="es-ES"/>
              </w:rPr>
              <w:t>Notas</w:t>
            </w:r>
          </w:p>
        </w:tc>
      </w:tr>
      <w:tr w:rsidR="00B633D2" w:rsidRPr="00B633D2" w:rsidTr="00B633D2">
        <w:trPr>
          <w:trHeight w:val="180"/>
        </w:trPr>
        <w:tc>
          <w:tcPr>
            <w:tcW w:w="7148" w:type="dxa"/>
            <w:tcBorders>
              <w:top w:val="nil"/>
              <w:left w:val="single" w:sz="4" w:space="0" w:color="auto"/>
              <w:bottom w:val="nil"/>
              <w:right w:val="nil"/>
            </w:tcBorders>
            <w:shd w:val="clear" w:color="000000" w:fill="CCFFCC"/>
            <w:noWrap/>
            <w:vAlign w:val="center"/>
            <w:hideMark/>
          </w:tcPr>
          <w:p w:rsidR="00B633D2" w:rsidRPr="00B633D2" w:rsidRDefault="00B633D2" w:rsidP="00B633D2">
            <w:pPr>
              <w:rPr>
                <w:rFonts w:ascii="Lucida Bright" w:hAnsi="Lucida Bright" w:cs="Calibri"/>
                <w:b/>
                <w:bCs/>
                <w:sz w:val="14"/>
                <w:szCs w:val="14"/>
                <w:lang w:val="es-ES"/>
              </w:rPr>
            </w:pPr>
            <w:r w:rsidRPr="00B633D2">
              <w:rPr>
                <w:rFonts w:ascii="Lucida Bright" w:hAnsi="Lucida Bright" w:cs="Calibri"/>
                <w:b/>
                <w:bCs/>
                <w:sz w:val="14"/>
                <w:szCs w:val="14"/>
                <w:lang w:val="es-ES"/>
              </w:rPr>
              <w:t xml:space="preserve"> A) FLUJOS DE EFECTIVO DE LAS ACTIVIDADES DE EXPLOTACIÓN (+/-1+/-2+/-3+/-4)</w:t>
            </w:r>
          </w:p>
        </w:tc>
        <w:tc>
          <w:tcPr>
            <w:tcW w:w="1216" w:type="dxa"/>
            <w:tcBorders>
              <w:top w:val="nil"/>
              <w:left w:val="single" w:sz="4" w:space="0" w:color="auto"/>
              <w:bottom w:val="nil"/>
              <w:right w:val="single" w:sz="4" w:space="0" w:color="auto"/>
            </w:tcBorders>
            <w:shd w:val="clear" w:color="000000" w:fill="CCFFCC"/>
            <w:noWrap/>
            <w:vAlign w:val="center"/>
            <w:hideMark/>
          </w:tcPr>
          <w:p w:rsidR="00B633D2" w:rsidRPr="00B633D2" w:rsidRDefault="00B633D2" w:rsidP="00B633D2">
            <w:pPr>
              <w:jc w:val="right"/>
              <w:rPr>
                <w:rFonts w:ascii="Lucida Bright" w:hAnsi="Lucida Bright" w:cs="Calibri"/>
                <w:b/>
                <w:bCs/>
                <w:sz w:val="14"/>
                <w:szCs w:val="14"/>
                <w:lang w:val="es-ES"/>
              </w:rPr>
            </w:pPr>
            <w:r w:rsidRPr="00B633D2">
              <w:rPr>
                <w:rFonts w:ascii="Lucida Bright" w:hAnsi="Lucida Bright" w:cs="Calibri"/>
                <w:b/>
                <w:bCs/>
                <w:sz w:val="14"/>
                <w:szCs w:val="14"/>
                <w:lang w:val="es-ES"/>
              </w:rPr>
              <w:t xml:space="preserve">65.986.841,39  </w:t>
            </w:r>
          </w:p>
        </w:tc>
        <w:tc>
          <w:tcPr>
            <w:tcW w:w="1216" w:type="dxa"/>
            <w:tcBorders>
              <w:top w:val="nil"/>
              <w:left w:val="nil"/>
              <w:bottom w:val="nil"/>
              <w:right w:val="single" w:sz="4" w:space="0" w:color="auto"/>
            </w:tcBorders>
            <w:shd w:val="clear" w:color="000000" w:fill="CCFFCC"/>
            <w:noWrap/>
            <w:vAlign w:val="center"/>
            <w:hideMark/>
          </w:tcPr>
          <w:p w:rsidR="00B633D2" w:rsidRPr="00B633D2" w:rsidRDefault="00B633D2" w:rsidP="00B633D2">
            <w:pPr>
              <w:jc w:val="right"/>
              <w:rPr>
                <w:rFonts w:ascii="Lucida Bright" w:hAnsi="Lucida Bright" w:cs="Calibri"/>
                <w:b/>
                <w:bCs/>
                <w:sz w:val="14"/>
                <w:szCs w:val="14"/>
                <w:lang w:val="es-ES"/>
              </w:rPr>
            </w:pPr>
            <w:r w:rsidRPr="00B633D2">
              <w:rPr>
                <w:rFonts w:ascii="Lucida Bright" w:hAnsi="Lucida Bright" w:cs="Calibri"/>
                <w:b/>
                <w:bCs/>
                <w:sz w:val="14"/>
                <w:szCs w:val="14"/>
                <w:lang w:val="es-ES"/>
              </w:rPr>
              <w:t xml:space="preserve">62.145.925,01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b/>
                <w:bCs/>
                <w:sz w:val="14"/>
                <w:szCs w:val="14"/>
                <w:lang w:val="es-ES"/>
              </w:rPr>
            </w:pPr>
            <w:r w:rsidRPr="00B633D2">
              <w:rPr>
                <w:rFonts w:ascii="Lucida Bright" w:hAnsi="Lucida Bright" w:cs="Calibri"/>
                <w:b/>
                <w:bCs/>
                <w:sz w:val="14"/>
                <w:szCs w:val="14"/>
                <w:lang w:val="es-ES"/>
              </w:rPr>
              <w:t xml:space="preserve">      1. Resultado del ejercicio antes de impuestos</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b/>
                <w:bCs/>
                <w:sz w:val="14"/>
                <w:szCs w:val="14"/>
                <w:lang w:val="es-ES"/>
              </w:rPr>
            </w:pPr>
            <w:r w:rsidRPr="00B633D2">
              <w:rPr>
                <w:rFonts w:ascii="Lucida Bright" w:hAnsi="Lucida Bright" w:cs="Calibri"/>
                <w:b/>
                <w:bCs/>
                <w:sz w:val="14"/>
                <w:szCs w:val="14"/>
                <w:lang w:val="es-ES"/>
              </w:rPr>
              <w:t xml:space="preserve">47.050.375,18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b/>
                <w:bCs/>
                <w:sz w:val="14"/>
                <w:szCs w:val="14"/>
                <w:lang w:val="es-ES"/>
              </w:rPr>
            </w:pPr>
            <w:r w:rsidRPr="00B633D2">
              <w:rPr>
                <w:rFonts w:ascii="Lucida Bright" w:hAnsi="Lucida Bright" w:cs="Calibri"/>
                <w:b/>
                <w:bCs/>
                <w:sz w:val="14"/>
                <w:szCs w:val="14"/>
                <w:lang w:val="es-ES"/>
              </w:rPr>
              <w:t xml:space="preserve">32.807.595,40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b/>
                <w:bCs/>
                <w:sz w:val="14"/>
                <w:szCs w:val="14"/>
                <w:lang w:val="es-ES"/>
              </w:rPr>
            </w:pPr>
            <w:r w:rsidRPr="00B633D2">
              <w:rPr>
                <w:rFonts w:ascii="Lucida Bright" w:hAnsi="Lucida Bright" w:cs="Calibri"/>
                <w:b/>
                <w:bCs/>
                <w:sz w:val="14"/>
                <w:szCs w:val="14"/>
                <w:lang w:val="es-ES"/>
              </w:rPr>
              <w:t xml:space="preserve">      2. Ajustes del resultado</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b/>
                <w:bCs/>
                <w:sz w:val="14"/>
                <w:szCs w:val="14"/>
                <w:lang w:val="es-ES"/>
              </w:rPr>
            </w:pPr>
            <w:r w:rsidRPr="00B633D2">
              <w:rPr>
                <w:rFonts w:ascii="Lucida Bright" w:hAnsi="Lucida Bright" w:cs="Calibri"/>
                <w:b/>
                <w:bCs/>
                <w:sz w:val="14"/>
                <w:szCs w:val="14"/>
                <w:lang w:val="es-ES"/>
              </w:rPr>
              <w:t xml:space="preserve">15.583.536,64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b/>
                <w:bCs/>
                <w:sz w:val="14"/>
                <w:szCs w:val="14"/>
                <w:lang w:val="es-ES"/>
              </w:rPr>
            </w:pPr>
            <w:r w:rsidRPr="00B633D2">
              <w:rPr>
                <w:rFonts w:ascii="Lucida Bright" w:hAnsi="Lucida Bright" w:cs="Calibri"/>
                <w:b/>
                <w:bCs/>
                <w:sz w:val="14"/>
                <w:szCs w:val="14"/>
                <w:lang w:val="es-ES"/>
              </w:rPr>
              <w:t xml:space="preserve">24.841.538,67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a) Amortización del inmovilizado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19.348.744,55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18.532.515,35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b) Correcciones valorativas por deterioro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9.713,29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c) Variación de provisiones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1.535.106,08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8.139.450,93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d) Imputación de subvenciones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(969.362,82)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(942.332,47)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e) Resultados por bajas y enajenaciones del inmovilizado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398.372,74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(542.487,87)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f) Resultados por bajas y enajenaciones de instrumentos financieros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g) Ingresos financieros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(4.996.788,79)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(208.314,76)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h) Gastos financieros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366.112,01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64.222,33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i) Variación de valor razonable en instrumentos financieros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j) Ingresos traspasados al resultado por concesiones revertidas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(121.594,21)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(172.721,96)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k) Imputación a resultados de anticipos recibidos por ventas o prestación de servicios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l) Otros ingresos y gastos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13.233,79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(28.792,88)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b/>
                <w:bCs/>
                <w:sz w:val="14"/>
                <w:szCs w:val="14"/>
                <w:lang w:val="es-ES"/>
              </w:rPr>
            </w:pPr>
            <w:r w:rsidRPr="00B633D2">
              <w:rPr>
                <w:rFonts w:ascii="Lucida Bright" w:hAnsi="Lucida Bright" w:cs="Calibri"/>
                <w:b/>
                <w:bCs/>
                <w:sz w:val="14"/>
                <w:szCs w:val="14"/>
                <w:lang w:val="es-ES"/>
              </w:rPr>
              <w:t xml:space="preserve">      3. Cambios en el capital corriente</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b/>
                <w:bCs/>
                <w:sz w:val="14"/>
                <w:szCs w:val="14"/>
                <w:lang w:val="es-ES"/>
              </w:rPr>
            </w:pPr>
            <w:r w:rsidRPr="00B633D2">
              <w:rPr>
                <w:rFonts w:ascii="Lucida Bright" w:hAnsi="Lucida Bright" w:cs="Calibri"/>
                <w:b/>
                <w:bCs/>
                <w:sz w:val="14"/>
                <w:szCs w:val="14"/>
                <w:lang w:val="es-ES"/>
              </w:rPr>
              <w:t xml:space="preserve">1.525.235,20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b/>
                <w:bCs/>
                <w:sz w:val="14"/>
                <w:szCs w:val="14"/>
                <w:lang w:val="es-ES"/>
              </w:rPr>
            </w:pPr>
            <w:r w:rsidRPr="00B633D2">
              <w:rPr>
                <w:rFonts w:ascii="Lucida Bright" w:hAnsi="Lucida Bright" w:cs="Calibri"/>
                <w:b/>
                <w:bCs/>
                <w:sz w:val="14"/>
                <w:szCs w:val="14"/>
                <w:lang w:val="es-ES"/>
              </w:rPr>
              <w:t xml:space="preserve">7.439.648,40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a) Existencias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1.660,96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11.869,21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b) Deudores y otras cuentas a cobrar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(1.556.485,86)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6.097.664,16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c) Otros activos corrientes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(1.244.438,00)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d) Acreedores y otras cuentas a pagar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1.715.126,20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830.248,20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e) Otros pasivos corrientes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1.700.200,68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1.983.304,83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f) Otros activos y pasivos no corrientes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(335.266,78)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(239.000,00)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b/>
                <w:bCs/>
                <w:sz w:val="14"/>
                <w:szCs w:val="14"/>
                <w:lang w:val="es-ES"/>
              </w:rPr>
            </w:pPr>
            <w:r w:rsidRPr="00B633D2">
              <w:rPr>
                <w:rFonts w:ascii="Lucida Bright" w:hAnsi="Lucida Bright" w:cs="Calibri"/>
                <w:b/>
                <w:bCs/>
                <w:sz w:val="14"/>
                <w:szCs w:val="14"/>
                <w:lang w:val="es-ES"/>
              </w:rPr>
              <w:t xml:space="preserve">      4. Otros flujos de efectivo de las actividades de explotación</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b/>
                <w:bCs/>
                <w:sz w:val="14"/>
                <w:szCs w:val="14"/>
                <w:lang w:val="es-ES"/>
              </w:rPr>
            </w:pPr>
            <w:r w:rsidRPr="00B633D2">
              <w:rPr>
                <w:rFonts w:ascii="Lucida Bright" w:hAnsi="Lucida Bright" w:cs="Calibri"/>
                <w:b/>
                <w:bCs/>
                <w:sz w:val="14"/>
                <w:szCs w:val="14"/>
                <w:lang w:val="es-ES"/>
              </w:rPr>
              <w:t xml:space="preserve">1.827.694,37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b/>
                <w:bCs/>
                <w:sz w:val="14"/>
                <w:szCs w:val="14"/>
                <w:lang w:val="es-ES"/>
              </w:rPr>
            </w:pPr>
            <w:r w:rsidRPr="00B633D2">
              <w:rPr>
                <w:rFonts w:ascii="Lucida Bright" w:hAnsi="Lucida Bright" w:cs="Calibri"/>
                <w:b/>
                <w:bCs/>
                <w:sz w:val="14"/>
                <w:szCs w:val="14"/>
                <w:lang w:val="es-ES"/>
              </w:rPr>
              <w:t xml:space="preserve">(2.942.857,46)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a) Pagos de intereses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(2.909,60)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(2.183,37)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b) Cobros de dividendos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c) Cobros de intereses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3.352.746,81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75.259,76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d) Pagos de principales e intereses de demora por litigios tarifarios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(8.061,32)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e) Cobros de OPPE para el pago de principales e intereses de demora por litigios </w:t>
            </w:r>
            <w:proofErr w:type="spellStart"/>
            <w:r w:rsidRPr="00B633D2">
              <w:rPr>
                <w:rFonts w:ascii="Lucida Bright" w:hAnsi="Lucida Bright" w:cs="Calibri"/>
                <w:sz w:val="14"/>
                <w:szCs w:val="14"/>
                <w:lang w:val="es-ES"/>
              </w:rPr>
              <w:t>tarif</w:t>
            </w:r>
            <w:proofErr w:type="spellEnd"/>
            <w:r w:rsidRPr="00B633D2">
              <w:rPr>
                <w:rFonts w:ascii="Lucida Bright" w:hAnsi="Lucida Bright" w:cs="Calibri"/>
                <w:sz w:val="14"/>
                <w:szCs w:val="14"/>
                <w:lang w:val="es-ES"/>
              </w:rPr>
              <w:t>.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(10.788,81)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155.703,65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f) Cobros (pagos) por impuesto sobre beneficios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(1.296.554,03)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(3.163.576,18)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g) Otros pagos (cobros)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(214.800,00)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000000" w:fill="CCFFCC"/>
            <w:noWrap/>
            <w:vAlign w:val="center"/>
            <w:hideMark/>
          </w:tcPr>
          <w:p w:rsidR="00B633D2" w:rsidRPr="00B633D2" w:rsidRDefault="00B633D2" w:rsidP="00B633D2">
            <w:pPr>
              <w:rPr>
                <w:rFonts w:ascii="Lucida Bright" w:hAnsi="Lucida Bright" w:cs="Calibri"/>
                <w:b/>
                <w:bCs/>
                <w:sz w:val="14"/>
                <w:szCs w:val="14"/>
                <w:lang w:val="es-ES"/>
              </w:rPr>
            </w:pPr>
            <w:r w:rsidRPr="00B633D2">
              <w:rPr>
                <w:rFonts w:ascii="Lucida Bright" w:hAnsi="Lucida Bright" w:cs="Calibri"/>
                <w:b/>
                <w:bCs/>
                <w:sz w:val="14"/>
                <w:szCs w:val="14"/>
                <w:lang w:val="es-ES"/>
              </w:rPr>
              <w:t xml:space="preserve"> B) FLUJOS DE EFECTIVO DE LAS ACTIVIDADES DE INVERSIÓN (7-6)</w:t>
            </w:r>
          </w:p>
        </w:tc>
        <w:tc>
          <w:tcPr>
            <w:tcW w:w="1216" w:type="dxa"/>
            <w:tcBorders>
              <w:top w:val="nil"/>
              <w:left w:val="single" w:sz="4" w:space="0" w:color="auto"/>
              <w:bottom w:val="nil"/>
              <w:right w:val="single" w:sz="4" w:space="0" w:color="auto"/>
            </w:tcBorders>
            <w:shd w:val="clear" w:color="000000" w:fill="CCFFCC"/>
            <w:noWrap/>
            <w:vAlign w:val="center"/>
            <w:hideMark/>
          </w:tcPr>
          <w:p w:rsidR="00B633D2" w:rsidRPr="00B633D2" w:rsidRDefault="00B633D2" w:rsidP="00B633D2">
            <w:pPr>
              <w:jc w:val="right"/>
              <w:rPr>
                <w:rFonts w:ascii="Lucida Bright" w:hAnsi="Lucida Bright" w:cs="Calibri"/>
                <w:b/>
                <w:bCs/>
                <w:sz w:val="14"/>
                <w:szCs w:val="14"/>
                <w:lang w:val="es-ES"/>
              </w:rPr>
            </w:pPr>
            <w:r w:rsidRPr="00B633D2">
              <w:rPr>
                <w:rFonts w:ascii="Lucida Bright" w:hAnsi="Lucida Bright" w:cs="Calibri"/>
                <w:b/>
                <w:bCs/>
                <w:sz w:val="14"/>
                <w:szCs w:val="14"/>
                <w:lang w:val="es-ES"/>
              </w:rPr>
              <w:t xml:space="preserve">(91.202.459,95)  </w:t>
            </w:r>
          </w:p>
        </w:tc>
        <w:tc>
          <w:tcPr>
            <w:tcW w:w="1216" w:type="dxa"/>
            <w:tcBorders>
              <w:top w:val="nil"/>
              <w:left w:val="nil"/>
              <w:bottom w:val="nil"/>
              <w:right w:val="single" w:sz="4" w:space="0" w:color="auto"/>
            </w:tcBorders>
            <w:shd w:val="clear" w:color="000000" w:fill="CCFFCC"/>
            <w:noWrap/>
            <w:vAlign w:val="center"/>
            <w:hideMark/>
          </w:tcPr>
          <w:p w:rsidR="00B633D2" w:rsidRPr="00B633D2" w:rsidRDefault="00B633D2" w:rsidP="00B633D2">
            <w:pPr>
              <w:jc w:val="right"/>
              <w:rPr>
                <w:rFonts w:ascii="Lucida Bright" w:hAnsi="Lucida Bright" w:cs="Calibri"/>
                <w:b/>
                <w:bCs/>
                <w:sz w:val="14"/>
                <w:szCs w:val="14"/>
                <w:lang w:val="es-ES"/>
              </w:rPr>
            </w:pPr>
            <w:r w:rsidRPr="00B633D2">
              <w:rPr>
                <w:rFonts w:ascii="Lucida Bright" w:hAnsi="Lucida Bright" w:cs="Calibri"/>
                <w:b/>
                <w:bCs/>
                <w:sz w:val="14"/>
                <w:szCs w:val="14"/>
                <w:lang w:val="es-ES"/>
              </w:rPr>
              <w:t xml:space="preserve">(98.940.595,77)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b/>
                <w:bCs/>
                <w:sz w:val="14"/>
                <w:szCs w:val="14"/>
                <w:lang w:val="es-ES"/>
              </w:rPr>
            </w:pPr>
            <w:r w:rsidRPr="00B633D2">
              <w:rPr>
                <w:rFonts w:ascii="Lucida Bright" w:hAnsi="Lucida Bright" w:cs="Calibri"/>
                <w:b/>
                <w:bCs/>
                <w:sz w:val="14"/>
                <w:szCs w:val="14"/>
                <w:lang w:val="es-ES"/>
              </w:rPr>
              <w:t xml:space="preserve">      6. Pagos por inversiones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b/>
                <w:bCs/>
                <w:sz w:val="14"/>
                <w:szCs w:val="14"/>
                <w:lang w:val="es-ES"/>
              </w:rPr>
            </w:pPr>
            <w:r w:rsidRPr="00B633D2">
              <w:rPr>
                <w:rFonts w:ascii="Lucida Bright" w:hAnsi="Lucida Bright" w:cs="Calibri"/>
                <w:b/>
                <w:bCs/>
                <w:sz w:val="14"/>
                <w:szCs w:val="14"/>
                <w:lang w:val="es-ES"/>
              </w:rPr>
              <w:t xml:space="preserve">(91.230.342,31)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b/>
                <w:bCs/>
                <w:sz w:val="14"/>
                <w:szCs w:val="14"/>
                <w:lang w:val="es-ES"/>
              </w:rPr>
            </w:pPr>
            <w:r w:rsidRPr="00B633D2">
              <w:rPr>
                <w:rFonts w:ascii="Lucida Bright" w:hAnsi="Lucida Bright" w:cs="Calibri"/>
                <w:b/>
                <w:bCs/>
                <w:sz w:val="14"/>
                <w:szCs w:val="14"/>
                <w:lang w:val="es-ES"/>
              </w:rPr>
              <w:t xml:space="preserve">(99.555.878,86)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a) Empresas del grupo y asociadas</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(3.845.000,00)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b) Inmovilizado intangible</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c) Inmovilizado material</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(41.214.292,31)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(18.560.358,86)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d) Inversiones inmobiliarias</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e) Otros activos financieros</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(50.016.050,00)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(77.150.520,00)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f) Activos no corrientes mantenidos para la venta</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g) Otros activos</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b/>
                <w:bCs/>
                <w:sz w:val="14"/>
                <w:szCs w:val="14"/>
                <w:lang w:val="es-ES"/>
              </w:rPr>
            </w:pPr>
            <w:r w:rsidRPr="00B633D2">
              <w:rPr>
                <w:rFonts w:ascii="Lucida Bright" w:hAnsi="Lucida Bright" w:cs="Calibri"/>
                <w:b/>
                <w:bCs/>
                <w:sz w:val="14"/>
                <w:szCs w:val="14"/>
                <w:lang w:val="es-ES"/>
              </w:rPr>
              <w:t xml:space="preserve">      7. Cobros por desinversiones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b/>
                <w:bCs/>
                <w:sz w:val="14"/>
                <w:szCs w:val="14"/>
                <w:lang w:val="es-ES"/>
              </w:rPr>
            </w:pPr>
            <w:r w:rsidRPr="00B633D2">
              <w:rPr>
                <w:rFonts w:ascii="Lucida Bright" w:hAnsi="Lucida Bright" w:cs="Calibri"/>
                <w:b/>
                <w:bCs/>
                <w:sz w:val="14"/>
                <w:szCs w:val="14"/>
                <w:lang w:val="es-ES"/>
              </w:rPr>
              <w:t xml:space="preserve">27.882,36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b/>
                <w:bCs/>
                <w:sz w:val="14"/>
                <w:szCs w:val="14"/>
                <w:lang w:val="es-ES"/>
              </w:rPr>
            </w:pPr>
            <w:r w:rsidRPr="00B633D2">
              <w:rPr>
                <w:rFonts w:ascii="Lucida Bright" w:hAnsi="Lucida Bright" w:cs="Calibri"/>
                <w:b/>
                <w:bCs/>
                <w:sz w:val="14"/>
                <w:szCs w:val="14"/>
                <w:lang w:val="es-ES"/>
              </w:rPr>
              <w:t xml:space="preserve">615.283,09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r w:rsidR="00802A23">
              <w:rPr>
                <w:rFonts w:ascii="Lucida Bright" w:hAnsi="Lucida Bright" w:cs="Calibri"/>
                <w:color w:val="000000"/>
                <w:sz w:val="14"/>
                <w:szCs w:val="14"/>
                <w:lang w:val="es-ES"/>
              </w:rPr>
              <w:t>9.1</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a) Empresas del grupo y asociadas</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27.882,36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11.211,22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b) Inmovilizado intangible</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c) Inmovilizado material</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604.071,87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d) Inversiones inmobiliarias</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e) Otros activos financieros</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f) Activos no corrientes mantenidos para la venta</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g) Otros activos</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000000" w:fill="CCFFCC"/>
            <w:noWrap/>
            <w:vAlign w:val="center"/>
            <w:hideMark/>
          </w:tcPr>
          <w:p w:rsidR="00B633D2" w:rsidRPr="00B633D2" w:rsidRDefault="00B633D2" w:rsidP="00B633D2">
            <w:pPr>
              <w:rPr>
                <w:rFonts w:ascii="Lucida Bright" w:hAnsi="Lucida Bright" w:cs="Calibri"/>
                <w:b/>
                <w:bCs/>
                <w:sz w:val="14"/>
                <w:szCs w:val="14"/>
                <w:lang w:val="es-ES"/>
              </w:rPr>
            </w:pPr>
            <w:r w:rsidRPr="00B633D2">
              <w:rPr>
                <w:rFonts w:ascii="Lucida Bright" w:hAnsi="Lucida Bright" w:cs="Calibri"/>
                <w:b/>
                <w:bCs/>
                <w:sz w:val="14"/>
                <w:szCs w:val="14"/>
                <w:lang w:val="es-ES"/>
              </w:rPr>
              <w:t xml:space="preserve"> C) FLUJOS DE EFECTIVO DE LAS ACTIVIDADES DE FINANCIACIÓN (+/-9+/-10)</w:t>
            </w:r>
          </w:p>
        </w:tc>
        <w:tc>
          <w:tcPr>
            <w:tcW w:w="1216" w:type="dxa"/>
            <w:tcBorders>
              <w:top w:val="nil"/>
              <w:left w:val="single" w:sz="4" w:space="0" w:color="auto"/>
              <w:bottom w:val="nil"/>
              <w:right w:val="single" w:sz="4" w:space="0" w:color="auto"/>
            </w:tcBorders>
            <w:shd w:val="clear" w:color="000000" w:fill="CCFFCC"/>
            <w:noWrap/>
            <w:vAlign w:val="center"/>
            <w:hideMark/>
          </w:tcPr>
          <w:p w:rsidR="00B633D2" w:rsidRPr="00B633D2" w:rsidRDefault="00B633D2" w:rsidP="00B633D2">
            <w:pPr>
              <w:jc w:val="right"/>
              <w:rPr>
                <w:rFonts w:ascii="Lucida Bright" w:hAnsi="Lucida Bright" w:cs="Calibri"/>
                <w:b/>
                <w:bCs/>
                <w:sz w:val="14"/>
                <w:szCs w:val="14"/>
                <w:lang w:val="es-ES"/>
              </w:rPr>
            </w:pPr>
            <w:r w:rsidRPr="00B633D2">
              <w:rPr>
                <w:rFonts w:ascii="Lucida Bright" w:hAnsi="Lucida Bright" w:cs="Calibri"/>
                <w:b/>
                <w:bCs/>
                <w:sz w:val="14"/>
                <w:szCs w:val="14"/>
                <w:lang w:val="es-ES"/>
              </w:rPr>
              <w:t xml:space="preserve">1.151.422,83  </w:t>
            </w:r>
          </w:p>
        </w:tc>
        <w:tc>
          <w:tcPr>
            <w:tcW w:w="1216" w:type="dxa"/>
            <w:tcBorders>
              <w:top w:val="nil"/>
              <w:left w:val="nil"/>
              <w:bottom w:val="nil"/>
              <w:right w:val="single" w:sz="4" w:space="0" w:color="auto"/>
            </w:tcBorders>
            <w:shd w:val="clear" w:color="000000" w:fill="CCFFCC"/>
            <w:noWrap/>
            <w:vAlign w:val="center"/>
            <w:hideMark/>
          </w:tcPr>
          <w:p w:rsidR="00B633D2" w:rsidRPr="00B633D2" w:rsidRDefault="00B633D2" w:rsidP="00B633D2">
            <w:pPr>
              <w:jc w:val="right"/>
              <w:rPr>
                <w:rFonts w:ascii="Lucida Bright" w:hAnsi="Lucida Bright" w:cs="Calibri"/>
                <w:b/>
                <w:bCs/>
                <w:sz w:val="14"/>
                <w:szCs w:val="14"/>
                <w:lang w:val="es-ES"/>
              </w:rPr>
            </w:pPr>
            <w:r w:rsidRPr="00B633D2">
              <w:rPr>
                <w:rFonts w:ascii="Lucida Bright" w:hAnsi="Lucida Bright" w:cs="Calibri"/>
                <w:b/>
                <w:bCs/>
                <w:sz w:val="14"/>
                <w:szCs w:val="14"/>
                <w:lang w:val="es-ES"/>
              </w:rPr>
              <w:t xml:space="preserve">540.254,75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b/>
                <w:bCs/>
                <w:sz w:val="14"/>
                <w:szCs w:val="14"/>
                <w:lang w:val="es-ES"/>
              </w:rPr>
            </w:pPr>
            <w:r w:rsidRPr="00B633D2">
              <w:rPr>
                <w:rFonts w:ascii="Lucida Bright" w:hAnsi="Lucida Bright" w:cs="Calibri"/>
                <w:b/>
                <w:bCs/>
                <w:sz w:val="14"/>
                <w:szCs w:val="14"/>
                <w:lang w:val="es-ES"/>
              </w:rPr>
              <w:t xml:space="preserve">      9. Cobros y pagos por instrumentos de patrimonio</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b/>
                <w:bCs/>
                <w:sz w:val="14"/>
                <w:szCs w:val="14"/>
                <w:lang w:val="es-ES"/>
              </w:rPr>
            </w:pPr>
            <w:r w:rsidRPr="00B633D2">
              <w:rPr>
                <w:rFonts w:ascii="Lucida Bright" w:hAnsi="Lucida Bright" w:cs="Calibri"/>
                <w:b/>
                <w:bCs/>
                <w:sz w:val="14"/>
                <w:szCs w:val="14"/>
                <w:lang w:val="es-ES"/>
              </w:rPr>
              <w:t xml:space="preserve">1.151.422,83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b/>
                <w:bCs/>
                <w:sz w:val="14"/>
                <w:szCs w:val="14"/>
                <w:lang w:val="es-ES"/>
              </w:rPr>
            </w:pPr>
            <w:r w:rsidRPr="00B633D2">
              <w:rPr>
                <w:rFonts w:ascii="Lucida Bright" w:hAnsi="Lucida Bright" w:cs="Calibri"/>
                <w:b/>
                <w:bCs/>
                <w:sz w:val="14"/>
                <w:szCs w:val="14"/>
                <w:lang w:val="es-ES"/>
              </w:rPr>
              <w:t xml:space="preserve">540.254,75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r w:rsidR="00802A23">
              <w:rPr>
                <w:rFonts w:ascii="Lucida Bright" w:hAnsi="Lucida Bright" w:cs="Calibri"/>
                <w:color w:val="000000"/>
                <w:sz w:val="14"/>
                <w:szCs w:val="14"/>
                <w:lang w:val="es-ES"/>
              </w:rPr>
              <w:t>11</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a) Subvenciones, donaciones y legados recibidos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1.151.422,83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540.254,75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b) Aumento/Disminución de Patrimonio (+/-)</w:t>
            </w:r>
          </w:p>
        </w:tc>
        <w:tc>
          <w:tcPr>
            <w:tcW w:w="1216" w:type="dxa"/>
            <w:tcBorders>
              <w:top w:val="nil"/>
              <w:left w:val="single" w:sz="4" w:space="0" w:color="auto"/>
              <w:bottom w:val="nil"/>
              <w:right w:val="single" w:sz="4" w:space="0" w:color="auto"/>
            </w:tcBorders>
            <w:shd w:val="clear" w:color="auto" w:fill="auto"/>
            <w:noWrap/>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1216" w:type="dxa"/>
            <w:tcBorders>
              <w:top w:val="nil"/>
              <w:left w:val="nil"/>
              <w:bottom w:val="nil"/>
              <w:right w:val="single" w:sz="4" w:space="0" w:color="auto"/>
            </w:tcBorders>
            <w:shd w:val="clear" w:color="auto" w:fill="auto"/>
            <w:noWrap/>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b/>
                <w:bCs/>
                <w:sz w:val="14"/>
                <w:szCs w:val="14"/>
                <w:lang w:val="es-ES"/>
              </w:rPr>
            </w:pPr>
            <w:r w:rsidRPr="00B633D2">
              <w:rPr>
                <w:rFonts w:ascii="Lucida Bright" w:hAnsi="Lucida Bright" w:cs="Calibri"/>
                <w:b/>
                <w:bCs/>
                <w:sz w:val="14"/>
                <w:szCs w:val="14"/>
                <w:lang w:val="es-ES"/>
              </w:rPr>
              <w:t xml:space="preserve">     10. Cobros y pagos por instrumentos de pasivo financiero</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b/>
                <w:bCs/>
                <w:sz w:val="14"/>
                <w:szCs w:val="14"/>
                <w:lang w:val="es-ES"/>
              </w:rPr>
            </w:pPr>
            <w:r w:rsidRPr="00B633D2">
              <w:rPr>
                <w:rFonts w:ascii="Lucida Bright" w:hAnsi="Lucida Bright" w:cs="Calibri"/>
                <w:b/>
                <w:bCs/>
                <w:sz w:val="14"/>
                <w:szCs w:val="14"/>
                <w:lang w:val="es-ES"/>
              </w:rPr>
              <w:t xml:space="preserve">-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b/>
                <w:bCs/>
                <w:sz w:val="14"/>
                <w:szCs w:val="14"/>
                <w:lang w:val="es-ES"/>
              </w:rPr>
            </w:pPr>
            <w:r w:rsidRPr="00B633D2">
              <w:rPr>
                <w:rFonts w:ascii="Lucida Bright" w:hAnsi="Lucida Bright" w:cs="Calibri"/>
                <w:b/>
                <w:bCs/>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a) Emisión</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1. Deudas con entidades de crédito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2. Deudas con empresas del grupo y asociadas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3. Otras deudas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b) Devolución y amortización de</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1. Deudas con entidades de crédito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2. Deudas con empresas del grupo y asociadas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3. Otras deudas (-)</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000000" w:fill="CCFFCC"/>
            <w:noWrap/>
            <w:vAlign w:val="center"/>
            <w:hideMark/>
          </w:tcPr>
          <w:p w:rsidR="00B633D2" w:rsidRPr="00B633D2" w:rsidRDefault="00B633D2" w:rsidP="00B633D2">
            <w:pPr>
              <w:rPr>
                <w:rFonts w:ascii="Lucida Bright" w:hAnsi="Lucida Bright" w:cs="Calibri"/>
                <w:b/>
                <w:bCs/>
                <w:sz w:val="14"/>
                <w:szCs w:val="14"/>
                <w:lang w:val="es-ES"/>
              </w:rPr>
            </w:pPr>
            <w:r w:rsidRPr="00B633D2">
              <w:rPr>
                <w:rFonts w:ascii="Lucida Bright" w:hAnsi="Lucida Bright" w:cs="Calibri"/>
                <w:b/>
                <w:bCs/>
                <w:sz w:val="14"/>
                <w:szCs w:val="14"/>
                <w:lang w:val="es-ES"/>
              </w:rPr>
              <w:t xml:space="preserve"> E) AUMENTO/DISMINUCIÓN NETA DEL EFECTIVO O EQUIVALENTES (+/-A+/-B+/-C)</w:t>
            </w:r>
          </w:p>
        </w:tc>
        <w:tc>
          <w:tcPr>
            <w:tcW w:w="1216" w:type="dxa"/>
            <w:tcBorders>
              <w:top w:val="nil"/>
              <w:left w:val="single" w:sz="4" w:space="0" w:color="auto"/>
              <w:bottom w:val="nil"/>
              <w:right w:val="single" w:sz="4" w:space="0" w:color="auto"/>
            </w:tcBorders>
            <w:shd w:val="clear" w:color="000000" w:fill="CCFFCC"/>
            <w:noWrap/>
            <w:vAlign w:val="center"/>
            <w:hideMark/>
          </w:tcPr>
          <w:p w:rsidR="00B633D2" w:rsidRPr="00B633D2" w:rsidRDefault="00B633D2" w:rsidP="00B633D2">
            <w:pPr>
              <w:jc w:val="right"/>
              <w:rPr>
                <w:rFonts w:ascii="Lucida Bright" w:hAnsi="Lucida Bright" w:cs="Calibri"/>
                <w:b/>
                <w:bCs/>
                <w:sz w:val="14"/>
                <w:szCs w:val="14"/>
                <w:lang w:val="es-ES"/>
              </w:rPr>
            </w:pPr>
            <w:r w:rsidRPr="00B633D2">
              <w:rPr>
                <w:rFonts w:ascii="Lucida Bright" w:hAnsi="Lucida Bright" w:cs="Calibri"/>
                <w:b/>
                <w:bCs/>
                <w:sz w:val="14"/>
                <w:szCs w:val="14"/>
                <w:lang w:val="es-ES"/>
              </w:rPr>
              <w:t xml:space="preserve">(24.064.195,73)  </w:t>
            </w:r>
          </w:p>
        </w:tc>
        <w:tc>
          <w:tcPr>
            <w:tcW w:w="1216" w:type="dxa"/>
            <w:tcBorders>
              <w:top w:val="nil"/>
              <w:left w:val="nil"/>
              <w:bottom w:val="nil"/>
              <w:right w:val="single" w:sz="4" w:space="0" w:color="auto"/>
            </w:tcBorders>
            <w:shd w:val="clear" w:color="000000" w:fill="CCFFCC"/>
            <w:noWrap/>
            <w:vAlign w:val="center"/>
            <w:hideMark/>
          </w:tcPr>
          <w:p w:rsidR="00B633D2" w:rsidRPr="00B633D2" w:rsidRDefault="00B633D2" w:rsidP="00B633D2">
            <w:pPr>
              <w:jc w:val="right"/>
              <w:rPr>
                <w:rFonts w:ascii="Lucida Bright" w:hAnsi="Lucida Bright" w:cs="Calibri"/>
                <w:b/>
                <w:bCs/>
                <w:sz w:val="14"/>
                <w:szCs w:val="14"/>
                <w:lang w:val="es-ES"/>
              </w:rPr>
            </w:pPr>
            <w:r w:rsidRPr="00B633D2">
              <w:rPr>
                <w:rFonts w:ascii="Lucida Bright" w:hAnsi="Lucida Bright" w:cs="Calibri"/>
                <w:b/>
                <w:bCs/>
                <w:sz w:val="14"/>
                <w:szCs w:val="14"/>
                <w:lang w:val="es-ES"/>
              </w:rPr>
              <w:t xml:space="preserve">(36.254.416,01)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nil"/>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Efectivo o equivalentes al comienzo del ejercicio</w:t>
            </w:r>
          </w:p>
        </w:tc>
        <w:tc>
          <w:tcPr>
            <w:tcW w:w="1216" w:type="dxa"/>
            <w:tcBorders>
              <w:top w:val="nil"/>
              <w:left w:val="single" w:sz="4" w:space="0" w:color="auto"/>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163.008.339,31  </w:t>
            </w:r>
          </w:p>
        </w:tc>
        <w:tc>
          <w:tcPr>
            <w:tcW w:w="1216" w:type="dxa"/>
            <w:tcBorders>
              <w:top w:val="nil"/>
              <w:left w:val="nil"/>
              <w:bottom w:val="nil"/>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199.262.755,32  </w:t>
            </w:r>
          </w:p>
        </w:tc>
        <w:tc>
          <w:tcPr>
            <w:tcW w:w="651" w:type="dxa"/>
            <w:tcBorders>
              <w:top w:val="nil"/>
              <w:left w:val="nil"/>
              <w:bottom w:val="nil"/>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r w:rsidR="00B633D2" w:rsidRPr="00B633D2" w:rsidTr="00B633D2">
        <w:trPr>
          <w:trHeight w:val="180"/>
        </w:trPr>
        <w:tc>
          <w:tcPr>
            <w:tcW w:w="7148" w:type="dxa"/>
            <w:tcBorders>
              <w:top w:val="nil"/>
              <w:left w:val="single" w:sz="4" w:space="0" w:color="auto"/>
              <w:bottom w:val="single" w:sz="4" w:space="0" w:color="auto"/>
              <w:right w:val="nil"/>
            </w:tcBorders>
            <w:shd w:val="clear" w:color="auto" w:fill="auto"/>
            <w:noWrap/>
            <w:vAlign w:val="center"/>
            <w:hideMark/>
          </w:tcPr>
          <w:p w:rsidR="00B633D2" w:rsidRPr="00B633D2" w:rsidRDefault="00B633D2" w:rsidP="00B633D2">
            <w:pPr>
              <w:rPr>
                <w:rFonts w:ascii="Lucida Bright" w:hAnsi="Lucida Bright" w:cs="Calibri"/>
                <w:sz w:val="14"/>
                <w:szCs w:val="14"/>
                <w:lang w:val="es-ES"/>
              </w:rPr>
            </w:pPr>
            <w:r w:rsidRPr="00B633D2">
              <w:rPr>
                <w:rFonts w:ascii="Lucida Bright" w:hAnsi="Lucida Bright" w:cs="Calibri"/>
                <w:sz w:val="14"/>
                <w:szCs w:val="14"/>
                <w:lang w:val="es-ES"/>
              </w:rPr>
              <w:t xml:space="preserve">         Efectivo o equivalentes al final del ejercicio</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138.944.143,58  </w:t>
            </w:r>
          </w:p>
        </w:tc>
        <w:tc>
          <w:tcPr>
            <w:tcW w:w="1216" w:type="dxa"/>
            <w:tcBorders>
              <w:top w:val="nil"/>
              <w:left w:val="nil"/>
              <w:bottom w:val="single" w:sz="4" w:space="0" w:color="auto"/>
              <w:right w:val="single" w:sz="4" w:space="0" w:color="auto"/>
            </w:tcBorders>
            <w:shd w:val="clear" w:color="auto" w:fill="auto"/>
            <w:noWrap/>
            <w:vAlign w:val="center"/>
            <w:hideMark/>
          </w:tcPr>
          <w:p w:rsidR="00B633D2" w:rsidRPr="00B633D2" w:rsidRDefault="00B633D2" w:rsidP="00B633D2">
            <w:pPr>
              <w:jc w:val="right"/>
              <w:rPr>
                <w:rFonts w:ascii="Lucida Bright" w:hAnsi="Lucida Bright" w:cs="Calibri"/>
                <w:sz w:val="14"/>
                <w:szCs w:val="14"/>
                <w:lang w:val="es-ES"/>
              </w:rPr>
            </w:pPr>
            <w:r w:rsidRPr="00B633D2">
              <w:rPr>
                <w:rFonts w:ascii="Lucida Bright" w:hAnsi="Lucida Bright" w:cs="Calibri"/>
                <w:sz w:val="14"/>
                <w:szCs w:val="14"/>
                <w:lang w:val="es-ES"/>
              </w:rPr>
              <w:t xml:space="preserve">163.008.339,31  </w:t>
            </w:r>
          </w:p>
        </w:tc>
        <w:tc>
          <w:tcPr>
            <w:tcW w:w="651" w:type="dxa"/>
            <w:tcBorders>
              <w:top w:val="nil"/>
              <w:left w:val="nil"/>
              <w:bottom w:val="single" w:sz="4" w:space="0" w:color="auto"/>
              <w:right w:val="single" w:sz="4" w:space="0" w:color="auto"/>
            </w:tcBorders>
            <w:shd w:val="clear" w:color="auto" w:fill="auto"/>
            <w:noWrap/>
            <w:vAlign w:val="bottom"/>
            <w:hideMark/>
          </w:tcPr>
          <w:p w:rsidR="00B633D2" w:rsidRPr="00B633D2" w:rsidRDefault="00B633D2" w:rsidP="00B633D2">
            <w:pPr>
              <w:rPr>
                <w:rFonts w:ascii="Lucida Bright" w:hAnsi="Lucida Bright" w:cs="Calibri"/>
                <w:color w:val="000000"/>
                <w:sz w:val="14"/>
                <w:szCs w:val="14"/>
                <w:lang w:val="es-ES"/>
              </w:rPr>
            </w:pPr>
            <w:r w:rsidRPr="00B633D2">
              <w:rPr>
                <w:rFonts w:ascii="Lucida Bright" w:hAnsi="Lucida Bright" w:cs="Calibri"/>
                <w:color w:val="000000"/>
                <w:sz w:val="14"/>
                <w:szCs w:val="14"/>
                <w:lang w:val="es-ES"/>
              </w:rPr>
              <w:t> </w:t>
            </w:r>
          </w:p>
        </w:tc>
      </w:tr>
    </w:tbl>
    <w:p w:rsidR="005E54C0" w:rsidRDefault="005E54C0" w:rsidP="00106204">
      <w:pPr>
        <w:shd w:val="clear" w:color="auto" w:fill="FFFFFF"/>
        <w:ind w:right="330"/>
        <w:rPr>
          <w:rFonts w:ascii="Lucida Bright" w:eastAsia="Lucida Bright" w:hAnsi="Lucida Bright" w:cs="Lucida Bright"/>
          <w:b/>
          <w:bCs/>
          <w:color w:val="000000"/>
          <w:sz w:val="19"/>
          <w:highlight w:val="white"/>
        </w:rPr>
      </w:pPr>
    </w:p>
    <w:p w:rsidR="000A2AAF" w:rsidRDefault="000A2AAF" w:rsidP="00106204">
      <w:pPr>
        <w:shd w:val="clear" w:color="auto" w:fill="FFFFFF"/>
        <w:ind w:right="330"/>
        <w:rPr>
          <w:lang w:val="es-ES"/>
        </w:rPr>
      </w:pPr>
      <w:r>
        <w:rPr>
          <w:rFonts w:eastAsia="Lucida Bright"/>
          <w:highlight w:val="white"/>
        </w:rPr>
        <w:fldChar w:fldCharType="begin"/>
      </w:r>
      <w:r>
        <w:rPr>
          <w:rFonts w:eastAsia="Lucida Bright"/>
          <w:highlight w:val="white"/>
        </w:rPr>
        <w:instrText xml:space="preserve"> LINK </w:instrText>
      </w:r>
      <w:r w:rsidR="00D24A8A">
        <w:rPr>
          <w:rFonts w:eastAsia="Lucida Bright"/>
          <w:highlight w:val="white"/>
        </w:rPr>
        <w:instrText xml:space="preserve">Excel.Sheet.12 "C:\\Users\\rnavarro\\Desktop\\MARGA POMAR\\CUENTAS ANUALES 2021\\_02. ANUALES__c. Estado de Flujos de Efectivo (FY21, BALEARES).xlsx" "Table 2!F1C1:F48C3" </w:instrText>
      </w:r>
      <w:r>
        <w:rPr>
          <w:rFonts w:eastAsia="Lucida Bright"/>
          <w:highlight w:val="white"/>
        </w:rPr>
        <w:instrText xml:space="preserve">\a \f 4 \h  \* MERGEFORMAT </w:instrText>
      </w:r>
      <w:r>
        <w:rPr>
          <w:rFonts w:eastAsia="Lucida Bright"/>
          <w:highlight w:val="white"/>
        </w:rPr>
        <w:fldChar w:fldCharType="separate"/>
      </w:r>
    </w:p>
    <w:p w:rsidR="00EE5732" w:rsidRDefault="000A2AAF" w:rsidP="00842F38">
      <w:pPr>
        <w:shd w:val="clear" w:color="auto" w:fill="FFFFFF"/>
        <w:ind w:right="330"/>
        <w:rPr>
          <w:rFonts w:ascii="Lucida Bright" w:eastAsia="Lucida Bright" w:hAnsi="Lucida Bright" w:cs="Lucida Bright"/>
          <w:b/>
          <w:bCs/>
          <w:color w:val="000000"/>
          <w:sz w:val="19"/>
          <w:highlight w:val="white"/>
        </w:rPr>
      </w:pPr>
      <w:r>
        <w:rPr>
          <w:rFonts w:ascii="Lucida Bright" w:eastAsia="Lucida Bright" w:hAnsi="Lucida Bright" w:cs="Lucida Bright"/>
          <w:b/>
          <w:bCs/>
          <w:color w:val="000000"/>
          <w:sz w:val="19"/>
          <w:highlight w:val="white"/>
        </w:rPr>
        <w:fldChar w:fldCharType="end"/>
      </w:r>
    </w:p>
    <w:p w:rsidR="001C4AD5" w:rsidRDefault="001C4AD5" w:rsidP="00842F38">
      <w:pPr>
        <w:shd w:val="clear" w:color="auto" w:fill="FFFFFF"/>
        <w:ind w:right="330"/>
        <w:rPr>
          <w:rFonts w:ascii="Lucida Bright" w:eastAsia="Lucida Bright" w:hAnsi="Lucida Bright" w:cs="Lucida Bright"/>
          <w:b/>
          <w:bCs/>
          <w:color w:val="000000"/>
          <w:sz w:val="19"/>
          <w:highlight w:val="white"/>
        </w:rPr>
      </w:pPr>
    </w:p>
    <w:p w:rsidR="001C4AD5" w:rsidRDefault="001C4AD5" w:rsidP="00842F38">
      <w:pPr>
        <w:shd w:val="clear" w:color="auto" w:fill="FFFFFF"/>
        <w:ind w:right="330"/>
        <w:rPr>
          <w:rFonts w:ascii="Lucida Bright" w:eastAsia="Lucida Bright" w:hAnsi="Lucida Bright" w:cs="Lucida Bright"/>
          <w:b/>
          <w:bCs/>
          <w:color w:val="000000"/>
          <w:sz w:val="19"/>
          <w:highlight w:val="white"/>
        </w:rPr>
      </w:pPr>
    </w:p>
    <w:p w:rsidR="001C4AD5" w:rsidRDefault="001C4AD5" w:rsidP="00842F38">
      <w:pPr>
        <w:shd w:val="clear" w:color="auto" w:fill="FFFFFF"/>
        <w:ind w:right="330"/>
        <w:rPr>
          <w:rFonts w:ascii="Lucida Bright" w:eastAsia="Lucida Bright" w:hAnsi="Lucida Bright" w:cs="Lucida Bright"/>
          <w:b/>
          <w:bCs/>
          <w:color w:val="000000"/>
          <w:sz w:val="19"/>
          <w:highlight w:val="white"/>
        </w:rPr>
      </w:pPr>
    </w:p>
    <w:p w:rsidR="001C4AD5" w:rsidRDefault="001C4AD5" w:rsidP="00842F38">
      <w:pPr>
        <w:shd w:val="clear" w:color="auto" w:fill="FFFFFF"/>
        <w:ind w:right="330"/>
        <w:rPr>
          <w:rFonts w:ascii="Lucida Bright" w:eastAsia="Lucida Bright" w:hAnsi="Lucida Bright" w:cs="Lucida Bright"/>
          <w:b/>
          <w:bCs/>
          <w:color w:val="000000"/>
          <w:sz w:val="19"/>
          <w:highlight w:val="white"/>
        </w:rPr>
      </w:pPr>
    </w:p>
    <w:p w:rsidR="001C4AD5" w:rsidRDefault="001C4AD5" w:rsidP="00842F38">
      <w:pPr>
        <w:shd w:val="clear" w:color="auto" w:fill="FFFFFF"/>
        <w:ind w:right="330"/>
        <w:rPr>
          <w:rFonts w:ascii="Lucida Bright" w:eastAsia="Lucida Bright" w:hAnsi="Lucida Bright" w:cs="Lucida Bright"/>
          <w:b/>
          <w:bCs/>
          <w:color w:val="000000"/>
          <w:sz w:val="19"/>
          <w:highlight w:val="white"/>
        </w:rPr>
      </w:pPr>
    </w:p>
    <w:p w:rsidR="00052B62" w:rsidRDefault="00052B62" w:rsidP="00E13AD1">
      <w:pPr>
        <w:rPr>
          <w:b/>
          <w:bCs/>
          <w:sz w:val="22"/>
          <w:szCs w:val="22"/>
        </w:rPr>
      </w:pPr>
    </w:p>
    <w:p w:rsidR="00052B62" w:rsidRDefault="00052B62" w:rsidP="00E13AD1">
      <w:pPr>
        <w:rPr>
          <w:b/>
          <w:bCs/>
          <w:sz w:val="22"/>
          <w:szCs w:val="22"/>
        </w:rPr>
      </w:pPr>
    </w:p>
    <w:p w:rsidR="00052B62" w:rsidRDefault="00052B62" w:rsidP="00E13AD1">
      <w:pPr>
        <w:rPr>
          <w:b/>
          <w:bCs/>
          <w:sz w:val="22"/>
          <w:szCs w:val="22"/>
        </w:rPr>
      </w:pPr>
    </w:p>
    <w:p w:rsidR="00052B62" w:rsidRDefault="00052B62" w:rsidP="00E13AD1">
      <w:pPr>
        <w:rPr>
          <w:b/>
          <w:bCs/>
          <w:sz w:val="22"/>
          <w:szCs w:val="22"/>
        </w:rPr>
      </w:pPr>
    </w:p>
    <w:p w:rsidR="00052B62" w:rsidRDefault="00052B62" w:rsidP="00E13AD1">
      <w:pPr>
        <w:rPr>
          <w:b/>
          <w:bCs/>
          <w:sz w:val="22"/>
          <w:szCs w:val="22"/>
        </w:rPr>
      </w:pPr>
    </w:p>
    <w:p w:rsidR="00052B62" w:rsidRDefault="00052B62" w:rsidP="00E13AD1">
      <w:pPr>
        <w:rPr>
          <w:b/>
          <w:bCs/>
          <w:sz w:val="22"/>
          <w:szCs w:val="22"/>
        </w:rPr>
      </w:pPr>
    </w:p>
    <w:p w:rsidR="00052B62" w:rsidRDefault="00052B62" w:rsidP="00E13AD1">
      <w:pPr>
        <w:rPr>
          <w:b/>
          <w:bCs/>
          <w:sz w:val="22"/>
          <w:szCs w:val="22"/>
        </w:rPr>
      </w:pPr>
    </w:p>
    <w:p w:rsidR="00052B62" w:rsidRDefault="00052B62" w:rsidP="00E13AD1">
      <w:pPr>
        <w:rPr>
          <w:b/>
          <w:bCs/>
          <w:sz w:val="22"/>
          <w:szCs w:val="22"/>
        </w:rPr>
      </w:pPr>
    </w:p>
    <w:p w:rsidR="00052B62" w:rsidRDefault="00052B62" w:rsidP="00E13AD1">
      <w:pPr>
        <w:rPr>
          <w:b/>
          <w:bCs/>
          <w:sz w:val="22"/>
          <w:szCs w:val="22"/>
        </w:rPr>
      </w:pPr>
    </w:p>
    <w:p w:rsidR="00052B62" w:rsidRDefault="00052B62" w:rsidP="00E13AD1">
      <w:pPr>
        <w:rPr>
          <w:b/>
          <w:bCs/>
          <w:sz w:val="22"/>
          <w:szCs w:val="22"/>
        </w:rPr>
      </w:pPr>
    </w:p>
    <w:p w:rsidR="00052B62" w:rsidRDefault="00052B62" w:rsidP="00E13AD1">
      <w:pPr>
        <w:rPr>
          <w:b/>
          <w:bCs/>
          <w:sz w:val="22"/>
          <w:szCs w:val="22"/>
        </w:rPr>
      </w:pPr>
    </w:p>
    <w:p w:rsidR="001C4AD5" w:rsidRDefault="001C4AD5" w:rsidP="00DD4D9A">
      <w:pPr>
        <w:pStyle w:val="ListParagraph1"/>
        <w:ind w:left="0"/>
        <w:jc w:val="center"/>
        <w:rPr>
          <w:b/>
          <w:sz w:val="52"/>
          <w:szCs w:val="52"/>
        </w:rPr>
      </w:pPr>
    </w:p>
    <w:p w:rsidR="001C4AD5" w:rsidRDefault="001C4AD5" w:rsidP="00DD4D9A">
      <w:pPr>
        <w:pStyle w:val="ListParagraph1"/>
        <w:ind w:left="0"/>
        <w:jc w:val="center"/>
        <w:rPr>
          <w:b/>
          <w:sz w:val="52"/>
          <w:szCs w:val="52"/>
        </w:rPr>
      </w:pPr>
    </w:p>
    <w:p w:rsidR="001C4AD5" w:rsidRDefault="001C4AD5" w:rsidP="00DD4D9A">
      <w:pPr>
        <w:pStyle w:val="ListParagraph1"/>
        <w:ind w:left="0"/>
        <w:jc w:val="center"/>
        <w:rPr>
          <w:b/>
          <w:sz w:val="52"/>
          <w:szCs w:val="52"/>
        </w:rPr>
      </w:pPr>
    </w:p>
    <w:p w:rsidR="00240624" w:rsidRPr="00240624" w:rsidRDefault="00240624" w:rsidP="00240624">
      <w:pPr>
        <w:pStyle w:val="ListParagraph1"/>
        <w:ind w:left="0"/>
        <w:jc w:val="center"/>
        <w:rPr>
          <w:rStyle w:val="Textoennegrita"/>
          <w:rFonts w:ascii="Frutiger" w:hAnsi="Frutiger"/>
          <w:sz w:val="52"/>
          <w:szCs w:val="52"/>
        </w:rPr>
      </w:pPr>
      <w:r w:rsidRPr="00240624">
        <w:rPr>
          <w:rFonts w:ascii="Frutiger" w:hAnsi="Frutiger"/>
          <w:b/>
          <w:sz w:val="52"/>
          <w:szCs w:val="52"/>
        </w:rPr>
        <w:t xml:space="preserve">MEMORIA </w:t>
      </w:r>
    </w:p>
    <w:p w:rsidR="001C4AD5" w:rsidRDefault="001C4AD5" w:rsidP="00DD4D9A">
      <w:pPr>
        <w:pStyle w:val="ListParagraph1"/>
        <w:ind w:left="0"/>
        <w:jc w:val="center"/>
        <w:rPr>
          <w:b/>
          <w:sz w:val="52"/>
          <w:szCs w:val="52"/>
        </w:rPr>
      </w:pPr>
    </w:p>
    <w:p w:rsidR="00204019" w:rsidRDefault="00204019" w:rsidP="00DD4D9A">
      <w:pPr>
        <w:pStyle w:val="ListParagraph1"/>
        <w:ind w:left="0"/>
        <w:jc w:val="center"/>
        <w:rPr>
          <w:b/>
          <w:sz w:val="52"/>
          <w:szCs w:val="52"/>
        </w:rPr>
      </w:pPr>
    </w:p>
    <w:p w:rsidR="00204019" w:rsidRDefault="00204019" w:rsidP="00DD4D9A">
      <w:pPr>
        <w:pStyle w:val="ListParagraph1"/>
        <w:ind w:left="0"/>
        <w:jc w:val="center"/>
        <w:rPr>
          <w:b/>
          <w:sz w:val="52"/>
          <w:szCs w:val="52"/>
        </w:rPr>
      </w:pPr>
    </w:p>
    <w:p w:rsidR="001C4AD5" w:rsidRDefault="001C4AD5" w:rsidP="00DD4D9A">
      <w:pPr>
        <w:pStyle w:val="ListParagraph1"/>
        <w:ind w:left="0"/>
        <w:jc w:val="center"/>
        <w:rPr>
          <w:b/>
          <w:sz w:val="52"/>
          <w:szCs w:val="52"/>
        </w:rPr>
      </w:pPr>
    </w:p>
    <w:p w:rsidR="00DD4D9A" w:rsidRDefault="00DD4D9A" w:rsidP="00DD4D9A">
      <w:pPr>
        <w:pStyle w:val="ListParagraph1"/>
        <w:ind w:left="0"/>
        <w:jc w:val="center"/>
        <w:rPr>
          <w:b/>
          <w:sz w:val="52"/>
          <w:szCs w:val="52"/>
        </w:rPr>
      </w:pPr>
    </w:p>
    <w:p w:rsidR="002C4355" w:rsidRPr="006434D6" w:rsidRDefault="003B33B5" w:rsidP="008D4ADA">
      <w:pPr>
        <w:pStyle w:val="ListParagraph1"/>
        <w:ind w:left="0"/>
        <w:rPr>
          <w:rFonts w:ascii="NewBaskerville" w:hAnsi="NewBaskerville"/>
          <w:b/>
          <w:sz w:val="24"/>
          <w:szCs w:val="24"/>
        </w:rPr>
      </w:pPr>
      <w:r>
        <w:rPr>
          <w:b/>
          <w:sz w:val="52"/>
          <w:szCs w:val="52"/>
        </w:rPr>
        <w:br w:type="page"/>
      </w:r>
      <w:r w:rsidR="00385F74" w:rsidRPr="006434D6">
        <w:rPr>
          <w:rFonts w:ascii="NewBaskerville" w:hAnsi="NewBaskerville"/>
          <w:b/>
          <w:bCs/>
          <w:sz w:val="24"/>
          <w:szCs w:val="24"/>
        </w:rPr>
        <w:lastRenderedPageBreak/>
        <w:t xml:space="preserve">1. </w:t>
      </w:r>
      <w:r w:rsidR="002C4355" w:rsidRPr="006434D6">
        <w:rPr>
          <w:rFonts w:ascii="NewBaskerville" w:hAnsi="NewBaskerville"/>
          <w:b/>
          <w:bCs/>
          <w:sz w:val="24"/>
          <w:szCs w:val="24"/>
        </w:rPr>
        <w:t>Actividad de la entidad</w:t>
      </w:r>
    </w:p>
    <w:p w:rsidR="002C4355" w:rsidRPr="00D31592" w:rsidRDefault="002C4355">
      <w:pPr>
        <w:jc w:val="both"/>
        <w:rPr>
          <w:b/>
        </w:rPr>
      </w:pPr>
    </w:p>
    <w:p w:rsidR="002C4355" w:rsidRPr="006434D6" w:rsidRDefault="00441BF1" w:rsidP="006434D6">
      <w:pPr>
        <w:ind w:firstLine="567"/>
        <w:jc w:val="both"/>
        <w:rPr>
          <w:rFonts w:ascii="NewBaskerville" w:hAnsi="NewBaskerville"/>
        </w:rPr>
      </w:pPr>
      <w:r w:rsidRPr="006434D6">
        <w:rPr>
          <w:rFonts w:ascii="NewBaskerville" w:hAnsi="NewBaskerville"/>
        </w:rPr>
        <w:t>La Autoridad</w:t>
      </w:r>
      <w:r w:rsidR="00E104CB" w:rsidRPr="006434D6">
        <w:rPr>
          <w:rFonts w:ascii="NewBaskerville" w:hAnsi="NewBaskerville"/>
        </w:rPr>
        <w:t xml:space="preserve"> Portuaria</w:t>
      </w:r>
      <w:r w:rsidRPr="006434D6">
        <w:rPr>
          <w:rFonts w:ascii="NewBaskerville" w:hAnsi="NewBaskerville"/>
        </w:rPr>
        <w:t xml:space="preserve"> de Baleares</w:t>
      </w:r>
      <w:r w:rsidR="00E36D30">
        <w:rPr>
          <w:rFonts w:ascii="NewBaskerville" w:hAnsi="NewBaskerville"/>
        </w:rPr>
        <w:t xml:space="preserve"> (en adelante APB o la Entidad)</w:t>
      </w:r>
      <w:r w:rsidRPr="006434D6">
        <w:rPr>
          <w:rFonts w:ascii="NewBaskerville" w:hAnsi="NewBaskerville"/>
        </w:rPr>
        <w:t xml:space="preserve"> es un organismo</w:t>
      </w:r>
      <w:r w:rsidR="00E104CB" w:rsidRPr="006434D6">
        <w:rPr>
          <w:rFonts w:ascii="NewBaskerville" w:hAnsi="NewBaskerville"/>
        </w:rPr>
        <w:t xml:space="preserve"> público</w:t>
      </w:r>
      <w:r w:rsidRPr="006434D6">
        <w:rPr>
          <w:rFonts w:ascii="NewBaskerville" w:hAnsi="NewBaskerville"/>
        </w:rPr>
        <w:t xml:space="preserve"> de los previstos en la letra i) del apartado 2</w:t>
      </w:r>
      <w:r w:rsidR="00E104CB" w:rsidRPr="006434D6">
        <w:rPr>
          <w:rFonts w:ascii="NewBaskerville" w:hAnsi="NewBaskerville"/>
        </w:rPr>
        <w:t xml:space="preserve"> del artículo 2 de la Ley General Presupuestaria, con personalidad jurídica y patrimonio propios, así como plena capacidad de obrar; de</w:t>
      </w:r>
      <w:r w:rsidRPr="006434D6">
        <w:rPr>
          <w:rFonts w:ascii="NewBaskerville" w:hAnsi="NewBaskerville"/>
        </w:rPr>
        <w:t>penden del Ministerio de Transportes</w:t>
      </w:r>
      <w:r w:rsidR="0018037A">
        <w:rPr>
          <w:rFonts w:ascii="NewBaskerville" w:hAnsi="NewBaskerville"/>
        </w:rPr>
        <w:t xml:space="preserve"> y</w:t>
      </w:r>
      <w:r w:rsidRPr="006434D6">
        <w:rPr>
          <w:rFonts w:ascii="NewBaskerville" w:hAnsi="NewBaskerville"/>
        </w:rPr>
        <w:t xml:space="preserve"> Movilidad</w:t>
      </w:r>
      <w:r w:rsidR="0018037A">
        <w:rPr>
          <w:rFonts w:ascii="NewBaskerville" w:hAnsi="NewBaskerville"/>
        </w:rPr>
        <w:t xml:space="preserve"> Sostenible</w:t>
      </w:r>
      <w:r w:rsidR="00E104CB" w:rsidRPr="006434D6">
        <w:rPr>
          <w:rFonts w:ascii="NewBaskerville" w:hAnsi="NewBaskerville"/>
        </w:rPr>
        <w:t>, a través d</w:t>
      </w:r>
      <w:r w:rsidR="00B237A6" w:rsidRPr="006434D6">
        <w:rPr>
          <w:rFonts w:ascii="NewBaskerville" w:hAnsi="NewBaskerville"/>
        </w:rPr>
        <w:t>e Puertos del Estado; y se rige</w:t>
      </w:r>
      <w:r w:rsidR="00E104CB" w:rsidRPr="006434D6">
        <w:rPr>
          <w:rFonts w:ascii="NewBaskerville" w:hAnsi="NewBaskerville"/>
        </w:rPr>
        <w:t xml:space="preserve"> por su legislación específica, por las disposiciones de la Ley General Presupuestaria que les sean de aplicación y, supletoriamente, por la Ley 40/2015, de 1 de octubre, de Régimen Jurídico del Sector Público (D.A. 12ª, en relación con la DD Única de la Ley 40/2015)</w:t>
      </w:r>
      <w:r w:rsidR="00094725" w:rsidRPr="006434D6">
        <w:rPr>
          <w:rFonts w:ascii="NewBaskerville" w:hAnsi="NewBaskerville"/>
        </w:rPr>
        <w:t xml:space="preserve"> y por la Ley 39/2015, de 1 de octubre del Procedimiento Administrativo Común de las Administraciones Públicas</w:t>
      </w:r>
      <w:r w:rsidR="00E104CB" w:rsidRPr="006434D6">
        <w:rPr>
          <w:rFonts w:ascii="NewBaskerville" w:hAnsi="NewBaskerville"/>
        </w:rPr>
        <w:t>.</w:t>
      </w:r>
    </w:p>
    <w:p w:rsidR="002C4355" w:rsidRPr="006434D6" w:rsidRDefault="002C4355" w:rsidP="006434D6">
      <w:pPr>
        <w:ind w:firstLine="568"/>
        <w:jc w:val="both"/>
        <w:rPr>
          <w:rFonts w:ascii="NewBaskerville" w:hAnsi="NewBaskerville"/>
        </w:rPr>
      </w:pPr>
    </w:p>
    <w:p w:rsidR="002C4355" w:rsidRPr="006434D6" w:rsidRDefault="002C4355" w:rsidP="006434D6">
      <w:pPr>
        <w:ind w:firstLine="568"/>
        <w:jc w:val="both"/>
        <w:rPr>
          <w:rFonts w:ascii="NewBaskerville" w:hAnsi="NewBaskerville"/>
        </w:rPr>
      </w:pPr>
      <w:r w:rsidRPr="006434D6">
        <w:rPr>
          <w:rFonts w:ascii="NewBaskerville" w:hAnsi="NewBaskerville"/>
        </w:rPr>
        <w:t>Desarrolla las funciones que</w:t>
      </w:r>
      <w:r w:rsidR="00441BF1" w:rsidRPr="006434D6">
        <w:rPr>
          <w:rFonts w:ascii="NewBaskerville" w:hAnsi="NewBaskerville"/>
        </w:rPr>
        <w:t xml:space="preserve"> </w:t>
      </w:r>
      <w:r w:rsidR="00B237A6" w:rsidRPr="006434D6">
        <w:rPr>
          <w:rFonts w:ascii="NewBaskerville" w:hAnsi="NewBaskerville"/>
        </w:rPr>
        <w:t xml:space="preserve">le asigna </w:t>
      </w:r>
      <w:r w:rsidR="00441BF1" w:rsidRPr="006434D6">
        <w:rPr>
          <w:rFonts w:ascii="NewBaskerville" w:hAnsi="NewBaskerville"/>
        </w:rPr>
        <w:t>el Texto Refu</w:t>
      </w:r>
      <w:r w:rsidR="00557CEE" w:rsidRPr="006434D6">
        <w:rPr>
          <w:rFonts w:ascii="NewBaskerville" w:hAnsi="NewBaskerville"/>
        </w:rPr>
        <w:t>ndido de la Ley de Puertos del E</w:t>
      </w:r>
      <w:r w:rsidR="00B237A6" w:rsidRPr="006434D6">
        <w:rPr>
          <w:rFonts w:ascii="NewBaskerville" w:hAnsi="NewBaskerville"/>
        </w:rPr>
        <w:t>stado y de la Marina Mercante (en adelante TRLPEMM)</w:t>
      </w:r>
      <w:r w:rsidR="00441BF1" w:rsidRPr="006434D6">
        <w:rPr>
          <w:rFonts w:ascii="NewBaskerville" w:hAnsi="NewBaskerville"/>
        </w:rPr>
        <w:t xml:space="preserve"> aprobado por el Real Decreto Legislativo</w:t>
      </w:r>
      <w:r w:rsidR="0024168D" w:rsidRPr="006434D6">
        <w:rPr>
          <w:rFonts w:ascii="NewBaskerville" w:hAnsi="NewBaskerville"/>
        </w:rPr>
        <w:t xml:space="preserve"> 2/2011, de 5 de setiembre, </w:t>
      </w:r>
      <w:r w:rsidRPr="006434D6">
        <w:rPr>
          <w:rFonts w:ascii="NewBaskerville" w:hAnsi="NewBaskerville"/>
        </w:rPr>
        <w:t>bajo el principio general de autonomía funcional y de gestión.</w:t>
      </w:r>
    </w:p>
    <w:p w:rsidR="002C4355" w:rsidRPr="006434D6" w:rsidRDefault="002C4355" w:rsidP="006434D6">
      <w:pPr>
        <w:ind w:firstLine="568"/>
        <w:jc w:val="both"/>
        <w:rPr>
          <w:rFonts w:ascii="NewBaskerville" w:hAnsi="NewBaskerville"/>
        </w:rPr>
      </w:pPr>
    </w:p>
    <w:p w:rsidR="002C4355" w:rsidRPr="006434D6" w:rsidRDefault="002C4355" w:rsidP="006434D6">
      <w:pPr>
        <w:ind w:firstLine="568"/>
        <w:jc w:val="both"/>
        <w:rPr>
          <w:rFonts w:ascii="NewBaskerville" w:hAnsi="NewBaskerville"/>
        </w:rPr>
      </w:pPr>
      <w:r w:rsidRPr="006434D6">
        <w:rPr>
          <w:rFonts w:ascii="NewBaskerville" w:hAnsi="NewBaskerville"/>
        </w:rPr>
        <w:t xml:space="preserve">La Autoridad Portuaria tiene </w:t>
      </w:r>
      <w:r w:rsidR="00933882">
        <w:rPr>
          <w:rFonts w:ascii="NewBaskerville" w:hAnsi="NewBaskerville"/>
        </w:rPr>
        <w:t>las siguientes competencias</w:t>
      </w:r>
      <w:r w:rsidRPr="006434D6">
        <w:rPr>
          <w:rFonts w:ascii="NewBaskerville" w:hAnsi="NewBaskerville"/>
        </w:rPr>
        <w:t>:</w:t>
      </w:r>
    </w:p>
    <w:p w:rsidR="002C4355" w:rsidRPr="006434D6" w:rsidRDefault="006C4F76" w:rsidP="006434D6">
      <w:pPr>
        <w:numPr>
          <w:ilvl w:val="0"/>
          <w:numId w:val="1"/>
        </w:numPr>
        <w:ind w:left="851" w:hanging="284"/>
        <w:jc w:val="both"/>
        <w:rPr>
          <w:rFonts w:ascii="NewBaskerville" w:hAnsi="NewBaskerville"/>
        </w:rPr>
      </w:pPr>
      <w:r>
        <w:rPr>
          <w:rFonts w:ascii="NewBaskerville" w:hAnsi="NewBaskerville"/>
        </w:rPr>
        <w:t>La prestación de los servicios generales, así como la gestión y control de los servicios portuarios para lograr que se desarrollen en condiciones óptimas de eficacia, economía, productividad y seguridad, sin perjuicio de la competencia de otros organismos.</w:t>
      </w:r>
    </w:p>
    <w:p w:rsidR="002C4355" w:rsidRPr="006434D6" w:rsidRDefault="002C4355" w:rsidP="006434D6">
      <w:pPr>
        <w:numPr>
          <w:ilvl w:val="0"/>
          <w:numId w:val="1"/>
        </w:numPr>
        <w:ind w:left="851" w:hanging="284"/>
        <w:jc w:val="both"/>
        <w:rPr>
          <w:rFonts w:ascii="NewBaskerville" w:hAnsi="NewBaskerville"/>
        </w:rPr>
      </w:pPr>
      <w:r w:rsidRPr="006434D6">
        <w:rPr>
          <w:rFonts w:ascii="NewBaskerville" w:hAnsi="NewBaskerville"/>
        </w:rPr>
        <w:t xml:space="preserve">La ordenación de la zona de servicio del puerto y de los usos portuarios, en coordinación con las Administraciones </w:t>
      </w:r>
      <w:r w:rsidR="003F24D6" w:rsidRPr="006434D6">
        <w:rPr>
          <w:rFonts w:ascii="NewBaskerville" w:hAnsi="NewBaskerville"/>
        </w:rPr>
        <w:t>competentes</w:t>
      </w:r>
      <w:r w:rsidR="003F24D6">
        <w:rPr>
          <w:rFonts w:ascii="NewBaskerville" w:hAnsi="NewBaskerville"/>
        </w:rPr>
        <w:t xml:space="preserve"> en</w:t>
      </w:r>
      <w:r w:rsidR="001807BF">
        <w:rPr>
          <w:rFonts w:ascii="NewBaskerville" w:hAnsi="NewBaskerville"/>
        </w:rPr>
        <w:t xml:space="preserve"> materia de ordenación de</w:t>
      </w:r>
      <w:r w:rsidR="00CA0A4C">
        <w:rPr>
          <w:rFonts w:ascii="NewBaskerville" w:hAnsi="NewBaskerville"/>
        </w:rPr>
        <w:t>l</w:t>
      </w:r>
      <w:r w:rsidR="001807BF">
        <w:rPr>
          <w:rFonts w:ascii="NewBaskerville" w:hAnsi="NewBaskerville"/>
        </w:rPr>
        <w:t xml:space="preserve"> territorio y urbanismo</w:t>
      </w:r>
      <w:r w:rsidRPr="006434D6">
        <w:rPr>
          <w:rFonts w:ascii="NewBaskerville" w:hAnsi="NewBaskerville"/>
        </w:rPr>
        <w:t>.</w:t>
      </w:r>
    </w:p>
    <w:p w:rsidR="002C4355" w:rsidRPr="006434D6" w:rsidRDefault="002C4355" w:rsidP="006434D6">
      <w:pPr>
        <w:numPr>
          <w:ilvl w:val="0"/>
          <w:numId w:val="1"/>
        </w:numPr>
        <w:ind w:left="851" w:hanging="284"/>
        <w:jc w:val="both"/>
        <w:rPr>
          <w:rFonts w:ascii="NewBaskerville" w:hAnsi="NewBaskerville"/>
        </w:rPr>
      </w:pPr>
      <w:r w:rsidRPr="006434D6">
        <w:rPr>
          <w:rFonts w:ascii="NewBaskerville" w:hAnsi="NewBaskerville"/>
        </w:rPr>
        <w:t xml:space="preserve">La planificación, proyecto, construcción, conservación y explotación de las obras y servicios del puerto y de las </w:t>
      </w:r>
      <w:r w:rsidR="00072E45" w:rsidRPr="006434D6">
        <w:rPr>
          <w:rFonts w:ascii="NewBaskerville" w:hAnsi="NewBaskerville"/>
        </w:rPr>
        <w:t>s</w:t>
      </w:r>
      <w:r w:rsidRPr="006434D6">
        <w:rPr>
          <w:rFonts w:ascii="NewBaskerville" w:hAnsi="NewBaskerville"/>
        </w:rPr>
        <w:t xml:space="preserve">eñales </w:t>
      </w:r>
      <w:r w:rsidR="00072E45" w:rsidRPr="006434D6">
        <w:rPr>
          <w:rFonts w:ascii="NewBaskerville" w:hAnsi="NewBaskerville"/>
        </w:rPr>
        <w:t>m</w:t>
      </w:r>
      <w:r w:rsidRPr="006434D6">
        <w:rPr>
          <w:rFonts w:ascii="NewBaskerville" w:hAnsi="NewBaskerville"/>
        </w:rPr>
        <w:t>a</w:t>
      </w:r>
      <w:r w:rsidR="00CA0A4C">
        <w:rPr>
          <w:rFonts w:ascii="NewBaskerville" w:hAnsi="NewBaskerville"/>
        </w:rPr>
        <w:t>rítimas que tenga encomendadas, con sujeción a lo establecido en el TRLPEMM.</w:t>
      </w:r>
    </w:p>
    <w:p w:rsidR="002C4355" w:rsidRPr="006434D6" w:rsidRDefault="002C4355" w:rsidP="006434D6">
      <w:pPr>
        <w:numPr>
          <w:ilvl w:val="0"/>
          <w:numId w:val="1"/>
        </w:numPr>
        <w:ind w:left="851" w:hanging="284"/>
        <w:jc w:val="both"/>
        <w:rPr>
          <w:rFonts w:ascii="NewBaskerville" w:hAnsi="NewBaskerville"/>
        </w:rPr>
      </w:pPr>
      <w:r w:rsidRPr="006434D6">
        <w:rPr>
          <w:rFonts w:ascii="NewBaskerville" w:hAnsi="NewBaskerville"/>
        </w:rPr>
        <w:t xml:space="preserve">La gestión del dominio público portuario y </w:t>
      </w:r>
      <w:r w:rsidR="00CA0A4C">
        <w:rPr>
          <w:rFonts w:ascii="NewBaskerville" w:hAnsi="NewBaskerville"/>
        </w:rPr>
        <w:t>de señales marítimas que le sea</w:t>
      </w:r>
      <w:r w:rsidRPr="006434D6">
        <w:rPr>
          <w:rFonts w:ascii="NewBaskerville" w:hAnsi="NewBaskerville"/>
        </w:rPr>
        <w:t xml:space="preserve"> adscrit</w:t>
      </w:r>
      <w:r w:rsidR="00CA0A4C">
        <w:rPr>
          <w:rFonts w:ascii="NewBaskerville" w:hAnsi="NewBaskerville"/>
        </w:rPr>
        <w:t>o</w:t>
      </w:r>
      <w:r w:rsidRPr="006434D6">
        <w:rPr>
          <w:rFonts w:ascii="NewBaskerville" w:hAnsi="NewBaskerville"/>
        </w:rPr>
        <w:t>.</w:t>
      </w:r>
    </w:p>
    <w:p w:rsidR="002C4355" w:rsidRPr="006434D6" w:rsidRDefault="002C4355" w:rsidP="006434D6">
      <w:pPr>
        <w:numPr>
          <w:ilvl w:val="0"/>
          <w:numId w:val="1"/>
        </w:numPr>
        <w:ind w:left="851" w:hanging="284"/>
        <w:jc w:val="both"/>
        <w:rPr>
          <w:rFonts w:ascii="NewBaskerville" w:hAnsi="NewBaskerville"/>
        </w:rPr>
      </w:pPr>
      <w:r w:rsidRPr="006434D6">
        <w:rPr>
          <w:rFonts w:ascii="NewBaskerville" w:hAnsi="NewBaskerville"/>
        </w:rPr>
        <w:t>La optimización de la gestión económica y la rentabilización del patrimonio y de los recursos que tenga asignados.</w:t>
      </w:r>
    </w:p>
    <w:p w:rsidR="002C4355" w:rsidRPr="006434D6" w:rsidRDefault="002C4355" w:rsidP="006434D6">
      <w:pPr>
        <w:numPr>
          <w:ilvl w:val="0"/>
          <w:numId w:val="1"/>
        </w:numPr>
        <w:ind w:left="851" w:hanging="284"/>
        <w:jc w:val="both"/>
        <w:rPr>
          <w:rFonts w:ascii="NewBaskerville" w:hAnsi="NewBaskerville"/>
        </w:rPr>
      </w:pPr>
      <w:r w:rsidRPr="006434D6">
        <w:rPr>
          <w:rFonts w:ascii="NewBaskerville" w:hAnsi="NewBaskerville"/>
        </w:rPr>
        <w:t>El fomento de las actividades industriales y comerciales relacionadas con el tráfico marítimo o portuario.</w:t>
      </w:r>
    </w:p>
    <w:p w:rsidR="002C4355" w:rsidRDefault="002C4355" w:rsidP="006434D6">
      <w:pPr>
        <w:numPr>
          <w:ilvl w:val="0"/>
          <w:numId w:val="1"/>
        </w:numPr>
        <w:ind w:left="851" w:hanging="284"/>
        <w:jc w:val="both"/>
        <w:rPr>
          <w:rFonts w:ascii="NewBaskerville" w:hAnsi="NewBaskerville"/>
        </w:rPr>
      </w:pPr>
      <w:r w:rsidRPr="006434D6">
        <w:rPr>
          <w:rFonts w:ascii="NewBaskerville" w:hAnsi="NewBaskerville"/>
        </w:rPr>
        <w:t>La coordinación de las operaciones de los distintos modos de transporte en el espacio portuario.</w:t>
      </w:r>
    </w:p>
    <w:p w:rsidR="006C4F76" w:rsidRPr="006434D6" w:rsidRDefault="006C4F76" w:rsidP="006434D6">
      <w:pPr>
        <w:numPr>
          <w:ilvl w:val="0"/>
          <w:numId w:val="1"/>
        </w:numPr>
        <w:ind w:left="851" w:hanging="284"/>
        <w:jc w:val="both"/>
        <w:rPr>
          <w:rFonts w:ascii="NewBaskerville" w:hAnsi="NewBaskerville"/>
        </w:rPr>
      </w:pPr>
      <w:r>
        <w:rPr>
          <w:rFonts w:ascii="NewBaskerville" w:hAnsi="NewBaskerville"/>
        </w:rPr>
        <w:t>La ordenación y coordinación del tráfico portuario, tanto marítimo como terrestre.</w:t>
      </w:r>
    </w:p>
    <w:p w:rsidR="00385F74" w:rsidRPr="006434D6" w:rsidRDefault="00385F74" w:rsidP="006434D6">
      <w:pPr>
        <w:ind w:firstLine="567"/>
        <w:jc w:val="both"/>
        <w:rPr>
          <w:rFonts w:ascii="NewBaskerville" w:hAnsi="NewBaskerville"/>
        </w:rPr>
      </w:pPr>
    </w:p>
    <w:p w:rsidR="002C4355" w:rsidRPr="006434D6" w:rsidRDefault="002C4355" w:rsidP="006434D6">
      <w:pPr>
        <w:ind w:firstLine="567"/>
        <w:jc w:val="both"/>
        <w:rPr>
          <w:rFonts w:ascii="NewBaskerville" w:hAnsi="NewBaskerville"/>
        </w:rPr>
      </w:pPr>
      <w:r w:rsidRPr="006434D6">
        <w:rPr>
          <w:rFonts w:ascii="NewBaskerville" w:hAnsi="NewBaskerville"/>
        </w:rPr>
        <w:t xml:space="preserve">La Autoridad Portuaria está regida por un Consejo de Administración cuyas competencias y composición están establecidas en el artículo </w:t>
      </w:r>
      <w:r w:rsidR="00B237A6" w:rsidRPr="006434D6">
        <w:rPr>
          <w:rFonts w:ascii="NewBaskerville" w:hAnsi="NewBaskerville"/>
        </w:rPr>
        <w:t>30 del T</w:t>
      </w:r>
      <w:r w:rsidR="00DF4480" w:rsidRPr="006434D6">
        <w:rPr>
          <w:rFonts w:ascii="NewBaskerville" w:hAnsi="NewBaskerville"/>
        </w:rPr>
        <w:t>R</w:t>
      </w:r>
      <w:r w:rsidR="0052117A" w:rsidRPr="006434D6">
        <w:rPr>
          <w:rFonts w:ascii="NewBaskerville" w:hAnsi="NewBaskerville"/>
        </w:rPr>
        <w:t>LPE</w:t>
      </w:r>
      <w:r w:rsidR="00072E45" w:rsidRPr="006434D6">
        <w:rPr>
          <w:rFonts w:ascii="NewBaskerville" w:hAnsi="NewBaskerville"/>
        </w:rPr>
        <w:t>MM</w:t>
      </w:r>
      <w:r w:rsidRPr="006434D6">
        <w:rPr>
          <w:rFonts w:ascii="NewBaskerville" w:hAnsi="NewBaskerville"/>
        </w:rPr>
        <w:t>.</w:t>
      </w:r>
    </w:p>
    <w:p w:rsidR="002C4355" w:rsidRPr="006434D6" w:rsidRDefault="002C4355" w:rsidP="006434D6">
      <w:pPr>
        <w:ind w:firstLine="567"/>
        <w:jc w:val="both"/>
        <w:rPr>
          <w:rFonts w:ascii="NewBaskerville" w:hAnsi="NewBaskerville"/>
        </w:rPr>
      </w:pPr>
    </w:p>
    <w:p w:rsidR="002C4355" w:rsidRPr="006434D6" w:rsidRDefault="002C4355" w:rsidP="006434D6">
      <w:pPr>
        <w:ind w:firstLine="567"/>
        <w:jc w:val="both"/>
        <w:rPr>
          <w:rFonts w:ascii="NewBaskerville" w:hAnsi="NewBaskerville"/>
        </w:rPr>
      </w:pPr>
      <w:r w:rsidRPr="006434D6">
        <w:rPr>
          <w:rFonts w:ascii="NewBaskerville" w:hAnsi="NewBaskerville"/>
        </w:rPr>
        <w:t xml:space="preserve">La APB comprende los puertos de Palma, </w:t>
      </w:r>
      <w:proofErr w:type="spellStart"/>
      <w:r w:rsidR="00866F3D">
        <w:rPr>
          <w:rFonts w:ascii="NewBaskerville" w:hAnsi="NewBaskerville"/>
        </w:rPr>
        <w:t>Maó</w:t>
      </w:r>
      <w:proofErr w:type="spellEnd"/>
      <w:r w:rsidR="00866F3D">
        <w:rPr>
          <w:rFonts w:ascii="NewBaskerville" w:hAnsi="NewBaskerville"/>
        </w:rPr>
        <w:t>-</w:t>
      </w:r>
      <w:r w:rsidRPr="006434D6">
        <w:rPr>
          <w:rFonts w:ascii="NewBaskerville" w:hAnsi="NewBaskerville"/>
        </w:rPr>
        <w:t>Mahón,</w:t>
      </w:r>
      <w:r w:rsidR="00866F3D">
        <w:rPr>
          <w:rFonts w:ascii="NewBaskerville" w:hAnsi="NewBaskerville"/>
        </w:rPr>
        <w:t xml:space="preserve"> </w:t>
      </w:r>
      <w:proofErr w:type="spellStart"/>
      <w:r w:rsidR="00866F3D">
        <w:rPr>
          <w:rFonts w:ascii="NewBaskerville" w:hAnsi="NewBaskerville"/>
        </w:rPr>
        <w:t>Eivissa</w:t>
      </w:r>
      <w:proofErr w:type="spellEnd"/>
      <w:r w:rsidR="00866F3D">
        <w:rPr>
          <w:rFonts w:ascii="NewBaskerville" w:hAnsi="NewBaskerville"/>
        </w:rPr>
        <w:t>-</w:t>
      </w:r>
      <w:r w:rsidRPr="006434D6">
        <w:rPr>
          <w:rFonts w:ascii="NewBaskerville" w:hAnsi="NewBaskerville"/>
        </w:rPr>
        <w:t>Ibi</w:t>
      </w:r>
      <w:r w:rsidR="00866F3D">
        <w:rPr>
          <w:rFonts w:ascii="NewBaskerville" w:hAnsi="NewBaskerville"/>
        </w:rPr>
        <w:t xml:space="preserve">za, la </w:t>
      </w:r>
      <w:proofErr w:type="spellStart"/>
      <w:r w:rsidR="00866F3D">
        <w:rPr>
          <w:rFonts w:ascii="NewBaskerville" w:hAnsi="NewBaskerville"/>
        </w:rPr>
        <w:t>Savina</w:t>
      </w:r>
      <w:proofErr w:type="spellEnd"/>
      <w:r w:rsidR="00866F3D">
        <w:rPr>
          <w:rFonts w:ascii="NewBaskerville" w:hAnsi="NewBaskerville"/>
        </w:rPr>
        <w:t xml:space="preserve"> y </w:t>
      </w:r>
      <w:proofErr w:type="spellStart"/>
      <w:r w:rsidR="00866F3D">
        <w:rPr>
          <w:rFonts w:ascii="NewBaskerville" w:hAnsi="NewBaskerville"/>
        </w:rPr>
        <w:t>Alcú</w:t>
      </w:r>
      <w:r w:rsidRPr="006434D6">
        <w:rPr>
          <w:rFonts w:ascii="NewBaskerville" w:hAnsi="NewBaskerville"/>
        </w:rPr>
        <w:t>dia</w:t>
      </w:r>
      <w:proofErr w:type="spellEnd"/>
      <w:r w:rsidRPr="006434D6">
        <w:rPr>
          <w:rFonts w:ascii="NewBaskerville" w:hAnsi="NewBaskerville"/>
        </w:rPr>
        <w:t>.</w:t>
      </w:r>
    </w:p>
    <w:p w:rsidR="002C4355" w:rsidRPr="006434D6" w:rsidRDefault="002C4355" w:rsidP="006434D6">
      <w:pPr>
        <w:ind w:firstLine="567"/>
        <w:jc w:val="both"/>
        <w:rPr>
          <w:rFonts w:ascii="NewBaskerville" w:hAnsi="NewBaskerville"/>
        </w:rPr>
      </w:pPr>
    </w:p>
    <w:p w:rsidR="007B0DE7" w:rsidRDefault="002C4355" w:rsidP="006434D6">
      <w:pPr>
        <w:pStyle w:val="Sangradetextonormal"/>
        <w:tabs>
          <w:tab w:val="clear" w:pos="8364"/>
        </w:tabs>
        <w:overflowPunct/>
        <w:autoSpaceDE/>
        <w:autoSpaceDN/>
        <w:adjustRightInd/>
        <w:textAlignment w:val="auto"/>
        <w:rPr>
          <w:rFonts w:ascii="NewBaskerville" w:hAnsi="NewBaskerville"/>
          <w:sz w:val="20"/>
        </w:rPr>
      </w:pPr>
      <w:r w:rsidRPr="006434D6">
        <w:rPr>
          <w:rFonts w:ascii="NewBaskerville" w:hAnsi="NewBaskerville"/>
          <w:sz w:val="20"/>
        </w:rPr>
        <w:t xml:space="preserve">Identifica su ejercicio económico con el año natural según lo establecido en </w:t>
      </w:r>
      <w:r w:rsidR="00020B55" w:rsidRPr="006434D6">
        <w:rPr>
          <w:rFonts w:ascii="NewBaskerville" w:hAnsi="NewBaskerville"/>
          <w:sz w:val="20"/>
        </w:rPr>
        <w:t>el artículo 39 del T</w:t>
      </w:r>
      <w:r w:rsidR="00CA0A4C">
        <w:rPr>
          <w:rFonts w:ascii="NewBaskerville" w:hAnsi="NewBaskerville"/>
          <w:sz w:val="20"/>
        </w:rPr>
        <w:t>R</w:t>
      </w:r>
      <w:r w:rsidR="00020B55" w:rsidRPr="006434D6">
        <w:rPr>
          <w:rFonts w:ascii="NewBaskerville" w:hAnsi="NewBaskerville"/>
          <w:sz w:val="20"/>
        </w:rPr>
        <w:t>LPEM</w:t>
      </w:r>
      <w:r w:rsidR="00CA0A4C">
        <w:rPr>
          <w:rFonts w:ascii="NewBaskerville" w:hAnsi="NewBaskerville"/>
          <w:sz w:val="20"/>
        </w:rPr>
        <w:t>M</w:t>
      </w:r>
      <w:r w:rsidR="00020B55" w:rsidRPr="006434D6">
        <w:rPr>
          <w:rFonts w:ascii="NewBaskerville" w:hAnsi="NewBaskerville"/>
          <w:sz w:val="20"/>
        </w:rPr>
        <w:t>.</w:t>
      </w:r>
    </w:p>
    <w:p w:rsidR="006A0154" w:rsidRDefault="006A0154" w:rsidP="006434D6">
      <w:pPr>
        <w:pStyle w:val="Sangradetextonormal"/>
        <w:tabs>
          <w:tab w:val="clear" w:pos="8364"/>
        </w:tabs>
        <w:overflowPunct/>
        <w:autoSpaceDE/>
        <w:autoSpaceDN/>
        <w:adjustRightInd/>
        <w:textAlignment w:val="auto"/>
        <w:rPr>
          <w:rFonts w:ascii="NewBaskerville" w:hAnsi="NewBaskerville"/>
          <w:sz w:val="20"/>
        </w:rPr>
      </w:pPr>
    </w:p>
    <w:p w:rsidR="006A0154" w:rsidRPr="006434D6" w:rsidRDefault="006A0154" w:rsidP="006434D6">
      <w:pPr>
        <w:pStyle w:val="Sangradetextonormal"/>
        <w:tabs>
          <w:tab w:val="clear" w:pos="8364"/>
        </w:tabs>
        <w:overflowPunct/>
        <w:autoSpaceDE/>
        <w:autoSpaceDN/>
        <w:adjustRightInd/>
        <w:textAlignment w:val="auto"/>
        <w:rPr>
          <w:rFonts w:ascii="NewBaskerville" w:hAnsi="NewBaskerville"/>
          <w:sz w:val="20"/>
        </w:rPr>
      </w:pPr>
      <w:r>
        <w:rPr>
          <w:rFonts w:ascii="NewBaskerville" w:hAnsi="NewBaskerville"/>
          <w:sz w:val="20"/>
        </w:rPr>
        <w:t xml:space="preserve">El domicilio social de la APB se encuentra en la calle </w:t>
      </w:r>
      <w:proofErr w:type="spellStart"/>
      <w:r>
        <w:rPr>
          <w:rFonts w:ascii="NewBaskerville" w:hAnsi="NewBaskerville"/>
          <w:sz w:val="20"/>
        </w:rPr>
        <w:t>Moll</w:t>
      </w:r>
      <w:proofErr w:type="spellEnd"/>
      <w:r>
        <w:rPr>
          <w:rFonts w:ascii="NewBaskerville" w:hAnsi="NewBaskerville"/>
          <w:sz w:val="20"/>
        </w:rPr>
        <w:t xml:space="preserve"> </w:t>
      </w:r>
      <w:proofErr w:type="spellStart"/>
      <w:r>
        <w:rPr>
          <w:rFonts w:ascii="NewBaskerville" w:hAnsi="NewBaskerville"/>
          <w:sz w:val="20"/>
        </w:rPr>
        <w:t>Vell</w:t>
      </w:r>
      <w:proofErr w:type="spellEnd"/>
      <w:r>
        <w:rPr>
          <w:rFonts w:ascii="NewBaskerville" w:hAnsi="NewBaskerville"/>
          <w:sz w:val="20"/>
        </w:rPr>
        <w:t>, 3 – 5, 07012 Palma Illes Balears - España.</w:t>
      </w:r>
    </w:p>
    <w:p w:rsidR="003E004A" w:rsidRPr="00072D1A" w:rsidRDefault="003E004A" w:rsidP="007B0DE7">
      <w:pPr>
        <w:pStyle w:val="Sangradetextonormal"/>
        <w:tabs>
          <w:tab w:val="clear" w:pos="8364"/>
        </w:tabs>
        <w:overflowPunct/>
        <w:autoSpaceDE/>
        <w:autoSpaceDN/>
        <w:adjustRightInd/>
        <w:ind w:firstLine="0"/>
        <w:textAlignment w:val="auto"/>
      </w:pPr>
    </w:p>
    <w:p w:rsidR="00396608" w:rsidRDefault="007B0DE7" w:rsidP="00385F74">
      <w:pPr>
        <w:pStyle w:val="ListParagraph1"/>
        <w:ind w:left="0"/>
        <w:rPr>
          <w:b/>
          <w:bCs/>
          <w:sz w:val="24"/>
          <w:szCs w:val="24"/>
        </w:rPr>
      </w:pPr>
      <w:r>
        <w:rPr>
          <w:b/>
          <w:bCs/>
          <w:sz w:val="24"/>
          <w:szCs w:val="24"/>
        </w:rPr>
        <w:br w:type="page"/>
      </w:r>
    </w:p>
    <w:p w:rsidR="00396608" w:rsidRDefault="00396608" w:rsidP="00385F74">
      <w:pPr>
        <w:pStyle w:val="ListParagraph1"/>
        <w:ind w:left="0"/>
        <w:rPr>
          <w:b/>
          <w:bCs/>
          <w:sz w:val="24"/>
          <w:szCs w:val="24"/>
        </w:rPr>
      </w:pPr>
    </w:p>
    <w:p w:rsidR="002C4355" w:rsidRPr="006434D6" w:rsidRDefault="00385F74" w:rsidP="00385F74">
      <w:pPr>
        <w:pStyle w:val="ListParagraph1"/>
        <w:ind w:left="0"/>
        <w:rPr>
          <w:rFonts w:ascii="NewBaskerville" w:hAnsi="NewBaskerville"/>
          <w:b/>
          <w:bCs/>
          <w:sz w:val="24"/>
          <w:szCs w:val="24"/>
        </w:rPr>
      </w:pPr>
      <w:r w:rsidRPr="006434D6">
        <w:rPr>
          <w:rFonts w:ascii="NewBaskerville" w:hAnsi="NewBaskerville"/>
          <w:b/>
          <w:bCs/>
          <w:sz w:val="24"/>
          <w:szCs w:val="24"/>
        </w:rPr>
        <w:t xml:space="preserve">2. </w:t>
      </w:r>
      <w:r w:rsidR="002C4355" w:rsidRPr="006434D6">
        <w:rPr>
          <w:rFonts w:ascii="NewBaskerville" w:hAnsi="NewBaskerville"/>
          <w:b/>
          <w:bCs/>
          <w:sz w:val="24"/>
          <w:szCs w:val="24"/>
        </w:rPr>
        <w:t>Bases de presentación de las cuentas anuales</w:t>
      </w:r>
    </w:p>
    <w:p w:rsidR="002C4355" w:rsidRDefault="002C4355">
      <w:pPr>
        <w:ind w:firstLine="567"/>
        <w:jc w:val="both"/>
      </w:pPr>
    </w:p>
    <w:p w:rsidR="002C4355" w:rsidRPr="006434D6" w:rsidRDefault="00CA0A4C">
      <w:pPr>
        <w:ind w:firstLine="567"/>
        <w:jc w:val="both"/>
        <w:rPr>
          <w:rFonts w:ascii="NewBaskerville" w:hAnsi="NewBaskerville"/>
          <w:b/>
          <w:u w:val="single"/>
        </w:rPr>
      </w:pPr>
      <w:r>
        <w:rPr>
          <w:rFonts w:ascii="NewBaskerville" w:hAnsi="NewBaskerville"/>
        </w:rPr>
        <w:t>En aplicación del</w:t>
      </w:r>
      <w:r w:rsidR="002C4355" w:rsidRPr="006434D6">
        <w:rPr>
          <w:rFonts w:ascii="NewBaskerville" w:hAnsi="NewBaskerville"/>
        </w:rPr>
        <w:t xml:space="preserve"> artículo </w:t>
      </w:r>
      <w:r w:rsidR="00557CEE" w:rsidRPr="006434D6">
        <w:rPr>
          <w:rFonts w:ascii="NewBaskerville" w:hAnsi="NewBaskerville"/>
        </w:rPr>
        <w:t xml:space="preserve">39 del </w:t>
      </w:r>
      <w:r w:rsidR="006F0FC2" w:rsidRPr="006434D6">
        <w:rPr>
          <w:rFonts w:ascii="NewBaskerville" w:hAnsi="NewBaskerville"/>
        </w:rPr>
        <w:t>TRLPEMM</w:t>
      </w:r>
      <w:r w:rsidR="00AC51DF" w:rsidRPr="006434D6">
        <w:rPr>
          <w:rFonts w:ascii="NewBaskerville" w:hAnsi="NewBaskerville"/>
        </w:rPr>
        <w:t xml:space="preserve">,  </w:t>
      </w:r>
      <w:r>
        <w:rPr>
          <w:rFonts w:ascii="NewBaskerville" w:hAnsi="NewBaskerville"/>
        </w:rPr>
        <w:t>la AP</w:t>
      </w:r>
      <w:r w:rsidR="00E36D30">
        <w:rPr>
          <w:rFonts w:ascii="NewBaskerville" w:hAnsi="NewBaskerville"/>
        </w:rPr>
        <w:t>B</w:t>
      </w:r>
      <w:r>
        <w:rPr>
          <w:rFonts w:ascii="NewBaskerville" w:hAnsi="NewBaskerville"/>
        </w:rPr>
        <w:t xml:space="preserve"> ajusta</w:t>
      </w:r>
      <w:r w:rsidR="002C4355" w:rsidRPr="006434D6">
        <w:rPr>
          <w:rFonts w:ascii="NewBaskerville" w:hAnsi="NewBaskerville"/>
        </w:rPr>
        <w:t xml:space="preserve"> su contabilidad a las disposiciones del Código de Comercio, a las del Plan General de Contabilidad y a las demás que sean de aplicación.</w:t>
      </w:r>
    </w:p>
    <w:p w:rsidR="002C4355" w:rsidRPr="00072D1A" w:rsidRDefault="002C4355" w:rsidP="00072D1A">
      <w:pPr>
        <w:ind w:firstLine="567"/>
        <w:jc w:val="both"/>
      </w:pPr>
    </w:p>
    <w:p w:rsidR="002C4355" w:rsidRPr="00A33E43" w:rsidRDefault="002C4355" w:rsidP="00A33E43">
      <w:pPr>
        <w:pStyle w:val="Prrafodelista"/>
        <w:numPr>
          <w:ilvl w:val="0"/>
          <w:numId w:val="44"/>
        </w:numPr>
        <w:jc w:val="both"/>
        <w:rPr>
          <w:rFonts w:ascii="NewBaskerville" w:hAnsi="NewBaskerville"/>
          <w:bCs/>
          <w:u w:val="single"/>
        </w:rPr>
      </w:pPr>
      <w:r w:rsidRPr="00A33E43">
        <w:rPr>
          <w:rFonts w:ascii="NewBaskerville" w:hAnsi="NewBaskerville"/>
          <w:bCs/>
          <w:u w:val="single"/>
        </w:rPr>
        <w:t>Imagen fiel</w:t>
      </w:r>
    </w:p>
    <w:p w:rsidR="002C4355" w:rsidRPr="006434D6" w:rsidRDefault="002C4355" w:rsidP="002C3CB4">
      <w:pPr>
        <w:spacing w:before="100"/>
        <w:ind w:firstLine="568"/>
        <w:jc w:val="both"/>
        <w:rPr>
          <w:rFonts w:ascii="NewBaskerville" w:hAnsi="NewBaskerville"/>
        </w:rPr>
      </w:pPr>
      <w:r w:rsidRPr="006434D6">
        <w:rPr>
          <w:rFonts w:ascii="NewBaskerville" w:hAnsi="NewBaskerville"/>
        </w:rPr>
        <w:t>Las cuentas a</w:t>
      </w:r>
      <w:r w:rsidR="00094725" w:rsidRPr="006434D6">
        <w:rPr>
          <w:rFonts w:ascii="NewBaskerville" w:hAnsi="NewBaskerville"/>
        </w:rPr>
        <w:t>nuales adjuntas se han formulado</w:t>
      </w:r>
      <w:r w:rsidRPr="006434D6">
        <w:rPr>
          <w:rFonts w:ascii="NewBaskerville" w:hAnsi="NewBaskerville"/>
        </w:rPr>
        <w:t xml:space="preserve"> a partir de los registros contables de</w:t>
      </w:r>
      <w:r w:rsidR="00E36D30">
        <w:rPr>
          <w:rFonts w:ascii="NewBaskerville" w:hAnsi="NewBaskerville"/>
        </w:rPr>
        <w:t xml:space="preserve"> </w:t>
      </w:r>
      <w:r w:rsidRPr="006434D6">
        <w:rPr>
          <w:rFonts w:ascii="NewBaskerville" w:hAnsi="NewBaskerville"/>
        </w:rPr>
        <w:t>l</w:t>
      </w:r>
      <w:r w:rsidR="00E36D30">
        <w:rPr>
          <w:rFonts w:ascii="NewBaskerville" w:hAnsi="NewBaskerville"/>
        </w:rPr>
        <w:t>a Entidad</w:t>
      </w:r>
      <w:r w:rsidRPr="006434D6">
        <w:rPr>
          <w:rFonts w:ascii="NewBaskerville" w:hAnsi="NewBaskerville"/>
        </w:rPr>
        <w:t xml:space="preserve"> c</w:t>
      </w:r>
      <w:r w:rsidR="004D36F7" w:rsidRPr="006434D6">
        <w:rPr>
          <w:rFonts w:ascii="NewBaskerville" w:hAnsi="NewBaskerville"/>
        </w:rPr>
        <w:t>errados a 31 d</w:t>
      </w:r>
      <w:r w:rsidR="0020324A" w:rsidRPr="006434D6">
        <w:rPr>
          <w:rFonts w:ascii="NewBaskerville" w:hAnsi="NewBaskerville"/>
        </w:rPr>
        <w:t xml:space="preserve">e </w:t>
      </w:r>
      <w:r w:rsidR="006434D6" w:rsidRPr="006434D6">
        <w:rPr>
          <w:rFonts w:ascii="NewBaskerville" w:hAnsi="NewBaskerville"/>
        </w:rPr>
        <w:t>diciembre de 202</w:t>
      </w:r>
      <w:r w:rsidR="0018037A">
        <w:rPr>
          <w:rFonts w:ascii="NewBaskerville" w:hAnsi="NewBaskerville"/>
        </w:rPr>
        <w:t>3</w:t>
      </w:r>
      <w:r w:rsidRPr="006434D6">
        <w:rPr>
          <w:rFonts w:ascii="NewBaskerville" w:hAnsi="NewBaskerville"/>
        </w:rPr>
        <w:t>, llevados conforme a las disposiciones legales vigentes en materia contable y a las instrucciones dictadas por Puertos del Estado mostrando la imagen fiel del patrimonio, de la situación financiera y de los resultados, así como de la veracidad de los flujos incorporados en el estado de flujos de efectivo.</w:t>
      </w:r>
    </w:p>
    <w:p w:rsidR="007D09F3" w:rsidRPr="006434D6" w:rsidRDefault="007D09F3">
      <w:pPr>
        <w:ind w:firstLine="568"/>
        <w:jc w:val="both"/>
        <w:rPr>
          <w:rFonts w:ascii="NewBaskerville" w:hAnsi="NewBaskerville"/>
        </w:rPr>
      </w:pPr>
    </w:p>
    <w:p w:rsidR="002C4355" w:rsidRPr="006434D6" w:rsidRDefault="002C4355">
      <w:pPr>
        <w:ind w:firstLine="568"/>
        <w:jc w:val="both"/>
        <w:rPr>
          <w:rFonts w:ascii="NewBaskerville" w:hAnsi="NewBaskerville"/>
        </w:rPr>
      </w:pPr>
      <w:r w:rsidRPr="006434D6">
        <w:rPr>
          <w:rFonts w:ascii="NewBaskerville" w:hAnsi="NewBaskerville"/>
        </w:rPr>
        <w:t xml:space="preserve">Las cifras del balance, la cuenta de pérdidas y ganancias, </w:t>
      </w:r>
      <w:r w:rsidR="00866F3D">
        <w:rPr>
          <w:rFonts w:ascii="NewBaskerville" w:hAnsi="NewBaskerville"/>
        </w:rPr>
        <w:t xml:space="preserve">el </w:t>
      </w:r>
      <w:r w:rsidRPr="006434D6">
        <w:rPr>
          <w:rFonts w:ascii="NewBaskerville" w:hAnsi="NewBaskerville"/>
        </w:rPr>
        <w:t xml:space="preserve">estado de cambios en el patrimonio neto, </w:t>
      </w:r>
      <w:r w:rsidR="00866F3D">
        <w:rPr>
          <w:rFonts w:ascii="NewBaskerville" w:hAnsi="NewBaskerville"/>
        </w:rPr>
        <w:t xml:space="preserve">el </w:t>
      </w:r>
      <w:r w:rsidRPr="006434D6">
        <w:rPr>
          <w:rFonts w:ascii="NewBaskerville" w:hAnsi="NewBaskerville"/>
        </w:rPr>
        <w:t>estado de flujos de efectivo y la memoria, se expresan en euros.</w:t>
      </w:r>
    </w:p>
    <w:p w:rsidR="002C4355" w:rsidRPr="006434D6" w:rsidRDefault="002C4355">
      <w:pPr>
        <w:ind w:firstLine="568"/>
        <w:jc w:val="both"/>
        <w:rPr>
          <w:rFonts w:ascii="NewBaskerville" w:hAnsi="NewBaskerville"/>
        </w:rPr>
      </w:pPr>
    </w:p>
    <w:p w:rsidR="002C4355" w:rsidRPr="006434D6" w:rsidRDefault="002C4355">
      <w:pPr>
        <w:ind w:firstLine="568"/>
        <w:jc w:val="both"/>
        <w:rPr>
          <w:rFonts w:ascii="NewBaskerville" w:hAnsi="NewBaskerville"/>
        </w:rPr>
      </w:pPr>
      <w:r w:rsidRPr="006434D6">
        <w:rPr>
          <w:rFonts w:ascii="NewBaskerville" w:hAnsi="NewBaskerville"/>
        </w:rPr>
        <w:t>Estas cuentas anuales han sido formuladas por el Presidente de la Autoridad Portuaria, para su sometimiento a la aprobación del Consejo de Administración, estimándose que serán aprobadas sin ninguna modificación. El estado de flujos de efectivo se ha preparado con el fin de informar verazmente sobre el origen y la utilización de los activos monetarios representativos de efectivo y otros activos líquidos equivalentes de la Entidad.</w:t>
      </w:r>
    </w:p>
    <w:p w:rsidR="002C4355" w:rsidRPr="00817044" w:rsidRDefault="002C4355">
      <w:pPr>
        <w:jc w:val="both"/>
      </w:pPr>
    </w:p>
    <w:p w:rsidR="002C4355" w:rsidRPr="00A33E43" w:rsidRDefault="002C4355" w:rsidP="00A33E43">
      <w:pPr>
        <w:pStyle w:val="Prrafodelista"/>
        <w:numPr>
          <w:ilvl w:val="0"/>
          <w:numId w:val="44"/>
        </w:numPr>
        <w:jc w:val="both"/>
        <w:rPr>
          <w:rFonts w:ascii="NewBaskerville" w:hAnsi="NewBaskerville"/>
          <w:bCs/>
          <w:u w:val="single"/>
        </w:rPr>
      </w:pPr>
      <w:r w:rsidRPr="00A33E43">
        <w:rPr>
          <w:rFonts w:ascii="NewBaskerville" w:hAnsi="NewBaskerville"/>
          <w:bCs/>
          <w:u w:val="single"/>
        </w:rPr>
        <w:t>Principios contables</w:t>
      </w:r>
    </w:p>
    <w:p w:rsidR="002C4355" w:rsidRDefault="002C4355" w:rsidP="002C3CB4">
      <w:pPr>
        <w:spacing w:before="100"/>
        <w:ind w:firstLine="568"/>
        <w:jc w:val="both"/>
        <w:rPr>
          <w:rFonts w:ascii="NewBaskerville" w:hAnsi="NewBaskerville"/>
        </w:rPr>
      </w:pPr>
      <w:r w:rsidRPr="00A33E43">
        <w:rPr>
          <w:rFonts w:ascii="NewBaskerville" w:hAnsi="NewBaskerville"/>
        </w:rPr>
        <w:t>Las c</w:t>
      </w:r>
      <w:r w:rsidR="004D36F7" w:rsidRPr="00A33E43">
        <w:rPr>
          <w:rFonts w:ascii="NewBaskerville" w:hAnsi="NewBaskerville"/>
        </w:rPr>
        <w:t>u</w:t>
      </w:r>
      <w:r w:rsidR="00102226" w:rsidRPr="00A33E43">
        <w:rPr>
          <w:rFonts w:ascii="NewBaskerville" w:hAnsi="NewBaskerville"/>
        </w:rPr>
        <w:t>entas anuales del ejercicio 202</w:t>
      </w:r>
      <w:r w:rsidR="0018037A">
        <w:rPr>
          <w:rFonts w:ascii="NewBaskerville" w:hAnsi="NewBaskerville"/>
        </w:rPr>
        <w:t>3</w:t>
      </w:r>
      <w:r w:rsidR="00FA5F3E" w:rsidRPr="00A33E43">
        <w:rPr>
          <w:rFonts w:ascii="NewBaskerville" w:hAnsi="NewBaskerville"/>
        </w:rPr>
        <w:t xml:space="preserve"> </w:t>
      </w:r>
      <w:r w:rsidRPr="00A33E43">
        <w:rPr>
          <w:rFonts w:ascii="NewBaskerville" w:hAnsi="NewBaskerville"/>
        </w:rPr>
        <w:t>se formulan aplicando el Plan General de Contabilidad aprobado por el Real Decreto 1514/2007, de 16 de noviembre,</w:t>
      </w:r>
      <w:r w:rsidR="006F0FC2" w:rsidRPr="00A33E43">
        <w:rPr>
          <w:rFonts w:ascii="NewBaskerville" w:hAnsi="NewBaskerville"/>
        </w:rPr>
        <w:t xml:space="preserve"> y</w:t>
      </w:r>
      <w:r w:rsidRPr="00A33E43">
        <w:rPr>
          <w:rFonts w:ascii="NewBaskerville" w:hAnsi="NewBaskerville"/>
        </w:rPr>
        <w:t xml:space="preserve"> los </w:t>
      </w:r>
      <w:r w:rsidR="00575642" w:rsidRPr="00A33E43">
        <w:rPr>
          <w:rFonts w:ascii="NewBaskerville" w:hAnsi="NewBaskerville"/>
        </w:rPr>
        <w:t>p</w:t>
      </w:r>
      <w:r w:rsidRPr="00A33E43">
        <w:rPr>
          <w:rFonts w:ascii="NewBaskerville" w:hAnsi="NewBaskerville"/>
        </w:rPr>
        <w:t xml:space="preserve">rincipios </w:t>
      </w:r>
      <w:r w:rsidR="00575642" w:rsidRPr="00A33E43">
        <w:rPr>
          <w:rFonts w:ascii="NewBaskerville" w:hAnsi="NewBaskerville"/>
        </w:rPr>
        <w:t>c</w:t>
      </w:r>
      <w:r w:rsidRPr="00A33E43">
        <w:rPr>
          <w:rFonts w:ascii="NewBaskerville" w:hAnsi="NewBaskerville"/>
        </w:rPr>
        <w:t>ontables obliga</w:t>
      </w:r>
      <w:r w:rsidR="00E07063" w:rsidRPr="00A33E43">
        <w:rPr>
          <w:rFonts w:ascii="NewBaskerville" w:hAnsi="NewBaskerville"/>
        </w:rPr>
        <w:t>torios que en él se establecen y las directrices emitidas por el Ente Público Puertos del Estado.</w:t>
      </w:r>
    </w:p>
    <w:p w:rsidR="00A33E43" w:rsidRPr="00A33E43" w:rsidRDefault="00A33E43" w:rsidP="006010B3">
      <w:pPr>
        <w:ind w:firstLine="568"/>
        <w:jc w:val="both"/>
        <w:rPr>
          <w:rFonts w:ascii="NewBaskerville" w:hAnsi="NewBaskerville"/>
        </w:rPr>
      </w:pPr>
    </w:p>
    <w:p w:rsidR="00A33E43" w:rsidRPr="00DC4334" w:rsidRDefault="00A33E43" w:rsidP="00DC4334">
      <w:pPr>
        <w:pStyle w:val="Prrafodelista"/>
        <w:numPr>
          <w:ilvl w:val="0"/>
          <w:numId w:val="44"/>
        </w:numPr>
        <w:jc w:val="both"/>
        <w:rPr>
          <w:rFonts w:ascii="NewBaskerville" w:hAnsi="NewBaskerville"/>
          <w:bCs/>
        </w:rPr>
      </w:pPr>
      <w:r w:rsidRPr="00DC4334">
        <w:rPr>
          <w:rFonts w:ascii="NewBaskerville" w:hAnsi="NewBaskerville"/>
          <w:bCs/>
          <w:u w:val="single"/>
        </w:rPr>
        <w:t>Aspectos críticos de la valoración y estimación de la incertidumbre</w:t>
      </w:r>
    </w:p>
    <w:p w:rsidR="00A33E43" w:rsidRDefault="00A33E43" w:rsidP="002C3CB4">
      <w:pPr>
        <w:spacing w:before="100"/>
        <w:ind w:firstLine="568"/>
        <w:jc w:val="both"/>
        <w:rPr>
          <w:rFonts w:ascii="NewBaskerville" w:hAnsi="NewBaskerville"/>
        </w:rPr>
      </w:pPr>
      <w:r w:rsidRPr="00A33E43">
        <w:rPr>
          <w:rFonts w:ascii="NewBaskerville" w:hAnsi="NewBaskerville"/>
        </w:rPr>
        <w:t>En la preparación de las cuentas anuales de</w:t>
      </w:r>
      <w:r w:rsidR="00E36D30">
        <w:rPr>
          <w:rFonts w:ascii="NewBaskerville" w:hAnsi="NewBaskerville"/>
        </w:rPr>
        <w:t xml:space="preserve"> </w:t>
      </w:r>
      <w:r>
        <w:rPr>
          <w:rFonts w:ascii="NewBaskerville" w:hAnsi="NewBaskerville"/>
        </w:rPr>
        <w:t>l</w:t>
      </w:r>
      <w:r w:rsidR="00E36D30">
        <w:rPr>
          <w:rFonts w:ascii="NewBaskerville" w:hAnsi="NewBaskerville"/>
        </w:rPr>
        <w:t>a</w:t>
      </w:r>
      <w:r>
        <w:rPr>
          <w:rFonts w:ascii="NewBaskerville" w:hAnsi="NewBaskerville"/>
        </w:rPr>
        <w:t xml:space="preserve"> </w:t>
      </w:r>
      <w:r w:rsidR="00E36D30">
        <w:rPr>
          <w:rFonts w:ascii="NewBaskerville" w:hAnsi="NewBaskerville"/>
        </w:rPr>
        <w:t>Entidad</w:t>
      </w:r>
      <w:r w:rsidRPr="00A33E43">
        <w:rPr>
          <w:rFonts w:ascii="NewBaskerville" w:hAnsi="NewBaskerville"/>
        </w:rPr>
        <w:t xml:space="preserve">, se han realizado estimaciones que están basadas en la experiencia histórica y en otros factores que se consideran razonables de acuerdo con las circunstancias actuales y que constituyen la base para establecer el valor contable de los activos y pasivos cuyo valor no es fácilmente determinable mediante otras fuentes. </w:t>
      </w:r>
      <w:r w:rsidR="00E36D30">
        <w:rPr>
          <w:rFonts w:ascii="NewBaskerville" w:hAnsi="NewBaskerville"/>
        </w:rPr>
        <w:t xml:space="preserve">La </w:t>
      </w:r>
      <w:r w:rsidR="003F24D6">
        <w:rPr>
          <w:rFonts w:ascii="NewBaskerville" w:hAnsi="NewBaskerville"/>
        </w:rPr>
        <w:t>Entidad</w:t>
      </w:r>
      <w:r w:rsidRPr="00A33E43">
        <w:rPr>
          <w:rFonts w:ascii="NewBaskerville" w:hAnsi="NewBaskerville"/>
        </w:rPr>
        <w:t xml:space="preserve"> revisa sus estimaciones de forma continua. Las principales estimaciones llevadas a cabo se realizan en los siguientes ámbitos:</w:t>
      </w:r>
    </w:p>
    <w:p w:rsidR="00A33E43" w:rsidRPr="00A33E43" w:rsidRDefault="00A33E43" w:rsidP="00A33E43">
      <w:pPr>
        <w:ind w:firstLine="568"/>
        <w:jc w:val="both"/>
        <w:rPr>
          <w:rFonts w:ascii="NewBaskerville" w:hAnsi="NewBaskerville"/>
        </w:rPr>
      </w:pPr>
    </w:p>
    <w:p w:rsidR="00A33E43" w:rsidRDefault="00A33E43" w:rsidP="00A131D1">
      <w:pPr>
        <w:pStyle w:val="Prrafodelista"/>
        <w:numPr>
          <w:ilvl w:val="0"/>
          <w:numId w:val="43"/>
        </w:numPr>
        <w:jc w:val="both"/>
        <w:rPr>
          <w:rFonts w:ascii="NewBaskerville" w:hAnsi="NewBaskerville"/>
        </w:rPr>
      </w:pPr>
      <w:r w:rsidRPr="00A33E43">
        <w:rPr>
          <w:rFonts w:ascii="NewBaskerville" w:hAnsi="NewBaskerville"/>
        </w:rPr>
        <w:t>Deterioro de activos no financieros</w:t>
      </w:r>
    </w:p>
    <w:p w:rsidR="00A33E43" w:rsidRDefault="00E709C6" w:rsidP="002C3CB4">
      <w:pPr>
        <w:spacing w:before="100"/>
        <w:ind w:firstLine="568"/>
        <w:jc w:val="both"/>
        <w:rPr>
          <w:rFonts w:ascii="NewBaskerville" w:hAnsi="NewBaskerville"/>
        </w:rPr>
      </w:pPr>
      <w:r>
        <w:rPr>
          <w:rFonts w:ascii="NewBaskerville" w:hAnsi="NewBaskerville"/>
        </w:rPr>
        <w:t xml:space="preserve">Se </w:t>
      </w:r>
      <w:r w:rsidR="00A33E43" w:rsidRPr="00A33E43">
        <w:rPr>
          <w:rFonts w:ascii="NewBaskerville" w:hAnsi="NewBaskerville"/>
        </w:rPr>
        <w:t>analiza anualmente si existen indi</w:t>
      </w:r>
      <w:r w:rsidR="0018037A">
        <w:rPr>
          <w:rFonts w:ascii="NewBaskerville" w:hAnsi="NewBaskerville"/>
        </w:rPr>
        <w:t>cios</w:t>
      </w:r>
      <w:r w:rsidR="00A33E43" w:rsidRPr="00A33E43">
        <w:rPr>
          <w:rFonts w:ascii="NewBaskerville" w:hAnsi="NewBaskerville"/>
        </w:rPr>
        <w:t xml:space="preserve"> de deterioro para los activos no financieros. Estos activos no financieros se someten a la prueba de deterioro de valor cuando existen indicadores de su deterioro. </w:t>
      </w:r>
    </w:p>
    <w:p w:rsidR="00A33E43" w:rsidRPr="00A33E43" w:rsidRDefault="00A33E43" w:rsidP="00A33E43">
      <w:pPr>
        <w:ind w:firstLine="568"/>
        <w:jc w:val="both"/>
        <w:rPr>
          <w:rFonts w:ascii="NewBaskerville" w:hAnsi="NewBaskerville"/>
        </w:rPr>
      </w:pPr>
    </w:p>
    <w:p w:rsidR="00A33E43" w:rsidRDefault="00A33E43" w:rsidP="00A33E43">
      <w:pPr>
        <w:pStyle w:val="Prrafodelista"/>
        <w:numPr>
          <w:ilvl w:val="0"/>
          <w:numId w:val="43"/>
        </w:numPr>
        <w:jc w:val="both"/>
        <w:rPr>
          <w:rFonts w:ascii="NewBaskerville" w:hAnsi="NewBaskerville"/>
        </w:rPr>
      </w:pPr>
      <w:r w:rsidRPr="00A33E43">
        <w:rPr>
          <w:rFonts w:ascii="NewBaskerville" w:hAnsi="NewBaskerville"/>
        </w:rPr>
        <w:t>Provisiones</w:t>
      </w:r>
    </w:p>
    <w:p w:rsidR="00A33E43" w:rsidRDefault="00E709C6" w:rsidP="002C3CB4">
      <w:pPr>
        <w:spacing w:before="100"/>
        <w:ind w:firstLine="568"/>
        <w:jc w:val="both"/>
        <w:rPr>
          <w:rFonts w:ascii="NewBaskerville" w:hAnsi="NewBaskerville"/>
          <w:color w:val="000000"/>
          <w:lang w:eastAsia="en-US"/>
        </w:rPr>
      </w:pPr>
      <w:r>
        <w:rPr>
          <w:rFonts w:ascii="NewBaskerville" w:hAnsi="NewBaskerville"/>
          <w:color w:val="000000"/>
          <w:lang w:eastAsia="en-US"/>
        </w:rPr>
        <w:t>Se</w:t>
      </w:r>
      <w:r w:rsidR="00A33E43" w:rsidRPr="00A33E43">
        <w:rPr>
          <w:rFonts w:ascii="NewBaskerville" w:hAnsi="NewBaskerville"/>
          <w:color w:val="000000"/>
          <w:lang w:eastAsia="en-US"/>
        </w:rPr>
        <w:t xml:space="preserve"> reconoce</w:t>
      </w:r>
      <w:r>
        <w:rPr>
          <w:rFonts w:ascii="NewBaskerville" w:hAnsi="NewBaskerville"/>
          <w:color w:val="000000"/>
          <w:lang w:eastAsia="en-US"/>
        </w:rPr>
        <w:t>n</w:t>
      </w:r>
      <w:r w:rsidR="00A33E43" w:rsidRPr="00A33E43">
        <w:rPr>
          <w:rFonts w:ascii="NewBaskerville" w:hAnsi="NewBaskerville"/>
          <w:color w:val="000000"/>
          <w:lang w:eastAsia="en-US"/>
        </w:rPr>
        <w:t xml:space="preserve"> provisiones sobre riesgos, de acuerdo con la política contable indicada en </w:t>
      </w:r>
      <w:r w:rsidR="0018037A">
        <w:rPr>
          <w:rFonts w:ascii="NewBaskerville" w:hAnsi="NewBaskerville"/>
          <w:color w:val="000000"/>
          <w:lang w:eastAsia="en-US"/>
        </w:rPr>
        <w:t>la nota</w:t>
      </w:r>
      <w:r w:rsidR="00A33E43" w:rsidRPr="00A33E43">
        <w:rPr>
          <w:rFonts w:ascii="NewBaskerville" w:hAnsi="NewBaskerville"/>
          <w:color w:val="000000"/>
          <w:lang w:eastAsia="en-US"/>
        </w:rPr>
        <w:t xml:space="preserve"> </w:t>
      </w:r>
      <w:r w:rsidR="004323C0">
        <w:rPr>
          <w:rFonts w:ascii="NewBaskerville" w:hAnsi="NewBaskerville"/>
          <w:color w:val="000000"/>
          <w:lang w:eastAsia="en-US"/>
        </w:rPr>
        <w:t>4</w:t>
      </w:r>
      <w:r w:rsidR="00A33E43" w:rsidRPr="00A33E43">
        <w:rPr>
          <w:rFonts w:ascii="NewBaskerville" w:hAnsi="NewBaskerville"/>
          <w:color w:val="000000"/>
          <w:lang w:eastAsia="en-US"/>
        </w:rPr>
        <w:t xml:space="preserve"> de esta memoria. </w:t>
      </w:r>
      <w:r w:rsidR="002C3CB4">
        <w:rPr>
          <w:rFonts w:ascii="NewBaskerville" w:hAnsi="NewBaskerville"/>
          <w:color w:val="000000"/>
          <w:lang w:eastAsia="en-US"/>
        </w:rPr>
        <w:t>Se</w:t>
      </w:r>
      <w:r w:rsidR="00A33E43" w:rsidRPr="00A33E43">
        <w:rPr>
          <w:rFonts w:ascii="NewBaskerville" w:hAnsi="NewBaskerville"/>
          <w:color w:val="000000"/>
          <w:lang w:eastAsia="en-US"/>
        </w:rPr>
        <w:t xml:space="preserve"> ha</w:t>
      </w:r>
      <w:r w:rsidR="002C3CB4">
        <w:rPr>
          <w:rFonts w:ascii="NewBaskerville" w:hAnsi="NewBaskerville"/>
          <w:color w:val="000000"/>
          <w:lang w:eastAsia="en-US"/>
        </w:rPr>
        <w:t>n</w:t>
      </w:r>
      <w:r w:rsidR="00A33E43" w:rsidRPr="00A33E43">
        <w:rPr>
          <w:rFonts w:ascii="NewBaskerville" w:hAnsi="NewBaskerville"/>
          <w:color w:val="000000"/>
          <w:lang w:eastAsia="en-US"/>
        </w:rPr>
        <w:t xml:space="preserve"> realizado juicios y estimaciones en relación con la probabilidad de ocurrencia de dichos riesgos, así como la cuantía de los mismos, y</w:t>
      </w:r>
      <w:r>
        <w:rPr>
          <w:rFonts w:ascii="NewBaskerville" w:hAnsi="NewBaskerville"/>
          <w:color w:val="000000"/>
          <w:lang w:eastAsia="en-US"/>
        </w:rPr>
        <w:t xml:space="preserve"> se</w:t>
      </w:r>
      <w:r w:rsidR="00A33E43" w:rsidRPr="00A33E43">
        <w:rPr>
          <w:rFonts w:ascii="NewBaskerville" w:hAnsi="NewBaskerville"/>
          <w:color w:val="000000"/>
          <w:lang w:eastAsia="en-US"/>
        </w:rPr>
        <w:t xml:space="preserve"> ha registrado una provisión cuando el riesgo ha sido considerado como probable, estimando el coste que le originaría dicha obligación. </w:t>
      </w:r>
    </w:p>
    <w:p w:rsidR="002C3CB4" w:rsidRDefault="002C3CB4" w:rsidP="002C3CB4">
      <w:pPr>
        <w:ind w:firstLine="568"/>
        <w:jc w:val="both"/>
        <w:rPr>
          <w:rFonts w:ascii="NewBaskerville" w:hAnsi="NewBaskerville"/>
          <w:color w:val="000000"/>
          <w:lang w:eastAsia="en-US"/>
        </w:rPr>
      </w:pPr>
    </w:p>
    <w:p w:rsidR="002C3CB4" w:rsidRDefault="002C3CB4" w:rsidP="002C3CB4">
      <w:pPr>
        <w:pStyle w:val="Prrafodelista"/>
        <w:numPr>
          <w:ilvl w:val="0"/>
          <w:numId w:val="43"/>
        </w:numPr>
        <w:jc w:val="both"/>
        <w:rPr>
          <w:rFonts w:ascii="NewBaskerville" w:hAnsi="NewBaskerville"/>
          <w:color w:val="000000"/>
          <w:lang w:eastAsia="en-US"/>
        </w:rPr>
      </w:pPr>
      <w:r>
        <w:rPr>
          <w:rFonts w:ascii="NewBaskerville" w:hAnsi="NewBaskerville"/>
          <w:color w:val="000000"/>
          <w:lang w:eastAsia="en-US"/>
        </w:rPr>
        <w:lastRenderedPageBreak/>
        <w:t>Deterioro de v</w:t>
      </w:r>
      <w:r w:rsidR="00F3645B">
        <w:rPr>
          <w:rFonts w:ascii="NewBaskerville" w:hAnsi="NewBaskerville"/>
          <w:color w:val="000000"/>
          <w:lang w:eastAsia="en-US"/>
        </w:rPr>
        <w:t>alor de operaciones comerciales</w:t>
      </w:r>
      <w:r w:rsidR="00714F3A">
        <w:rPr>
          <w:rFonts w:ascii="NewBaskerville" w:hAnsi="NewBaskerville"/>
          <w:color w:val="000000"/>
          <w:lang w:eastAsia="en-US"/>
        </w:rPr>
        <w:t>,</w:t>
      </w:r>
      <w:r w:rsidR="00F55771">
        <w:rPr>
          <w:rFonts w:ascii="NewBaskerville" w:hAnsi="NewBaskerville"/>
          <w:color w:val="000000"/>
          <w:lang w:eastAsia="en-US"/>
        </w:rPr>
        <w:t xml:space="preserve"> deudores</w:t>
      </w:r>
      <w:r w:rsidR="00714F3A">
        <w:rPr>
          <w:rFonts w:ascii="NewBaskerville" w:hAnsi="NewBaskerville"/>
          <w:color w:val="000000"/>
          <w:lang w:eastAsia="en-US"/>
        </w:rPr>
        <w:t xml:space="preserve"> y créditos a terceros.</w:t>
      </w:r>
    </w:p>
    <w:p w:rsidR="002C3CB4" w:rsidRDefault="00603A0A" w:rsidP="00E96B8F">
      <w:pPr>
        <w:spacing w:before="100"/>
        <w:ind w:firstLine="567"/>
        <w:jc w:val="both"/>
        <w:rPr>
          <w:rFonts w:ascii="NewBaskerville" w:hAnsi="NewBaskerville"/>
          <w:color w:val="000000"/>
          <w:lang w:eastAsia="en-US"/>
        </w:rPr>
      </w:pPr>
      <w:r w:rsidRPr="00603A0A">
        <w:rPr>
          <w:rFonts w:ascii="NewBaskerville" w:hAnsi="NewBaskerville"/>
          <w:color w:val="000000"/>
          <w:lang w:eastAsia="en-US"/>
        </w:rPr>
        <w:t xml:space="preserve">Se someten a análisis </w:t>
      </w:r>
      <w:r>
        <w:rPr>
          <w:rFonts w:ascii="NewBaskerville" w:hAnsi="NewBaskerville"/>
          <w:color w:val="000000"/>
          <w:lang w:eastAsia="en-US"/>
        </w:rPr>
        <w:t>las evidencias objetivas de uno o más eventos ocurrid</w:t>
      </w:r>
      <w:r w:rsidR="006F03BA">
        <w:rPr>
          <w:rFonts w:ascii="NewBaskerville" w:hAnsi="NewBaskerville"/>
          <w:color w:val="000000"/>
          <w:lang w:eastAsia="en-US"/>
        </w:rPr>
        <w:t>os que pueden ocasionar una reducción o retraso de los flujos estimados futuros, que pueden venir motivados por la insolvencia del deudor.</w:t>
      </w:r>
    </w:p>
    <w:p w:rsidR="00A131D1" w:rsidRDefault="00A131D1" w:rsidP="00A131D1">
      <w:pPr>
        <w:ind w:left="568"/>
        <w:jc w:val="both"/>
        <w:rPr>
          <w:rFonts w:ascii="NewBaskerville" w:hAnsi="NewBaskerville"/>
          <w:color w:val="000000"/>
          <w:lang w:eastAsia="en-US"/>
        </w:rPr>
      </w:pPr>
    </w:p>
    <w:p w:rsidR="00A131D1" w:rsidRDefault="00A131D1" w:rsidP="00A131D1">
      <w:pPr>
        <w:pStyle w:val="Prrafodelista"/>
        <w:numPr>
          <w:ilvl w:val="0"/>
          <w:numId w:val="43"/>
        </w:numPr>
        <w:jc w:val="both"/>
        <w:rPr>
          <w:rFonts w:ascii="NewBaskerville" w:hAnsi="NewBaskerville"/>
          <w:color w:val="000000"/>
          <w:lang w:eastAsia="en-US"/>
        </w:rPr>
      </w:pPr>
      <w:r>
        <w:rPr>
          <w:rFonts w:ascii="NewBaskerville" w:hAnsi="NewBaskerville"/>
          <w:color w:val="000000"/>
          <w:lang w:eastAsia="en-US"/>
        </w:rPr>
        <w:t>Vida</w:t>
      </w:r>
      <w:r w:rsidR="00F3645B">
        <w:rPr>
          <w:rFonts w:ascii="NewBaskerville" w:hAnsi="NewBaskerville"/>
          <w:color w:val="000000"/>
          <w:lang w:eastAsia="en-US"/>
        </w:rPr>
        <w:t xml:space="preserve"> útil de activos no financieros</w:t>
      </w:r>
    </w:p>
    <w:p w:rsidR="00A131D1" w:rsidRDefault="00F3645B" w:rsidP="00E96B8F">
      <w:pPr>
        <w:spacing w:before="100"/>
        <w:ind w:firstLine="568"/>
        <w:jc w:val="both"/>
        <w:rPr>
          <w:rFonts w:ascii="NewBaskerville" w:hAnsi="NewBaskerville"/>
          <w:color w:val="000000"/>
          <w:lang w:eastAsia="en-US"/>
        </w:rPr>
      </w:pPr>
      <w:r>
        <w:rPr>
          <w:rFonts w:ascii="NewBaskerville" w:hAnsi="NewBaskerville"/>
          <w:color w:val="000000"/>
          <w:lang w:eastAsia="en-US"/>
        </w:rPr>
        <w:t>Se examina la depreciación que normalmente sufren por su funcionamiento, uso y disfrute, sin perjuicio de considerar también la obsolescencia técnica que pudiera afectarlos.</w:t>
      </w:r>
    </w:p>
    <w:p w:rsidR="00F3645B" w:rsidRDefault="00F3645B" w:rsidP="00F3645B">
      <w:pPr>
        <w:ind w:left="568"/>
        <w:jc w:val="both"/>
        <w:rPr>
          <w:rFonts w:ascii="NewBaskerville" w:hAnsi="NewBaskerville"/>
          <w:color w:val="000000"/>
          <w:lang w:eastAsia="en-US"/>
        </w:rPr>
      </w:pPr>
    </w:p>
    <w:p w:rsidR="00F3645B" w:rsidRPr="00F3645B" w:rsidRDefault="00F3645B" w:rsidP="00F3645B">
      <w:pPr>
        <w:pStyle w:val="Prrafodelista"/>
        <w:numPr>
          <w:ilvl w:val="0"/>
          <w:numId w:val="43"/>
        </w:numPr>
        <w:jc w:val="both"/>
        <w:rPr>
          <w:rFonts w:ascii="NewBaskerville" w:hAnsi="NewBaskerville"/>
          <w:color w:val="000000"/>
          <w:lang w:eastAsia="en-US"/>
        </w:rPr>
      </w:pPr>
      <w:r>
        <w:rPr>
          <w:rFonts w:ascii="NewBaskerville" w:hAnsi="NewBaskerville"/>
          <w:color w:val="000000"/>
          <w:lang w:eastAsia="en-US"/>
        </w:rPr>
        <w:t>Activos por impuesto sobre beneficios diferido.</w:t>
      </w:r>
    </w:p>
    <w:p w:rsidR="00F3645B" w:rsidRDefault="00F3645B" w:rsidP="00E96B8F">
      <w:pPr>
        <w:spacing w:before="100"/>
        <w:ind w:firstLine="568"/>
        <w:jc w:val="both"/>
        <w:rPr>
          <w:rFonts w:ascii="NewBaskerville" w:hAnsi="NewBaskerville"/>
          <w:color w:val="000000"/>
          <w:lang w:eastAsia="en-US"/>
        </w:rPr>
      </w:pPr>
      <w:r>
        <w:rPr>
          <w:rFonts w:ascii="NewBaskerville" w:hAnsi="NewBaskerville"/>
          <w:color w:val="000000"/>
          <w:lang w:eastAsia="en-US"/>
        </w:rPr>
        <w:t xml:space="preserve">Se </w:t>
      </w:r>
      <w:r w:rsidR="003F24D6">
        <w:rPr>
          <w:rFonts w:ascii="NewBaskerville" w:hAnsi="NewBaskerville"/>
          <w:color w:val="000000"/>
          <w:lang w:eastAsia="en-US"/>
        </w:rPr>
        <w:t>evalúa</w:t>
      </w:r>
      <w:r>
        <w:rPr>
          <w:rFonts w:ascii="NewBaskerville" w:hAnsi="NewBaskerville"/>
          <w:color w:val="000000"/>
          <w:lang w:eastAsia="en-US"/>
        </w:rPr>
        <w:t xml:space="preserve"> la probabilidad que </w:t>
      </w:r>
      <w:r w:rsidR="00E36D30">
        <w:rPr>
          <w:rFonts w:ascii="NewBaskerville" w:hAnsi="NewBaskerville"/>
          <w:color w:val="000000"/>
          <w:lang w:eastAsia="en-US"/>
        </w:rPr>
        <w:t>la Entidad</w:t>
      </w:r>
      <w:r>
        <w:rPr>
          <w:rFonts w:ascii="NewBaskerville" w:hAnsi="NewBaskerville"/>
          <w:color w:val="000000"/>
          <w:lang w:eastAsia="en-US"/>
        </w:rPr>
        <w:t xml:space="preserve"> disponga de ganancias futuras que permitan la aplicación de estos activos.</w:t>
      </w:r>
    </w:p>
    <w:p w:rsidR="00E96B8F" w:rsidRDefault="00E96B8F" w:rsidP="00E96B8F">
      <w:pPr>
        <w:jc w:val="both"/>
        <w:rPr>
          <w:rFonts w:ascii="NewBaskerville" w:hAnsi="NewBaskerville"/>
          <w:color w:val="000000"/>
          <w:lang w:eastAsia="en-US"/>
        </w:rPr>
      </w:pPr>
    </w:p>
    <w:p w:rsidR="00E96B8F" w:rsidRDefault="00E96B8F" w:rsidP="00E96B8F">
      <w:pPr>
        <w:ind w:firstLine="567"/>
        <w:jc w:val="both"/>
        <w:rPr>
          <w:rFonts w:ascii="NewBaskerville" w:hAnsi="NewBaskerville"/>
          <w:color w:val="000000"/>
          <w:lang w:eastAsia="en-US"/>
        </w:rPr>
      </w:pPr>
      <w:r>
        <w:rPr>
          <w:rFonts w:ascii="NewBaskerville" w:hAnsi="NewBaskerville"/>
          <w:color w:val="000000"/>
          <w:lang w:eastAsia="en-US"/>
        </w:rPr>
        <w:t>Los cambios de estimaciones contables se aplicarán de forma prospectiva.</w:t>
      </w:r>
    </w:p>
    <w:p w:rsidR="006010B3" w:rsidRDefault="006010B3" w:rsidP="006010B3">
      <w:pPr>
        <w:ind w:firstLine="568"/>
        <w:jc w:val="both"/>
        <w:rPr>
          <w:sz w:val="24"/>
        </w:rPr>
      </w:pPr>
    </w:p>
    <w:p w:rsidR="00E96B8F" w:rsidRPr="00172314" w:rsidRDefault="00172314" w:rsidP="00E96B8F">
      <w:pPr>
        <w:pStyle w:val="Prrafodelista"/>
        <w:numPr>
          <w:ilvl w:val="0"/>
          <w:numId w:val="44"/>
        </w:numPr>
        <w:jc w:val="both"/>
        <w:rPr>
          <w:sz w:val="24"/>
          <w:u w:val="single"/>
        </w:rPr>
      </w:pPr>
      <w:r w:rsidRPr="00172314">
        <w:rPr>
          <w:rFonts w:ascii="NewBaskerville" w:hAnsi="NewBaskerville"/>
          <w:u w:val="single"/>
        </w:rPr>
        <w:t>Comparación de la información</w:t>
      </w:r>
    </w:p>
    <w:p w:rsidR="002C4355" w:rsidRPr="0018037A" w:rsidRDefault="00575642" w:rsidP="00E96B8F">
      <w:pPr>
        <w:spacing w:before="100"/>
        <w:ind w:firstLine="568"/>
        <w:jc w:val="both"/>
        <w:rPr>
          <w:rFonts w:ascii="NewBaskerville" w:hAnsi="NewBaskerville"/>
          <w:b/>
        </w:rPr>
      </w:pPr>
      <w:r w:rsidRPr="00E96B8F">
        <w:rPr>
          <w:rFonts w:ascii="NewBaskerville" w:hAnsi="NewBaskerville"/>
        </w:rPr>
        <w:t>Se</w:t>
      </w:r>
      <w:r w:rsidR="002C4355" w:rsidRPr="00E96B8F">
        <w:rPr>
          <w:rFonts w:ascii="NewBaskerville" w:hAnsi="NewBaskerville"/>
        </w:rPr>
        <w:t xml:space="preserve"> presenta</w:t>
      </w:r>
      <w:r w:rsidRPr="00E96B8F">
        <w:rPr>
          <w:rFonts w:ascii="NewBaskerville" w:hAnsi="NewBaskerville"/>
        </w:rPr>
        <w:t>n</w:t>
      </w:r>
      <w:r w:rsidR="002C4355" w:rsidRPr="00E96B8F">
        <w:rPr>
          <w:rFonts w:ascii="NewBaskerville" w:hAnsi="NewBaskerville"/>
        </w:rPr>
        <w:t xml:space="preserve"> cifras comparativas con el ejercicio 20</w:t>
      </w:r>
      <w:r w:rsidR="00B364F4" w:rsidRPr="00E96B8F">
        <w:rPr>
          <w:rFonts w:ascii="NewBaskerville" w:hAnsi="NewBaskerville"/>
        </w:rPr>
        <w:t>2</w:t>
      </w:r>
      <w:r w:rsidR="0018037A">
        <w:rPr>
          <w:rFonts w:ascii="NewBaskerville" w:hAnsi="NewBaskerville"/>
        </w:rPr>
        <w:t>2</w:t>
      </w:r>
      <w:r w:rsidR="002C4355" w:rsidRPr="00E96B8F">
        <w:rPr>
          <w:rFonts w:ascii="NewBaskerville" w:hAnsi="NewBaskerville"/>
        </w:rPr>
        <w:t>.</w:t>
      </w:r>
    </w:p>
    <w:p w:rsidR="007124E5" w:rsidRDefault="007124E5" w:rsidP="00E96B8F">
      <w:pPr>
        <w:spacing w:before="100"/>
        <w:ind w:firstLine="568"/>
        <w:jc w:val="both"/>
        <w:rPr>
          <w:rFonts w:ascii="NewBaskerville" w:hAnsi="NewBaskerville"/>
        </w:rPr>
      </w:pPr>
      <w:r>
        <w:rPr>
          <w:rFonts w:ascii="NewBaskerville" w:hAnsi="NewBaskerville"/>
        </w:rPr>
        <w:t>A raíz de</w:t>
      </w:r>
      <w:r w:rsidR="00994DDB">
        <w:rPr>
          <w:rFonts w:ascii="NewBaskerville" w:hAnsi="NewBaskerville"/>
        </w:rPr>
        <w:t xml:space="preserve"> </w:t>
      </w:r>
      <w:r>
        <w:rPr>
          <w:rFonts w:ascii="NewBaskerville" w:hAnsi="NewBaskerville"/>
        </w:rPr>
        <w:t>l</w:t>
      </w:r>
      <w:r w:rsidR="00994DDB">
        <w:rPr>
          <w:rFonts w:ascii="NewBaskerville" w:hAnsi="NewBaskerville"/>
        </w:rPr>
        <w:t>a corrección de errores contables</w:t>
      </w:r>
      <w:r>
        <w:rPr>
          <w:rFonts w:ascii="NewBaskerville" w:hAnsi="NewBaskerville"/>
        </w:rPr>
        <w:t xml:space="preserve"> detallado</w:t>
      </w:r>
      <w:r w:rsidR="00994DDB">
        <w:rPr>
          <w:rFonts w:ascii="NewBaskerville" w:hAnsi="NewBaskerville"/>
        </w:rPr>
        <w:t>s</w:t>
      </w:r>
      <w:r>
        <w:rPr>
          <w:rFonts w:ascii="NewBaskerville" w:hAnsi="NewBaskerville"/>
        </w:rPr>
        <w:t xml:space="preserve"> en los apartados siguientes, se han adaptado los importes en Bala</w:t>
      </w:r>
      <w:r w:rsidR="00994DDB">
        <w:rPr>
          <w:rFonts w:ascii="NewBaskerville" w:hAnsi="NewBaskerville"/>
        </w:rPr>
        <w:t>nce</w:t>
      </w:r>
      <w:r w:rsidR="008A39CD">
        <w:rPr>
          <w:rFonts w:ascii="NewBaskerville" w:hAnsi="NewBaskerville"/>
        </w:rPr>
        <w:t xml:space="preserve">, Cuenta de Pérdidas y Ganancias, Estado de Flujos de Efectivo </w:t>
      </w:r>
      <w:r w:rsidR="00994DDB">
        <w:rPr>
          <w:rFonts w:ascii="NewBaskerville" w:hAnsi="NewBaskerville"/>
        </w:rPr>
        <w:t xml:space="preserve"> del ejercicio anterior (2022</w:t>
      </w:r>
      <w:r>
        <w:rPr>
          <w:rFonts w:ascii="NewBaskerville" w:hAnsi="NewBaskerville"/>
        </w:rPr>
        <w:t>) para facilitar su comparación. Dicha adaptación se describe en el cuadro siguiente:</w:t>
      </w:r>
    </w:p>
    <w:p w:rsidR="008A39CD" w:rsidRDefault="008A39CD" w:rsidP="00E96B8F">
      <w:pPr>
        <w:spacing w:before="100"/>
        <w:ind w:firstLine="568"/>
        <w:jc w:val="both"/>
        <w:rPr>
          <w:rFonts w:ascii="NewBaskerville" w:hAnsi="NewBaskerville"/>
        </w:rPr>
      </w:pPr>
    </w:p>
    <w:p w:rsidR="008A39CD" w:rsidRDefault="008A39CD" w:rsidP="00E96B8F">
      <w:pPr>
        <w:spacing w:before="100"/>
        <w:ind w:firstLine="568"/>
        <w:jc w:val="both"/>
        <w:rPr>
          <w:rFonts w:ascii="NewBaskerville" w:hAnsi="NewBaskerville"/>
        </w:rPr>
      </w:pPr>
    </w:p>
    <w:tbl>
      <w:tblPr>
        <w:tblW w:w="7732" w:type="dxa"/>
        <w:tblInd w:w="70" w:type="dxa"/>
        <w:tblCellMar>
          <w:left w:w="70" w:type="dxa"/>
          <w:right w:w="70" w:type="dxa"/>
        </w:tblCellMar>
        <w:tblLook w:val="04A0" w:firstRow="1" w:lastRow="0" w:firstColumn="1" w:lastColumn="0" w:noHBand="0" w:noVBand="1"/>
      </w:tblPr>
      <w:tblGrid>
        <w:gridCol w:w="4048"/>
        <w:gridCol w:w="2008"/>
        <w:gridCol w:w="1676"/>
      </w:tblGrid>
      <w:tr w:rsidR="008A39CD" w:rsidRPr="008A39CD" w:rsidTr="008A39CD">
        <w:trPr>
          <w:trHeight w:val="300"/>
        </w:trPr>
        <w:tc>
          <w:tcPr>
            <w:tcW w:w="6056" w:type="dxa"/>
            <w:gridSpan w:val="2"/>
            <w:tcBorders>
              <w:top w:val="nil"/>
              <w:left w:val="nil"/>
              <w:bottom w:val="nil"/>
              <w:right w:val="nil"/>
            </w:tcBorders>
            <w:shd w:val="clear" w:color="000000" w:fill="FFFFFF"/>
            <w:noWrap/>
            <w:vAlign w:val="bottom"/>
            <w:hideMark/>
          </w:tcPr>
          <w:p w:rsidR="008A39CD" w:rsidRPr="008A39CD" w:rsidRDefault="008A39CD" w:rsidP="008A39CD">
            <w:pPr>
              <w:rPr>
                <w:rFonts w:ascii="Lucida Bright" w:hAnsi="Lucida Bright" w:cs="Calibri"/>
                <w:b/>
                <w:bCs/>
                <w:sz w:val="18"/>
                <w:szCs w:val="18"/>
                <w:lang w:val="es-ES"/>
              </w:rPr>
            </w:pPr>
            <w:r w:rsidRPr="008A39CD">
              <w:rPr>
                <w:rFonts w:ascii="Lucida Bright" w:hAnsi="Lucida Bright" w:cs="Calibri"/>
                <w:b/>
                <w:bCs/>
                <w:sz w:val="18"/>
                <w:szCs w:val="18"/>
                <w:lang w:val="es-ES"/>
              </w:rPr>
              <w:t>Balance al cierre del ejercicio 2023 (cifras comparativas 2022)</w:t>
            </w:r>
          </w:p>
        </w:tc>
        <w:tc>
          <w:tcPr>
            <w:tcW w:w="1676" w:type="dxa"/>
            <w:tcBorders>
              <w:top w:val="nil"/>
              <w:left w:val="nil"/>
              <w:bottom w:val="nil"/>
              <w:right w:val="nil"/>
            </w:tcBorders>
            <w:shd w:val="clear" w:color="000000" w:fill="FFFFFF"/>
            <w:noWrap/>
            <w:vAlign w:val="center"/>
            <w:hideMark/>
          </w:tcPr>
          <w:p w:rsidR="008A39CD" w:rsidRPr="008A39CD" w:rsidRDefault="008A39CD" w:rsidP="008A39CD">
            <w:pPr>
              <w:rPr>
                <w:rFonts w:ascii="Lucida Bright" w:hAnsi="Lucida Bright" w:cs="Calibri"/>
                <w:sz w:val="14"/>
                <w:szCs w:val="14"/>
                <w:lang w:val="es-ES"/>
              </w:rPr>
            </w:pPr>
            <w:r w:rsidRPr="008A39CD">
              <w:rPr>
                <w:rFonts w:ascii="Lucida Bright" w:hAnsi="Lucida Bright" w:cs="Calibri"/>
                <w:sz w:val="14"/>
                <w:szCs w:val="14"/>
                <w:lang w:val="es-ES"/>
              </w:rPr>
              <w:t>(en euros)</w:t>
            </w:r>
          </w:p>
        </w:tc>
      </w:tr>
      <w:tr w:rsidR="008A39CD" w:rsidRPr="008A39CD" w:rsidTr="008A39CD">
        <w:trPr>
          <w:trHeight w:val="675"/>
        </w:trPr>
        <w:tc>
          <w:tcPr>
            <w:tcW w:w="4048"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8A39CD" w:rsidRPr="008A39CD" w:rsidRDefault="008A39CD" w:rsidP="008A39CD">
            <w:pPr>
              <w:jc w:val="center"/>
              <w:rPr>
                <w:rFonts w:ascii="Lucida Bright" w:hAnsi="Lucida Bright" w:cs="Calibri"/>
                <w:b/>
                <w:bCs/>
                <w:sz w:val="18"/>
                <w:szCs w:val="18"/>
                <w:lang w:val="es-ES"/>
              </w:rPr>
            </w:pPr>
            <w:r w:rsidRPr="008A39CD">
              <w:rPr>
                <w:rFonts w:ascii="Lucida Bright" w:hAnsi="Lucida Bright" w:cs="Calibri"/>
                <w:b/>
                <w:bCs/>
                <w:sz w:val="18"/>
                <w:szCs w:val="18"/>
                <w:lang w:val="es-ES"/>
              </w:rPr>
              <w:t>PATRIMONIO NETO Y PASIVO</w:t>
            </w:r>
          </w:p>
        </w:tc>
        <w:tc>
          <w:tcPr>
            <w:tcW w:w="2008" w:type="dxa"/>
            <w:tcBorders>
              <w:top w:val="single" w:sz="4" w:space="0" w:color="auto"/>
              <w:left w:val="nil"/>
              <w:bottom w:val="single" w:sz="4" w:space="0" w:color="auto"/>
              <w:right w:val="single" w:sz="4" w:space="0" w:color="auto"/>
            </w:tcBorders>
            <w:shd w:val="clear" w:color="000000" w:fill="CCFFCC"/>
            <w:vAlign w:val="center"/>
            <w:hideMark/>
          </w:tcPr>
          <w:p w:rsidR="008A39CD" w:rsidRPr="008A39CD" w:rsidRDefault="008A39CD" w:rsidP="008A39CD">
            <w:pPr>
              <w:jc w:val="center"/>
              <w:rPr>
                <w:rFonts w:ascii="Lucida Bright" w:hAnsi="Lucida Bright" w:cs="Calibri"/>
                <w:b/>
                <w:bCs/>
                <w:sz w:val="16"/>
                <w:szCs w:val="16"/>
                <w:lang w:val="es-ES"/>
              </w:rPr>
            </w:pPr>
            <w:r w:rsidRPr="008A39CD">
              <w:rPr>
                <w:rFonts w:ascii="Lucida Bright" w:hAnsi="Lucida Bright" w:cs="Calibri"/>
                <w:b/>
                <w:bCs/>
                <w:sz w:val="16"/>
                <w:szCs w:val="16"/>
                <w:lang w:val="es-ES"/>
              </w:rPr>
              <w:t>2022 (Balance formulado en 2023)</w:t>
            </w:r>
          </w:p>
        </w:tc>
        <w:tc>
          <w:tcPr>
            <w:tcW w:w="1676" w:type="dxa"/>
            <w:tcBorders>
              <w:top w:val="single" w:sz="4" w:space="0" w:color="auto"/>
              <w:left w:val="nil"/>
              <w:bottom w:val="single" w:sz="4" w:space="0" w:color="auto"/>
              <w:right w:val="single" w:sz="4" w:space="0" w:color="auto"/>
            </w:tcBorders>
            <w:shd w:val="clear" w:color="000000" w:fill="CCFFCC"/>
            <w:vAlign w:val="center"/>
            <w:hideMark/>
          </w:tcPr>
          <w:p w:rsidR="008A39CD" w:rsidRPr="008A39CD" w:rsidRDefault="008A39CD" w:rsidP="008A39CD">
            <w:pPr>
              <w:jc w:val="center"/>
              <w:rPr>
                <w:rFonts w:ascii="Lucida Bright" w:hAnsi="Lucida Bright" w:cs="Calibri"/>
                <w:b/>
                <w:bCs/>
                <w:sz w:val="16"/>
                <w:szCs w:val="16"/>
                <w:lang w:val="es-ES"/>
              </w:rPr>
            </w:pPr>
            <w:r w:rsidRPr="008A39CD">
              <w:rPr>
                <w:rFonts w:ascii="Lucida Bright" w:hAnsi="Lucida Bright" w:cs="Calibri"/>
                <w:b/>
                <w:bCs/>
                <w:sz w:val="16"/>
                <w:szCs w:val="16"/>
                <w:lang w:val="es-ES"/>
              </w:rPr>
              <w:t>2022 (Balance formulado en 2022)</w:t>
            </w:r>
          </w:p>
        </w:tc>
      </w:tr>
      <w:tr w:rsidR="008A39CD" w:rsidRPr="008A39CD" w:rsidTr="008A39CD">
        <w:trPr>
          <w:trHeight w:val="300"/>
        </w:trPr>
        <w:tc>
          <w:tcPr>
            <w:tcW w:w="4048" w:type="dxa"/>
            <w:tcBorders>
              <w:top w:val="nil"/>
              <w:left w:val="single" w:sz="4" w:space="0" w:color="auto"/>
              <w:bottom w:val="nil"/>
              <w:right w:val="single" w:sz="4" w:space="0" w:color="auto"/>
            </w:tcBorders>
            <w:shd w:val="clear" w:color="000000" w:fill="CCFFCC"/>
            <w:noWrap/>
            <w:vAlign w:val="center"/>
            <w:hideMark/>
          </w:tcPr>
          <w:p w:rsidR="008A39CD" w:rsidRPr="008A39CD" w:rsidRDefault="008A39CD" w:rsidP="008A39CD">
            <w:pPr>
              <w:ind w:firstLineChars="100" w:firstLine="141"/>
              <w:rPr>
                <w:rFonts w:ascii="Lucida Bright" w:hAnsi="Lucida Bright" w:cs="Calibri"/>
                <w:b/>
                <w:bCs/>
                <w:sz w:val="14"/>
                <w:szCs w:val="14"/>
                <w:lang w:val="es-ES"/>
              </w:rPr>
            </w:pPr>
            <w:r w:rsidRPr="008A39CD">
              <w:rPr>
                <w:rFonts w:ascii="Lucida Bright" w:hAnsi="Lucida Bright" w:cs="Calibri"/>
                <w:b/>
                <w:bCs/>
                <w:sz w:val="14"/>
                <w:szCs w:val="14"/>
                <w:lang w:val="es-ES"/>
              </w:rPr>
              <w:t>A) PATRIONIO NETO</w:t>
            </w:r>
          </w:p>
        </w:tc>
        <w:tc>
          <w:tcPr>
            <w:tcW w:w="2008" w:type="dxa"/>
            <w:tcBorders>
              <w:top w:val="nil"/>
              <w:left w:val="nil"/>
              <w:bottom w:val="nil"/>
              <w:right w:val="single" w:sz="4" w:space="0" w:color="auto"/>
            </w:tcBorders>
            <w:shd w:val="clear" w:color="000000" w:fill="CCFFCC"/>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696.030.606,45 </w:t>
            </w:r>
          </w:p>
        </w:tc>
        <w:tc>
          <w:tcPr>
            <w:tcW w:w="1676" w:type="dxa"/>
            <w:tcBorders>
              <w:top w:val="nil"/>
              <w:left w:val="nil"/>
              <w:bottom w:val="nil"/>
              <w:right w:val="single" w:sz="4" w:space="0" w:color="auto"/>
            </w:tcBorders>
            <w:shd w:val="clear" w:color="000000" w:fill="CCFFCC"/>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696.111.834,47 </w:t>
            </w:r>
          </w:p>
        </w:tc>
      </w:tr>
      <w:tr w:rsidR="008A39CD" w:rsidRPr="008A39CD" w:rsidTr="008A39CD">
        <w:trPr>
          <w:trHeight w:val="30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39CD" w:rsidRPr="008A39CD" w:rsidRDefault="008A39CD" w:rsidP="008A39CD">
            <w:pPr>
              <w:ind w:firstLineChars="100" w:firstLine="141"/>
              <w:rPr>
                <w:rFonts w:ascii="Lucida Bright" w:hAnsi="Lucida Bright" w:cs="Calibri"/>
                <w:b/>
                <w:bCs/>
                <w:sz w:val="14"/>
                <w:szCs w:val="14"/>
                <w:lang w:val="es-ES"/>
              </w:rPr>
            </w:pPr>
            <w:r w:rsidRPr="008A39CD">
              <w:rPr>
                <w:rFonts w:ascii="Lucida Bright" w:hAnsi="Lucida Bright" w:cs="Calibri"/>
                <w:b/>
                <w:bCs/>
                <w:sz w:val="14"/>
                <w:szCs w:val="14"/>
                <w:lang w:val="es-ES"/>
              </w:rPr>
              <w:t>A-1) Fondos propios</w:t>
            </w:r>
          </w:p>
        </w:tc>
        <w:tc>
          <w:tcPr>
            <w:tcW w:w="2008" w:type="dxa"/>
            <w:tcBorders>
              <w:top w:val="single" w:sz="4" w:space="0" w:color="auto"/>
              <w:left w:val="nil"/>
              <w:bottom w:val="single" w:sz="4" w:space="0" w:color="auto"/>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674.371.106,34 </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674.452.334,36 </w:t>
            </w:r>
          </w:p>
        </w:tc>
      </w:tr>
      <w:tr w:rsidR="008A39CD" w:rsidRPr="008A39CD" w:rsidTr="008A39CD">
        <w:trPr>
          <w:trHeight w:val="300"/>
        </w:trPr>
        <w:tc>
          <w:tcPr>
            <w:tcW w:w="4048" w:type="dxa"/>
            <w:tcBorders>
              <w:top w:val="nil"/>
              <w:left w:val="single" w:sz="4" w:space="0" w:color="auto"/>
              <w:bottom w:val="single" w:sz="4" w:space="0" w:color="auto"/>
              <w:right w:val="single" w:sz="4" w:space="0" w:color="auto"/>
            </w:tcBorders>
            <w:shd w:val="clear" w:color="auto" w:fill="auto"/>
            <w:noWrap/>
            <w:vAlign w:val="center"/>
            <w:hideMark/>
          </w:tcPr>
          <w:p w:rsidR="008A39CD" w:rsidRPr="008A39CD" w:rsidRDefault="008A39CD" w:rsidP="008A39CD">
            <w:pPr>
              <w:ind w:firstLineChars="100" w:firstLine="141"/>
              <w:rPr>
                <w:rFonts w:ascii="Lucida Bright" w:hAnsi="Lucida Bright" w:cs="Calibri"/>
                <w:b/>
                <w:bCs/>
                <w:sz w:val="14"/>
                <w:szCs w:val="14"/>
                <w:lang w:val="es-ES"/>
              </w:rPr>
            </w:pPr>
            <w:r w:rsidRPr="008A39CD">
              <w:rPr>
                <w:rFonts w:ascii="Lucida Bright" w:hAnsi="Lucida Bright" w:cs="Calibri"/>
                <w:b/>
                <w:bCs/>
                <w:sz w:val="14"/>
                <w:szCs w:val="14"/>
                <w:lang w:val="es-ES"/>
              </w:rPr>
              <w:t>II. Resultados acumulados</w:t>
            </w:r>
          </w:p>
        </w:tc>
        <w:tc>
          <w:tcPr>
            <w:tcW w:w="2008" w:type="dxa"/>
            <w:tcBorders>
              <w:top w:val="nil"/>
              <w:left w:val="nil"/>
              <w:bottom w:val="single" w:sz="4" w:space="0" w:color="auto"/>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429.046.806,79 </w:t>
            </w:r>
          </w:p>
        </w:tc>
        <w:tc>
          <w:tcPr>
            <w:tcW w:w="1676" w:type="dxa"/>
            <w:tcBorders>
              <w:top w:val="nil"/>
              <w:left w:val="nil"/>
              <w:bottom w:val="single" w:sz="4" w:space="0" w:color="auto"/>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429.131.846,88 </w:t>
            </w:r>
          </w:p>
        </w:tc>
      </w:tr>
      <w:tr w:rsidR="008A39CD" w:rsidRPr="008A39CD" w:rsidTr="008A39CD">
        <w:trPr>
          <w:trHeight w:val="300"/>
        </w:trPr>
        <w:tc>
          <w:tcPr>
            <w:tcW w:w="4048" w:type="dxa"/>
            <w:tcBorders>
              <w:top w:val="nil"/>
              <w:left w:val="single" w:sz="4" w:space="0" w:color="auto"/>
              <w:bottom w:val="single" w:sz="4" w:space="0" w:color="auto"/>
              <w:right w:val="single" w:sz="4" w:space="0" w:color="auto"/>
            </w:tcBorders>
            <w:shd w:val="clear" w:color="auto" w:fill="auto"/>
            <w:noWrap/>
            <w:vAlign w:val="center"/>
            <w:hideMark/>
          </w:tcPr>
          <w:p w:rsidR="008A39CD" w:rsidRPr="008A39CD" w:rsidRDefault="008A39CD" w:rsidP="008A39CD">
            <w:pPr>
              <w:ind w:firstLineChars="100" w:firstLine="141"/>
              <w:rPr>
                <w:rFonts w:ascii="Lucida Bright" w:hAnsi="Lucida Bright" w:cs="Calibri"/>
                <w:b/>
                <w:bCs/>
                <w:sz w:val="14"/>
                <w:szCs w:val="14"/>
                <w:lang w:val="es-ES"/>
              </w:rPr>
            </w:pPr>
            <w:r w:rsidRPr="008A39CD">
              <w:rPr>
                <w:rFonts w:ascii="Lucida Bright" w:hAnsi="Lucida Bright" w:cs="Calibri"/>
                <w:b/>
                <w:bCs/>
                <w:sz w:val="14"/>
                <w:szCs w:val="14"/>
                <w:lang w:val="es-ES"/>
              </w:rPr>
              <w:t>III. Resultado del ejercicio</w:t>
            </w:r>
          </w:p>
        </w:tc>
        <w:tc>
          <w:tcPr>
            <w:tcW w:w="2008" w:type="dxa"/>
            <w:tcBorders>
              <w:top w:val="nil"/>
              <w:left w:val="nil"/>
              <w:bottom w:val="single" w:sz="4" w:space="0" w:color="auto"/>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32.941.106,16 </w:t>
            </w:r>
          </w:p>
        </w:tc>
        <w:tc>
          <w:tcPr>
            <w:tcW w:w="1676" w:type="dxa"/>
            <w:tcBorders>
              <w:top w:val="nil"/>
              <w:left w:val="nil"/>
              <w:bottom w:val="single" w:sz="4" w:space="0" w:color="auto"/>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32.937.294,09 </w:t>
            </w:r>
          </w:p>
        </w:tc>
      </w:tr>
      <w:tr w:rsidR="008A39CD" w:rsidRPr="008A39CD" w:rsidTr="008A39CD">
        <w:trPr>
          <w:trHeight w:val="300"/>
        </w:trPr>
        <w:tc>
          <w:tcPr>
            <w:tcW w:w="4048" w:type="dxa"/>
            <w:tcBorders>
              <w:top w:val="nil"/>
              <w:left w:val="single" w:sz="4" w:space="0" w:color="auto"/>
              <w:bottom w:val="single" w:sz="4" w:space="0" w:color="auto"/>
              <w:right w:val="nil"/>
            </w:tcBorders>
            <w:shd w:val="clear" w:color="auto" w:fill="auto"/>
            <w:noWrap/>
            <w:vAlign w:val="center"/>
            <w:hideMark/>
          </w:tcPr>
          <w:p w:rsidR="008A39CD" w:rsidRPr="008A39CD" w:rsidRDefault="008A39CD" w:rsidP="008A39CD">
            <w:pPr>
              <w:rPr>
                <w:rFonts w:ascii="Lucida Bright" w:hAnsi="Lucida Bright" w:cs="Calibri"/>
                <w:b/>
                <w:bCs/>
                <w:sz w:val="14"/>
                <w:szCs w:val="14"/>
                <w:lang w:val="es-ES"/>
              </w:rPr>
            </w:pPr>
            <w:r w:rsidRPr="008A39CD">
              <w:rPr>
                <w:rFonts w:ascii="Lucida Bright" w:hAnsi="Lucida Bright" w:cs="Calibri"/>
                <w:b/>
                <w:bCs/>
                <w:sz w:val="14"/>
                <w:szCs w:val="14"/>
                <w:lang w:val="es-ES"/>
              </w:rPr>
              <w:t> </w:t>
            </w:r>
          </w:p>
        </w:tc>
        <w:tc>
          <w:tcPr>
            <w:tcW w:w="2008" w:type="dxa"/>
            <w:tcBorders>
              <w:top w:val="nil"/>
              <w:left w:val="nil"/>
              <w:bottom w:val="single" w:sz="4" w:space="0" w:color="auto"/>
              <w:right w:val="nil"/>
            </w:tcBorders>
            <w:shd w:val="clear" w:color="auto" w:fill="auto"/>
            <w:noWrap/>
            <w:vAlign w:val="center"/>
            <w:hideMark/>
          </w:tcPr>
          <w:p w:rsidR="008A39CD" w:rsidRPr="008A39CD" w:rsidRDefault="008A39CD" w:rsidP="008A39CD">
            <w:pPr>
              <w:rPr>
                <w:rFonts w:ascii="Lucida Bright" w:hAnsi="Lucida Bright" w:cs="Calibri"/>
                <w:b/>
                <w:bCs/>
                <w:sz w:val="14"/>
                <w:szCs w:val="14"/>
                <w:lang w:val="es-ES"/>
              </w:rPr>
            </w:pPr>
            <w:r w:rsidRPr="008A39CD">
              <w:rPr>
                <w:rFonts w:ascii="Lucida Bright" w:hAnsi="Lucida Bright" w:cs="Calibri"/>
                <w:b/>
                <w:bCs/>
                <w:sz w:val="14"/>
                <w:szCs w:val="14"/>
                <w:lang w:val="es-ES"/>
              </w:rPr>
              <w:t> </w:t>
            </w:r>
          </w:p>
        </w:tc>
        <w:tc>
          <w:tcPr>
            <w:tcW w:w="1676" w:type="dxa"/>
            <w:tcBorders>
              <w:top w:val="nil"/>
              <w:left w:val="nil"/>
              <w:bottom w:val="single" w:sz="4" w:space="0" w:color="auto"/>
              <w:right w:val="single" w:sz="4" w:space="0" w:color="auto"/>
            </w:tcBorders>
            <w:shd w:val="clear" w:color="auto" w:fill="auto"/>
            <w:noWrap/>
            <w:vAlign w:val="center"/>
            <w:hideMark/>
          </w:tcPr>
          <w:p w:rsidR="008A39CD" w:rsidRPr="008A39CD" w:rsidRDefault="008A39CD" w:rsidP="008A39CD">
            <w:pPr>
              <w:rPr>
                <w:rFonts w:ascii="Lucida Bright" w:hAnsi="Lucida Bright" w:cs="Calibri"/>
                <w:b/>
                <w:bCs/>
                <w:sz w:val="14"/>
                <w:szCs w:val="14"/>
                <w:lang w:val="es-ES"/>
              </w:rPr>
            </w:pPr>
            <w:r w:rsidRPr="008A39CD">
              <w:rPr>
                <w:rFonts w:ascii="Lucida Bright" w:hAnsi="Lucida Bright" w:cs="Calibri"/>
                <w:b/>
                <w:bCs/>
                <w:sz w:val="14"/>
                <w:szCs w:val="14"/>
                <w:lang w:val="es-ES"/>
              </w:rPr>
              <w:t> </w:t>
            </w:r>
          </w:p>
        </w:tc>
      </w:tr>
      <w:tr w:rsidR="008A39CD" w:rsidRPr="008A39CD" w:rsidTr="008A39CD">
        <w:trPr>
          <w:trHeight w:val="300"/>
        </w:trPr>
        <w:tc>
          <w:tcPr>
            <w:tcW w:w="4048" w:type="dxa"/>
            <w:tcBorders>
              <w:top w:val="nil"/>
              <w:left w:val="single" w:sz="4" w:space="0" w:color="auto"/>
              <w:bottom w:val="single" w:sz="4" w:space="0" w:color="auto"/>
              <w:right w:val="single" w:sz="4" w:space="0" w:color="auto"/>
            </w:tcBorders>
            <w:shd w:val="clear" w:color="000000" w:fill="CCFFCC"/>
            <w:noWrap/>
            <w:vAlign w:val="center"/>
            <w:hideMark/>
          </w:tcPr>
          <w:p w:rsidR="008A39CD" w:rsidRPr="008A39CD" w:rsidRDefault="008A39CD" w:rsidP="008A39CD">
            <w:pPr>
              <w:ind w:firstLineChars="100" w:firstLine="141"/>
              <w:rPr>
                <w:rFonts w:ascii="Lucida Bright" w:hAnsi="Lucida Bright" w:cs="Calibri"/>
                <w:b/>
                <w:bCs/>
                <w:sz w:val="14"/>
                <w:szCs w:val="14"/>
                <w:lang w:val="es-ES"/>
              </w:rPr>
            </w:pPr>
            <w:r w:rsidRPr="008A39CD">
              <w:rPr>
                <w:rFonts w:ascii="Lucida Bright" w:hAnsi="Lucida Bright" w:cs="Calibri"/>
                <w:b/>
                <w:bCs/>
                <w:sz w:val="14"/>
                <w:szCs w:val="14"/>
                <w:lang w:val="es-ES"/>
              </w:rPr>
              <w:t xml:space="preserve"> C) PASIVO CORRIENTE</w:t>
            </w:r>
          </w:p>
        </w:tc>
        <w:tc>
          <w:tcPr>
            <w:tcW w:w="2008" w:type="dxa"/>
            <w:tcBorders>
              <w:top w:val="nil"/>
              <w:left w:val="nil"/>
              <w:bottom w:val="single" w:sz="4" w:space="0" w:color="auto"/>
              <w:right w:val="single" w:sz="4" w:space="0" w:color="auto"/>
            </w:tcBorders>
            <w:shd w:val="clear" w:color="000000" w:fill="CCFFCC"/>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13.110.888,16 </w:t>
            </w:r>
          </w:p>
        </w:tc>
        <w:tc>
          <w:tcPr>
            <w:tcW w:w="1676" w:type="dxa"/>
            <w:tcBorders>
              <w:top w:val="nil"/>
              <w:left w:val="nil"/>
              <w:bottom w:val="single" w:sz="4" w:space="0" w:color="auto"/>
              <w:right w:val="single" w:sz="4" w:space="0" w:color="auto"/>
            </w:tcBorders>
            <w:shd w:val="clear" w:color="000000" w:fill="CCFFCC"/>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13.029.660,14 </w:t>
            </w:r>
          </w:p>
        </w:tc>
      </w:tr>
      <w:tr w:rsidR="008A39CD" w:rsidRPr="008A39CD" w:rsidTr="008A39CD">
        <w:trPr>
          <w:trHeight w:val="300"/>
        </w:trPr>
        <w:tc>
          <w:tcPr>
            <w:tcW w:w="4048" w:type="dxa"/>
            <w:tcBorders>
              <w:top w:val="nil"/>
              <w:left w:val="single" w:sz="4" w:space="0" w:color="auto"/>
              <w:bottom w:val="nil"/>
              <w:right w:val="nil"/>
            </w:tcBorders>
            <w:shd w:val="clear" w:color="auto" w:fill="auto"/>
            <w:noWrap/>
            <w:vAlign w:val="center"/>
            <w:hideMark/>
          </w:tcPr>
          <w:p w:rsidR="008A39CD" w:rsidRPr="008A39CD" w:rsidRDefault="008A39CD" w:rsidP="008A39CD">
            <w:pPr>
              <w:ind w:firstLineChars="100" w:firstLine="141"/>
              <w:rPr>
                <w:rFonts w:ascii="Lucida Bright" w:hAnsi="Lucida Bright" w:cs="Calibri"/>
                <w:b/>
                <w:bCs/>
                <w:sz w:val="14"/>
                <w:szCs w:val="14"/>
                <w:lang w:val="es-ES"/>
              </w:rPr>
            </w:pPr>
            <w:r w:rsidRPr="008A39CD">
              <w:rPr>
                <w:rFonts w:ascii="Lucida Bright" w:hAnsi="Lucida Bright" w:cs="Calibri"/>
                <w:b/>
                <w:bCs/>
                <w:sz w:val="14"/>
                <w:szCs w:val="14"/>
                <w:lang w:val="es-ES"/>
              </w:rPr>
              <w:t>III. Deudas a corto plazo</w:t>
            </w:r>
          </w:p>
        </w:tc>
        <w:tc>
          <w:tcPr>
            <w:tcW w:w="2008" w:type="dxa"/>
            <w:tcBorders>
              <w:top w:val="nil"/>
              <w:left w:val="single" w:sz="4" w:space="0" w:color="auto"/>
              <w:bottom w:val="nil"/>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4.148.879,80 </w:t>
            </w:r>
          </w:p>
        </w:tc>
        <w:tc>
          <w:tcPr>
            <w:tcW w:w="1676" w:type="dxa"/>
            <w:tcBorders>
              <w:top w:val="nil"/>
              <w:left w:val="nil"/>
              <w:bottom w:val="nil"/>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4.067.651,78 </w:t>
            </w:r>
          </w:p>
        </w:tc>
      </w:tr>
      <w:tr w:rsidR="008A39CD" w:rsidRPr="008A39CD" w:rsidTr="008A39CD">
        <w:trPr>
          <w:trHeight w:val="300"/>
        </w:trPr>
        <w:tc>
          <w:tcPr>
            <w:tcW w:w="4048" w:type="dxa"/>
            <w:tcBorders>
              <w:top w:val="nil"/>
              <w:left w:val="single" w:sz="4" w:space="0" w:color="auto"/>
              <w:bottom w:val="single" w:sz="4" w:space="0" w:color="auto"/>
              <w:right w:val="nil"/>
            </w:tcBorders>
            <w:shd w:val="clear" w:color="auto" w:fill="auto"/>
            <w:noWrap/>
            <w:vAlign w:val="bottom"/>
            <w:hideMark/>
          </w:tcPr>
          <w:p w:rsidR="008A39CD" w:rsidRPr="008A39CD" w:rsidRDefault="008A39CD" w:rsidP="008A39CD">
            <w:pPr>
              <w:ind w:firstLineChars="200" w:firstLine="280"/>
              <w:rPr>
                <w:rFonts w:ascii="Lucida Bright" w:hAnsi="Lucida Bright" w:cs="Calibri"/>
                <w:color w:val="000000"/>
                <w:sz w:val="14"/>
                <w:szCs w:val="14"/>
                <w:lang w:val="es-ES"/>
              </w:rPr>
            </w:pPr>
            <w:r w:rsidRPr="008A39CD">
              <w:rPr>
                <w:rFonts w:ascii="Lucida Bright" w:hAnsi="Lucida Bright" w:cs="Calibri"/>
                <w:color w:val="000000"/>
                <w:sz w:val="14"/>
                <w:szCs w:val="14"/>
                <w:lang w:val="es-ES"/>
              </w:rPr>
              <w:t>3. Otros pasivos financieros</w:t>
            </w:r>
          </w:p>
        </w:tc>
        <w:tc>
          <w:tcPr>
            <w:tcW w:w="2008" w:type="dxa"/>
            <w:tcBorders>
              <w:top w:val="nil"/>
              <w:left w:val="single" w:sz="4" w:space="0" w:color="auto"/>
              <w:bottom w:val="single" w:sz="4" w:space="0" w:color="auto"/>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sz w:val="14"/>
                <w:szCs w:val="14"/>
                <w:lang w:val="es-ES"/>
              </w:rPr>
            </w:pPr>
            <w:r w:rsidRPr="008A39CD">
              <w:rPr>
                <w:rFonts w:ascii="Lucida Bright" w:hAnsi="Lucida Bright" w:cs="Calibri"/>
                <w:sz w:val="14"/>
                <w:szCs w:val="14"/>
                <w:lang w:val="es-ES"/>
              </w:rPr>
              <w:t xml:space="preserve">612.003,29 </w:t>
            </w:r>
          </w:p>
        </w:tc>
        <w:tc>
          <w:tcPr>
            <w:tcW w:w="1676" w:type="dxa"/>
            <w:tcBorders>
              <w:top w:val="nil"/>
              <w:left w:val="nil"/>
              <w:bottom w:val="single" w:sz="4" w:space="0" w:color="auto"/>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sz w:val="14"/>
                <w:szCs w:val="14"/>
                <w:lang w:val="es-ES"/>
              </w:rPr>
            </w:pPr>
            <w:r w:rsidRPr="008A39CD">
              <w:rPr>
                <w:rFonts w:ascii="Lucida Bright" w:hAnsi="Lucida Bright" w:cs="Calibri"/>
                <w:sz w:val="14"/>
                <w:szCs w:val="14"/>
                <w:lang w:val="es-ES"/>
              </w:rPr>
              <w:t xml:space="preserve">530.775,27 </w:t>
            </w:r>
          </w:p>
        </w:tc>
      </w:tr>
    </w:tbl>
    <w:p w:rsidR="007124E5" w:rsidRDefault="007124E5" w:rsidP="00E96B8F">
      <w:pPr>
        <w:spacing w:before="100"/>
        <w:ind w:firstLine="568"/>
        <w:jc w:val="both"/>
        <w:rPr>
          <w:rFonts w:ascii="NewBaskerville" w:hAnsi="NewBaskerville"/>
        </w:rPr>
      </w:pPr>
    </w:p>
    <w:p w:rsidR="008A39CD" w:rsidRDefault="008A39CD" w:rsidP="00E96B8F">
      <w:pPr>
        <w:spacing w:before="100"/>
        <w:ind w:firstLine="568"/>
        <w:jc w:val="both"/>
        <w:rPr>
          <w:rFonts w:ascii="NewBaskerville" w:hAnsi="NewBaskerville"/>
        </w:rPr>
      </w:pPr>
    </w:p>
    <w:p w:rsidR="008A39CD" w:rsidRDefault="008A39CD" w:rsidP="00E96B8F">
      <w:pPr>
        <w:spacing w:before="100"/>
        <w:ind w:firstLine="568"/>
        <w:jc w:val="both"/>
        <w:rPr>
          <w:rFonts w:ascii="NewBaskerville" w:hAnsi="NewBaskerville"/>
        </w:rPr>
      </w:pPr>
    </w:p>
    <w:p w:rsidR="008A39CD" w:rsidRDefault="008A39CD" w:rsidP="00E96B8F">
      <w:pPr>
        <w:spacing w:before="100"/>
        <w:ind w:firstLine="568"/>
        <w:jc w:val="both"/>
        <w:rPr>
          <w:rFonts w:ascii="NewBaskerville" w:hAnsi="NewBaskerville"/>
        </w:rPr>
      </w:pPr>
    </w:p>
    <w:p w:rsidR="008A39CD" w:rsidRDefault="008A39CD" w:rsidP="00E96B8F">
      <w:pPr>
        <w:spacing w:before="100"/>
        <w:ind w:firstLine="568"/>
        <w:jc w:val="both"/>
        <w:rPr>
          <w:rFonts w:ascii="NewBaskerville" w:hAnsi="NewBaskerville"/>
        </w:rPr>
      </w:pPr>
    </w:p>
    <w:p w:rsidR="008A39CD" w:rsidRDefault="008A39CD" w:rsidP="00E96B8F">
      <w:pPr>
        <w:spacing w:before="100"/>
        <w:ind w:firstLine="568"/>
        <w:jc w:val="both"/>
        <w:rPr>
          <w:rFonts w:ascii="NewBaskerville" w:hAnsi="NewBaskerville"/>
        </w:rPr>
      </w:pPr>
    </w:p>
    <w:p w:rsidR="008A39CD" w:rsidRDefault="008A39CD" w:rsidP="00E96B8F">
      <w:pPr>
        <w:spacing w:before="100"/>
        <w:ind w:firstLine="568"/>
        <w:jc w:val="both"/>
        <w:rPr>
          <w:rFonts w:ascii="NewBaskerville" w:hAnsi="NewBaskerville"/>
        </w:rPr>
      </w:pPr>
    </w:p>
    <w:p w:rsidR="008A39CD" w:rsidRDefault="008A39CD" w:rsidP="00E96B8F">
      <w:pPr>
        <w:spacing w:before="100"/>
        <w:ind w:firstLine="568"/>
        <w:jc w:val="both"/>
        <w:rPr>
          <w:rFonts w:ascii="NewBaskerville" w:hAnsi="NewBaskerville"/>
        </w:rPr>
      </w:pPr>
    </w:p>
    <w:tbl>
      <w:tblPr>
        <w:tblW w:w="7700" w:type="dxa"/>
        <w:tblInd w:w="70" w:type="dxa"/>
        <w:tblCellMar>
          <w:left w:w="70" w:type="dxa"/>
          <w:right w:w="70" w:type="dxa"/>
        </w:tblCellMar>
        <w:tblLook w:val="04A0" w:firstRow="1" w:lastRow="0" w:firstColumn="1" w:lastColumn="0" w:noHBand="0" w:noVBand="1"/>
      </w:tblPr>
      <w:tblGrid>
        <w:gridCol w:w="4380"/>
        <w:gridCol w:w="1660"/>
        <w:gridCol w:w="1660"/>
      </w:tblGrid>
      <w:tr w:rsidR="008A39CD" w:rsidRPr="008A39CD" w:rsidTr="008A39CD">
        <w:trPr>
          <w:trHeight w:val="300"/>
        </w:trPr>
        <w:tc>
          <w:tcPr>
            <w:tcW w:w="7700" w:type="dxa"/>
            <w:gridSpan w:val="3"/>
            <w:vMerge w:val="restart"/>
            <w:tcBorders>
              <w:top w:val="nil"/>
              <w:left w:val="nil"/>
              <w:bottom w:val="single" w:sz="4" w:space="0" w:color="000000"/>
              <w:right w:val="nil"/>
            </w:tcBorders>
            <w:shd w:val="clear" w:color="000000" w:fill="FFFFFF"/>
            <w:hideMark/>
          </w:tcPr>
          <w:p w:rsidR="008A39CD" w:rsidRPr="008A39CD" w:rsidRDefault="008A39CD" w:rsidP="008A39CD">
            <w:pPr>
              <w:rPr>
                <w:rFonts w:ascii="Lucida Bright" w:hAnsi="Lucida Bright" w:cs="Calibri"/>
                <w:b/>
                <w:bCs/>
                <w:lang w:val="es-ES"/>
              </w:rPr>
            </w:pPr>
            <w:r w:rsidRPr="008A39CD">
              <w:rPr>
                <w:rFonts w:ascii="Lucida Bright" w:hAnsi="Lucida Bright" w:cs="Calibri"/>
                <w:b/>
                <w:bCs/>
                <w:lang w:val="es-ES"/>
              </w:rPr>
              <w:lastRenderedPageBreak/>
              <w:t xml:space="preserve">Cuenta de Pérdidas y Ganancias correspondiente al ejercicio terminado el 31-12-23 (cifras comparativas 2022) </w:t>
            </w:r>
            <w:r w:rsidRPr="008A39CD">
              <w:rPr>
                <w:rFonts w:ascii="Lucida Bright" w:hAnsi="Lucida Bright" w:cs="Calibri"/>
                <w:sz w:val="14"/>
                <w:szCs w:val="14"/>
                <w:lang w:val="es-ES"/>
              </w:rPr>
              <w:t>(en euros)</w:t>
            </w:r>
          </w:p>
        </w:tc>
      </w:tr>
      <w:tr w:rsidR="008A39CD" w:rsidRPr="008A39CD" w:rsidTr="008A39CD">
        <w:trPr>
          <w:trHeight w:val="300"/>
        </w:trPr>
        <w:tc>
          <w:tcPr>
            <w:tcW w:w="7700" w:type="dxa"/>
            <w:gridSpan w:val="3"/>
            <w:vMerge/>
            <w:tcBorders>
              <w:top w:val="nil"/>
              <w:left w:val="nil"/>
              <w:bottom w:val="single" w:sz="4" w:space="0" w:color="000000"/>
              <w:right w:val="nil"/>
            </w:tcBorders>
            <w:vAlign w:val="center"/>
            <w:hideMark/>
          </w:tcPr>
          <w:p w:rsidR="008A39CD" w:rsidRPr="008A39CD" w:rsidRDefault="008A39CD" w:rsidP="008A39CD">
            <w:pPr>
              <w:rPr>
                <w:rFonts w:ascii="Lucida Bright" w:hAnsi="Lucida Bright" w:cs="Calibri"/>
                <w:b/>
                <w:bCs/>
                <w:lang w:val="es-ES"/>
              </w:rPr>
            </w:pPr>
          </w:p>
        </w:tc>
      </w:tr>
      <w:tr w:rsidR="008A39CD" w:rsidRPr="008A39CD" w:rsidTr="008A39CD">
        <w:trPr>
          <w:trHeight w:val="300"/>
        </w:trPr>
        <w:tc>
          <w:tcPr>
            <w:tcW w:w="4380" w:type="dxa"/>
            <w:vMerge w:val="restart"/>
            <w:tcBorders>
              <w:top w:val="nil"/>
              <w:left w:val="single" w:sz="4" w:space="0" w:color="auto"/>
              <w:bottom w:val="single" w:sz="4" w:space="0" w:color="000000"/>
              <w:right w:val="single" w:sz="4" w:space="0" w:color="auto"/>
            </w:tcBorders>
            <w:shd w:val="clear" w:color="000000" w:fill="CCFFCC"/>
            <w:noWrap/>
            <w:vAlign w:val="center"/>
            <w:hideMark/>
          </w:tcPr>
          <w:p w:rsidR="008A39CD" w:rsidRPr="008A39CD" w:rsidRDefault="008A39CD" w:rsidP="008A39CD">
            <w:pPr>
              <w:jc w:val="center"/>
              <w:rPr>
                <w:rFonts w:ascii="Lucida Bright" w:hAnsi="Lucida Bright" w:cs="Calibri"/>
                <w:b/>
                <w:bCs/>
                <w:sz w:val="18"/>
                <w:szCs w:val="18"/>
                <w:lang w:val="es-ES"/>
              </w:rPr>
            </w:pPr>
            <w:r w:rsidRPr="008A39CD">
              <w:rPr>
                <w:rFonts w:ascii="Lucida Bright" w:hAnsi="Lucida Bright" w:cs="Calibri"/>
                <w:b/>
                <w:bCs/>
                <w:sz w:val="18"/>
                <w:szCs w:val="18"/>
                <w:lang w:val="es-ES"/>
              </w:rPr>
              <w:t xml:space="preserve">CUENTA DE PÉRDIDAS Y GANANCIAS  </w:t>
            </w:r>
          </w:p>
        </w:tc>
        <w:tc>
          <w:tcPr>
            <w:tcW w:w="3320"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8A39CD" w:rsidRPr="008A39CD" w:rsidRDefault="008A39CD" w:rsidP="008A39CD">
            <w:pPr>
              <w:jc w:val="center"/>
              <w:rPr>
                <w:rFonts w:ascii="Lucida Bright" w:hAnsi="Lucida Bright" w:cs="Calibri"/>
                <w:b/>
                <w:bCs/>
                <w:sz w:val="18"/>
                <w:szCs w:val="18"/>
                <w:lang w:val="es-ES"/>
              </w:rPr>
            </w:pPr>
            <w:r w:rsidRPr="008A39CD">
              <w:rPr>
                <w:rFonts w:ascii="Lucida Bright" w:hAnsi="Lucida Bright" w:cs="Calibri"/>
                <w:b/>
                <w:bCs/>
                <w:sz w:val="18"/>
                <w:szCs w:val="18"/>
                <w:lang w:val="es-ES"/>
              </w:rPr>
              <w:t>(Debe) Haber</w:t>
            </w:r>
          </w:p>
        </w:tc>
      </w:tr>
      <w:tr w:rsidR="008A39CD" w:rsidRPr="008A39CD" w:rsidTr="008A39CD">
        <w:trPr>
          <w:trHeight w:val="675"/>
        </w:trPr>
        <w:tc>
          <w:tcPr>
            <w:tcW w:w="4380" w:type="dxa"/>
            <w:vMerge/>
            <w:tcBorders>
              <w:top w:val="nil"/>
              <w:left w:val="single" w:sz="4" w:space="0" w:color="auto"/>
              <w:bottom w:val="single" w:sz="4" w:space="0" w:color="000000"/>
              <w:right w:val="single" w:sz="4" w:space="0" w:color="auto"/>
            </w:tcBorders>
            <w:vAlign w:val="center"/>
            <w:hideMark/>
          </w:tcPr>
          <w:p w:rsidR="008A39CD" w:rsidRPr="008A39CD" w:rsidRDefault="008A39CD" w:rsidP="008A39CD">
            <w:pPr>
              <w:rPr>
                <w:rFonts w:ascii="Lucida Bright" w:hAnsi="Lucida Bright" w:cs="Calibri"/>
                <w:b/>
                <w:bCs/>
                <w:sz w:val="18"/>
                <w:szCs w:val="18"/>
                <w:lang w:val="es-ES"/>
              </w:rPr>
            </w:pPr>
          </w:p>
        </w:tc>
        <w:tc>
          <w:tcPr>
            <w:tcW w:w="1660" w:type="dxa"/>
            <w:tcBorders>
              <w:top w:val="nil"/>
              <w:left w:val="nil"/>
              <w:bottom w:val="single" w:sz="4" w:space="0" w:color="auto"/>
              <w:right w:val="single" w:sz="4" w:space="0" w:color="auto"/>
            </w:tcBorders>
            <w:shd w:val="clear" w:color="000000" w:fill="CCFFCC"/>
            <w:vAlign w:val="center"/>
            <w:hideMark/>
          </w:tcPr>
          <w:p w:rsidR="008A39CD" w:rsidRPr="008A39CD" w:rsidRDefault="008A39CD" w:rsidP="008A39CD">
            <w:pPr>
              <w:jc w:val="center"/>
              <w:rPr>
                <w:rFonts w:ascii="Lucida Bright" w:hAnsi="Lucida Bright" w:cs="Calibri"/>
                <w:b/>
                <w:bCs/>
                <w:sz w:val="16"/>
                <w:szCs w:val="16"/>
                <w:lang w:val="es-ES"/>
              </w:rPr>
            </w:pPr>
            <w:r w:rsidRPr="008A39CD">
              <w:rPr>
                <w:rFonts w:ascii="Lucida Bright" w:hAnsi="Lucida Bright" w:cs="Calibri"/>
                <w:b/>
                <w:bCs/>
                <w:sz w:val="16"/>
                <w:szCs w:val="16"/>
                <w:lang w:val="es-ES"/>
              </w:rPr>
              <w:t>2022 (Cuenta de P y G formulada en 2023)</w:t>
            </w:r>
          </w:p>
        </w:tc>
        <w:tc>
          <w:tcPr>
            <w:tcW w:w="1660" w:type="dxa"/>
            <w:tcBorders>
              <w:top w:val="nil"/>
              <w:left w:val="nil"/>
              <w:bottom w:val="single" w:sz="4" w:space="0" w:color="auto"/>
              <w:right w:val="single" w:sz="4" w:space="0" w:color="auto"/>
            </w:tcBorders>
            <w:shd w:val="clear" w:color="000000" w:fill="CCFFCC"/>
            <w:vAlign w:val="center"/>
            <w:hideMark/>
          </w:tcPr>
          <w:p w:rsidR="008A39CD" w:rsidRPr="008A39CD" w:rsidRDefault="008A39CD" w:rsidP="008A39CD">
            <w:pPr>
              <w:jc w:val="center"/>
              <w:rPr>
                <w:rFonts w:ascii="Lucida Bright" w:hAnsi="Lucida Bright" w:cs="Calibri"/>
                <w:b/>
                <w:bCs/>
                <w:sz w:val="16"/>
                <w:szCs w:val="16"/>
                <w:lang w:val="es-ES"/>
              </w:rPr>
            </w:pPr>
            <w:r w:rsidRPr="008A39CD">
              <w:rPr>
                <w:rFonts w:ascii="Lucida Bright" w:hAnsi="Lucida Bright" w:cs="Calibri"/>
                <w:b/>
                <w:bCs/>
                <w:sz w:val="16"/>
                <w:szCs w:val="16"/>
                <w:lang w:val="es-ES"/>
              </w:rPr>
              <w:t>2022 (Cuenta de P y G formulada en 2022)</w:t>
            </w:r>
          </w:p>
        </w:tc>
      </w:tr>
      <w:tr w:rsidR="008A39CD" w:rsidRPr="008A39CD" w:rsidTr="008A39CD">
        <w:trPr>
          <w:trHeight w:val="300"/>
        </w:trPr>
        <w:tc>
          <w:tcPr>
            <w:tcW w:w="4380" w:type="dxa"/>
            <w:tcBorders>
              <w:top w:val="nil"/>
              <w:left w:val="single" w:sz="4" w:space="0" w:color="auto"/>
              <w:bottom w:val="nil"/>
              <w:right w:val="single" w:sz="4" w:space="0" w:color="auto"/>
            </w:tcBorders>
            <w:shd w:val="clear" w:color="auto" w:fill="auto"/>
            <w:noWrap/>
            <w:vAlign w:val="center"/>
            <w:hideMark/>
          </w:tcPr>
          <w:p w:rsidR="008A39CD" w:rsidRPr="008A39CD" w:rsidRDefault="008A39CD" w:rsidP="008A39CD">
            <w:pPr>
              <w:ind w:firstLineChars="100" w:firstLine="141"/>
              <w:rPr>
                <w:rFonts w:ascii="Lucida Bright" w:hAnsi="Lucida Bright" w:cs="Calibri"/>
                <w:b/>
                <w:bCs/>
                <w:sz w:val="14"/>
                <w:szCs w:val="14"/>
                <w:lang w:val="es-ES"/>
              </w:rPr>
            </w:pPr>
            <w:r w:rsidRPr="008A39CD">
              <w:rPr>
                <w:rFonts w:ascii="Lucida Bright" w:hAnsi="Lucida Bright" w:cs="Calibri"/>
                <w:b/>
                <w:bCs/>
                <w:sz w:val="14"/>
                <w:szCs w:val="14"/>
                <w:lang w:val="es-ES"/>
              </w:rPr>
              <w:t>5. Otros ingresos de explotación</w:t>
            </w:r>
          </w:p>
        </w:tc>
        <w:tc>
          <w:tcPr>
            <w:tcW w:w="1660" w:type="dxa"/>
            <w:tcBorders>
              <w:top w:val="nil"/>
              <w:left w:val="nil"/>
              <w:bottom w:val="nil"/>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12.691.511,44  </w:t>
            </w:r>
          </w:p>
        </w:tc>
        <w:tc>
          <w:tcPr>
            <w:tcW w:w="1660" w:type="dxa"/>
            <w:tcBorders>
              <w:top w:val="nil"/>
              <w:left w:val="nil"/>
              <w:bottom w:val="nil"/>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12.687.699,37  </w:t>
            </w:r>
          </w:p>
        </w:tc>
      </w:tr>
      <w:tr w:rsidR="008A39CD" w:rsidRPr="008A39CD" w:rsidTr="008A39CD">
        <w:trPr>
          <w:trHeight w:val="300"/>
        </w:trPr>
        <w:tc>
          <w:tcPr>
            <w:tcW w:w="4380" w:type="dxa"/>
            <w:tcBorders>
              <w:top w:val="nil"/>
              <w:left w:val="single" w:sz="4" w:space="0" w:color="auto"/>
              <w:bottom w:val="nil"/>
              <w:right w:val="single" w:sz="4" w:space="0" w:color="auto"/>
            </w:tcBorders>
            <w:shd w:val="clear" w:color="auto" w:fill="auto"/>
            <w:noWrap/>
            <w:vAlign w:val="bottom"/>
            <w:hideMark/>
          </w:tcPr>
          <w:p w:rsidR="008A39CD" w:rsidRPr="008A39CD" w:rsidRDefault="008A39CD" w:rsidP="008A39CD">
            <w:pPr>
              <w:ind w:firstLineChars="200" w:firstLine="280"/>
              <w:rPr>
                <w:rFonts w:ascii="Lucida Bright" w:hAnsi="Lucida Bright" w:cs="Calibri"/>
                <w:sz w:val="14"/>
                <w:szCs w:val="14"/>
                <w:lang w:val="es-ES"/>
              </w:rPr>
            </w:pPr>
            <w:r w:rsidRPr="008A39CD">
              <w:rPr>
                <w:rFonts w:ascii="Lucida Bright" w:hAnsi="Lucida Bright" w:cs="Calibri"/>
                <w:sz w:val="14"/>
                <w:szCs w:val="14"/>
                <w:lang w:val="es-ES"/>
              </w:rPr>
              <w:t>a) Ingresos accesorios y otros de gestión corriente</w:t>
            </w:r>
          </w:p>
        </w:tc>
        <w:tc>
          <w:tcPr>
            <w:tcW w:w="1660" w:type="dxa"/>
            <w:tcBorders>
              <w:top w:val="nil"/>
              <w:left w:val="nil"/>
              <w:bottom w:val="nil"/>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sz w:val="14"/>
                <w:szCs w:val="14"/>
                <w:lang w:val="es-ES"/>
              </w:rPr>
            </w:pPr>
            <w:r w:rsidRPr="008A39CD">
              <w:rPr>
                <w:rFonts w:ascii="Lucida Bright" w:hAnsi="Lucida Bright" w:cs="Calibri"/>
                <w:sz w:val="14"/>
                <w:szCs w:val="14"/>
                <w:lang w:val="es-ES"/>
              </w:rPr>
              <w:t xml:space="preserve">9.384.503,51  </w:t>
            </w:r>
          </w:p>
        </w:tc>
        <w:tc>
          <w:tcPr>
            <w:tcW w:w="1660" w:type="dxa"/>
            <w:tcBorders>
              <w:top w:val="nil"/>
              <w:left w:val="nil"/>
              <w:bottom w:val="nil"/>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sz w:val="14"/>
                <w:szCs w:val="14"/>
                <w:lang w:val="es-ES"/>
              </w:rPr>
            </w:pPr>
            <w:r w:rsidRPr="008A39CD">
              <w:rPr>
                <w:rFonts w:ascii="Lucida Bright" w:hAnsi="Lucida Bright" w:cs="Calibri"/>
                <w:sz w:val="14"/>
                <w:szCs w:val="14"/>
                <w:lang w:val="es-ES"/>
              </w:rPr>
              <w:t xml:space="preserve">9.380.691,44  </w:t>
            </w:r>
          </w:p>
        </w:tc>
      </w:tr>
      <w:tr w:rsidR="008A39CD" w:rsidRPr="008A39CD" w:rsidTr="008A39CD">
        <w:trPr>
          <w:trHeight w:val="240"/>
        </w:trPr>
        <w:tc>
          <w:tcPr>
            <w:tcW w:w="4380" w:type="dxa"/>
            <w:tcBorders>
              <w:top w:val="nil"/>
              <w:left w:val="single" w:sz="4" w:space="0" w:color="auto"/>
              <w:bottom w:val="nil"/>
              <w:right w:val="single" w:sz="4" w:space="0" w:color="auto"/>
            </w:tcBorders>
            <w:shd w:val="clear" w:color="auto" w:fill="auto"/>
            <w:noWrap/>
            <w:vAlign w:val="center"/>
            <w:hideMark/>
          </w:tcPr>
          <w:p w:rsidR="008A39CD" w:rsidRPr="008A39CD" w:rsidRDefault="008A39CD" w:rsidP="008A39CD">
            <w:pPr>
              <w:jc w:val="center"/>
              <w:rPr>
                <w:rFonts w:ascii="Lucida Bright" w:hAnsi="Lucida Bright" w:cs="Calibri"/>
                <w:b/>
                <w:bCs/>
                <w:sz w:val="18"/>
                <w:szCs w:val="18"/>
                <w:lang w:val="es-ES"/>
              </w:rPr>
            </w:pPr>
            <w:r w:rsidRPr="008A39CD">
              <w:rPr>
                <w:rFonts w:ascii="Lucida Bright" w:hAnsi="Lucida Bright" w:cs="Calibri"/>
                <w:b/>
                <w:bCs/>
                <w:sz w:val="18"/>
                <w:szCs w:val="18"/>
                <w:lang w:val="es-ES"/>
              </w:rPr>
              <w:t> </w:t>
            </w:r>
          </w:p>
        </w:tc>
        <w:tc>
          <w:tcPr>
            <w:tcW w:w="1660" w:type="dxa"/>
            <w:tcBorders>
              <w:top w:val="nil"/>
              <w:left w:val="nil"/>
              <w:bottom w:val="nil"/>
              <w:right w:val="single" w:sz="4" w:space="0" w:color="auto"/>
            </w:tcBorders>
            <w:shd w:val="clear" w:color="auto" w:fill="auto"/>
            <w:vAlign w:val="center"/>
            <w:hideMark/>
          </w:tcPr>
          <w:p w:rsidR="008A39CD" w:rsidRPr="008A39CD" w:rsidRDefault="008A39CD" w:rsidP="008A39CD">
            <w:pPr>
              <w:jc w:val="center"/>
              <w:rPr>
                <w:rFonts w:ascii="Lucida Bright" w:hAnsi="Lucida Bright" w:cs="Calibri"/>
                <w:b/>
                <w:bCs/>
                <w:sz w:val="16"/>
                <w:szCs w:val="16"/>
                <w:lang w:val="es-ES"/>
              </w:rPr>
            </w:pPr>
            <w:r w:rsidRPr="008A39CD">
              <w:rPr>
                <w:rFonts w:ascii="Lucida Bright" w:hAnsi="Lucida Bright" w:cs="Calibri"/>
                <w:b/>
                <w:bCs/>
                <w:sz w:val="16"/>
                <w:szCs w:val="16"/>
                <w:lang w:val="es-ES"/>
              </w:rPr>
              <w:t> </w:t>
            </w:r>
          </w:p>
        </w:tc>
        <w:tc>
          <w:tcPr>
            <w:tcW w:w="1660" w:type="dxa"/>
            <w:tcBorders>
              <w:top w:val="nil"/>
              <w:left w:val="nil"/>
              <w:bottom w:val="nil"/>
              <w:right w:val="single" w:sz="4" w:space="0" w:color="auto"/>
            </w:tcBorders>
            <w:shd w:val="clear" w:color="auto" w:fill="auto"/>
            <w:vAlign w:val="center"/>
            <w:hideMark/>
          </w:tcPr>
          <w:p w:rsidR="008A39CD" w:rsidRPr="008A39CD" w:rsidRDefault="008A39CD" w:rsidP="008A39CD">
            <w:pPr>
              <w:jc w:val="center"/>
              <w:rPr>
                <w:rFonts w:ascii="Lucida Bright" w:hAnsi="Lucida Bright" w:cs="Calibri"/>
                <w:b/>
                <w:bCs/>
                <w:sz w:val="16"/>
                <w:szCs w:val="16"/>
                <w:lang w:val="es-ES"/>
              </w:rPr>
            </w:pPr>
            <w:r w:rsidRPr="008A39CD">
              <w:rPr>
                <w:rFonts w:ascii="Lucida Bright" w:hAnsi="Lucida Bright" w:cs="Calibri"/>
                <w:b/>
                <w:bCs/>
                <w:sz w:val="16"/>
                <w:szCs w:val="16"/>
                <w:lang w:val="es-ES"/>
              </w:rPr>
              <w:t> </w:t>
            </w:r>
          </w:p>
        </w:tc>
      </w:tr>
      <w:tr w:rsidR="008A39CD" w:rsidRPr="008A39CD" w:rsidTr="008A39CD">
        <w:trPr>
          <w:trHeight w:val="360"/>
        </w:trPr>
        <w:tc>
          <w:tcPr>
            <w:tcW w:w="4380" w:type="dxa"/>
            <w:tcBorders>
              <w:top w:val="nil"/>
              <w:left w:val="single" w:sz="4" w:space="0" w:color="auto"/>
              <w:bottom w:val="nil"/>
              <w:right w:val="single" w:sz="4" w:space="0" w:color="auto"/>
            </w:tcBorders>
            <w:shd w:val="clear" w:color="000000" w:fill="CCFFCC"/>
            <w:vAlign w:val="center"/>
            <w:hideMark/>
          </w:tcPr>
          <w:p w:rsidR="008A39CD" w:rsidRPr="008A39CD" w:rsidRDefault="008A39CD" w:rsidP="008A39CD">
            <w:pPr>
              <w:rPr>
                <w:rFonts w:ascii="Lucida Bright" w:hAnsi="Lucida Bright" w:cs="Calibri"/>
                <w:b/>
                <w:bCs/>
                <w:sz w:val="14"/>
                <w:szCs w:val="14"/>
                <w:lang w:val="es-ES"/>
              </w:rPr>
            </w:pPr>
            <w:r w:rsidRPr="008A39CD">
              <w:rPr>
                <w:rFonts w:ascii="Lucida Bright" w:hAnsi="Lucida Bright" w:cs="Calibri"/>
                <w:b/>
                <w:bCs/>
                <w:sz w:val="14"/>
                <w:szCs w:val="14"/>
                <w:lang w:val="es-ES"/>
              </w:rPr>
              <w:t xml:space="preserve">  A.1. RESULTADO DE EXPLOTACIÓN (1+3+5+6+7+8+9+10+11+12)</w:t>
            </w:r>
          </w:p>
        </w:tc>
        <w:tc>
          <w:tcPr>
            <w:tcW w:w="1660" w:type="dxa"/>
            <w:tcBorders>
              <w:top w:val="nil"/>
              <w:left w:val="nil"/>
              <w:bottom w:val="nil"/>
              <w:right w:val="single" w:sz="4" w:space="0" w:color="auto"/>
            </w:tcBorders>
            <w:shd w:val="clear" w:color="000000" w:fill="CCFFCC"/>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32.663.502,97  </w:t>
            </w:r>
          </w:p>
        </w:tc>
        <w:tc>
          <w:tcPr>
            <w:tcW w:w="1660" w:type="dxa"/>
            <w:tcBorders>
              <w:top w:val="nil"/>
              <w:left w:val="nil"/>
              <w:bottom w:val="nil"/>
              <w:right w:val="single" w:sz="4" w:space="0" w:color="auto"/>
            </w:tcBorders>
            <w:shd w:val="clear" w:color="000000" w:fill="CCFFCC"/>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32.659.690,90  </w:t>
            </w:r>
          </w:p>
        </w:tc>
      </w:tr>
      <w:tr w:rsidR="008A39CD" w:rsidRPr="008A39CD" w:rsidTr="008A39CD">
        <w:trPr>
          <w:trHeight w:val="300"/>
        </w:trPr>
        <w:tc>
          <w:tcPr>
            <w:tcW w:w="4380" w:type="dxa"/>
            <w:tcBorders>
              <w:top w:val="nil"/>
              <w:left w:val="single" w:sz="4" w:space="0" w:color="auto"/>
              <w:bottom w:val="nil"/>
              <w:right w:val="single" w:sz="4" w:space="0" w:color="auto"/>
            </w:tcBorders>
            <w:shd w:val="clear" w:color="auto" w:fill="auto"/>
            <w:noWrap/>
            <w:vAlign w:val="center"/>
            <w:hideMark/>
          </w:tcPr>
          <w:p w:rsidR="008A39CD" w:rsidRPr="008A39CD" w:rsidRDefault="008A39CD" w:rsidP="008A39CD">
            <w:pPr>
              <w:rPr>
                <w:rFonts w:ascii="Lucida Bright" w:hAnsi="Lucida Bright" w:cs="Calibri"/>
                <w:b/>
                <w:bCs/>
                <w:sz w:val="14"/>
                <w:szCs w:val="14"/>
                <w:lang w:val="es-ES"/>
              </w:rPr>
            </w:pPr>
            <w:r w:rsidRPr="008A39CD">
              <w:rPr>
                <w:rFonts w:ascii="Lucida Bright" w:hAnsi="Lucida Bright" w:cs="Calibri"/>
                <w:b/>
                <w:bCs/>
                <w:sz w:val="14"/>
                <w:szCs w:val="14"/>
                <w:lang w:val="es-ES"/>
              </w:rPr>
              <w:t> </w:t>
            </w:r>
          </w:p>
        </w:tc>
        <w:tc>
          <w:tcPr>
            <w:tcW w:w="1660" w:type="dxa"/>
            <w:tcBorders>
              <w:top w:val="nil"/>
              <w:left w:val="nil"/>
              <w:bottom w:val="nil"/>
              <w:right w:val="single" w:sz="4" w:space="0" w:color="auto"/>
            </w:tcBorders>
            <w:shd w:val="clear" w:color="auto" w:fill="auto"/>
            <w:noWrap/>
            <w:vAlign w:val="center"/>
            <w:hideMark/>
          </w:tcPr>
          <w:p w:rsidR="008A39CD" w:rsidRPr="008A39CD" w:rsidRDefault="008A39CD" w:rsidP="008A39CD">
            <w:pPr>
              <w:rPr>
                <w:rFonts w:ascii="Lucida Bright" w:hAnsi="Lucida Bright" w:cs="Calibri"/>
                <w:b/>
                <w:bCs/>
                <w:sz w:val="14"/>
                <w:szCs w:val="14"/>
                <w:lang w:val="es-ES"/>
              </w:rPr>
            </w:pPr>
            <w:r w:rsidRPr="008A39CD">
              <w:rPr>
                <w:rFonts w:ascii="Lucida Bright" w:hAnsi="Lucida Bright" w:cs="Calibri"/>
                <w:b/>
                <w:bCs/>
                <w:sz w:val="14"/>
                <w:szCs w:val="14"/>
                <w:lang w:val="es-ES"/>
              </w:rPr>
              <w:t> </w:t>
            </w:r>
          </w:p>
        </w:tc>
        <w:tc>
          <w:tcPr>
            <w:tcW w:w="1660" w:type="dxa"/>
            <w:tcBorders>
              <w:top w:val="nil"/>
              <w:left w:val="nil"/>
              <w:bottom w:val="nil"/>
              <w:right w:val="single" w:sz="4" w:space="0" w:color="auto"/>
            </w:tcBorders>
            <w:shd w:val="clear" w:color="auto" w:fill="auto"/>
            <w:noWrap/>
            <w:vAlign w:val="center"/>
            <w:hideMark/>
          </w:tcPr>
          <w:p w:rsidR="008A39CD" w:rsidRPr="008A39CD" w:rsidRDefault="008A39CD" w:rsidP="008A39CD">
            <w:pPr>
              <w:rPr>
                <w:rFonts w:ascii="Lucida Bright" w:hAnsi="Lucida Bright" w:cs="Calibri"/>
                <w:b/>
                <w:bCs/>
                <w:sz w:val="14"/>
                <w:szCs w:val="14"/>
                <w:lang w:val="es-ES"/>
              </w:rPr>
            </w:pPr>
            <w:r w:rsidRPr="008A39CD">
              <w:rPr>
                <w:rFonts w:ascii="Lucida Bright" w:hAnsi="Lucida Bright" w:cs="Calibri"/>
                <w:b/>
                <w:bCs/>
                <w:sz w:val="14"/>
                <w:szCs w:val="14"/>
                <w:lang w:val="es-ES"/>
              </w:rPr>
              <w:t> </w:t>
            </w:r>
          </w:p>
        </w:tc>
      </w:tr>
      <w:tr w:rsidR="008A39CD" w:rsidRPr="008A39CD" w:rsidTr="008A39CD">
        <w:trPr>
          <w:trHeight w:val="300"/>
        </w:trPr>
        <w:tc>
          <w:tcPr>
            <w:tcW w:w="4380" w:type="dxa"/>
            <w:tcBorders>
              <w:top w:val="nil"/>
              <w:left w:val="single" w:sz="4" w:space="0" w:color="auto"/>
              <w:bottom w:val="nil"/>
              <w:right w:val="single" w:sz="4" w:space="0" w:color="auto"/>
            </w:tcBorders>
            <w:shd w:val="clear" w:color="000000" w:fill="CCFFCC"/>
            <w:noWrap/>
            <w:vAlign w:val="center"/>
            <w:hideMark/>
          </w:tcPr>
          <w:p w:rsidR="008A39CD" w:rsidRPr="008A39CD" w:rsidRDefault="008A39CD" w:rsidP="008A39CD">
            <w:pPr>
              <w:rPr>
                <w:rFonts w:ascii="Lucida Bright" w:hAnsi="Lucida Bright" w:cs="Calibri"/>
                <w:b/>
                <w:bCs/>
                <w:sz w:val="14"/>
                <w:szCs w:val="14"/>
                <w:lang w:val="es-ES"/>
              </w:rPr>
            </w:pPr>
            <w:r w:rsidRPr="008A39CD">
              <w:rPr>
                <w:rFonts w:ascii="Lucida Bright" w:hAnsi="Lucida Bright" w:cs="Calibri"/>
                <w:b/>
                <w:bCs/>
                <w:sz w:val="14"/>
                <w:szCs w:val="14"/>
                <w:lang w:val="es-ES"/>
              </w:rPr>
              <w:t xml:space="preserve">  A.3. RESULTADO ANTES DE IMPUESTOS (A.1+A.2)</w:t>
            </w:r>
          </w:p>
        </w:tc>
        <w:tc>
          <w:tcPr>
            <w:tcW w:w="1660" w:type="dxa"/>
            <w:tcBorders>
              <w:top w:val="nil"/>
              <w:left w:val="nil"/>
              <w:bottom w:val="nil"/>
              <w:right w:val="single" w:sz="4" w:space="0" w:color="auto"/>
            </w:tcBorders>
            <w:shd w:val="clear" w:color="000000" w:fill="CCFFCC"/>
            <w:noWrap/>
            <w:vAlign w:val="bottom"/>
            <w:hideMark/>
          </w:tcPr>
          <w:p w:rsidR="008A39CD" w:rsidRPr="008A39CD" w:rsidRDefault="008A39CD" w:rsidP="008A39CD">
            <w:pPr>
              <w:jc w:val="right"/>
              <w:rPr>
                <w:rFonts w:ascii="Lucida Bright" w:hAnsi="Lucida Bright" w:cs="Calibri"/>
                <w:b/>
                <w:bCs/>
                <w:color w:val="000000"/>
                <w:sz w:val="14"/>
                <w:szCs w:val="14"/>
                <w:lang w:val="es-ES"/>
              </w:rPr>
            </w:pPr>
            <w:r w:rsidRPr="008A39CD">
              <w:rPr>
                <w:rFonts w:ascii="Lucida Bright" w:hAnsi="Lucida Bright" w:cs="Calibri"/>
                <w:b/>
                <w:bCs/>
                <w:color w:val="000000"/>
                <w:sz w:val="14"/>
                <w:szCs w:val="14"/>
                <w:lang w:val="es-ES"/>
              </w:rPr>
              <w:t xml:space="preserve">32.807.595,40  </w:t>
            </w:r>
          </w:p>
        </w:tc>
        <w:tc>
          <w:tcPr>
            <w:tcW w:w="1660" w:type="dxa"/>
            <w:tcBorders>
              <w:top w:val="nil"/>
              <w:left w:val="nil"/>
              <w:bottom w:val="nil"/>
              <w:right w:val="single" w:sz="4" w:space="0" w:color="auto"/>
            </w:tcBorders>
            <w:shd w:val="clear" w:color="000000" w:fill="CCFFCC"/>
            <w:noWrap/>
            <w:vAlign w:val="bottom"/>
            <w:hideMark/>
          </w:tcPr>
          <w:p w:rsidR="008A39CD" w:rsidRPr="008A39CD" w:rsidRDefault="008A39CD" w:rsidP="008A39CD">
            <w:pPr>
              <w:jc w:val="right"/>
              <w:rPr>
                <w:rFonts w:ascii="Lucida Bright" w:hAnsi="Lucida Bright" w:cs="Calibri"/>
                <w:b/>
                <w:bCs/>
                <w:color w:val="000000"/>
                <w:sz w:val="14"/>
                <w:szCs w:val="14"/>
                <w:lang w:val="es-ES"/>
              </w:rPr>
            </w:pPr>
            <w:r w:rsidRPr="008A39CD">
              <w:rPr>
                <w:rFonts w:ascii="Lucida Bright" w:hAnsi="Lucida Bright" w:cs="Calibri"/>
                <w:b/>
                <w:bCs/>
                <w:color w:val="000000"/>
                <w:sz w:val="14"/>
                <w:szCs w:val="14"/>
                <w:lang w:val="es-ES"/>
              </w:rPr>
              <w:t xml:space="preserve">32.803.783,33  </w:t>
            </w:r>
          </w:p>
        </w:tc>
      </w:tr>
      <w:tr w:rsidR="008A39CD" w:rsidRPr="008A39CD" w:rsidTr="008A39CD">
        <w:trPr>
          <w:trHeight w:val="300"/>
        </w:trPr>
        <w:tc>
          <w:tcPr>
            <w:tcW w:w="4380" w:type="dxa"/>
            <w:tcBorders>
              <w:top w:val="nil"/>
              <w:left w:val="single" w:sz="4" w:space="0" w:color="auto"/>
              <w:bottom w:val="nil"/>
              <w:right w:val="single" w:sz="4" w:space="0" w:color="auto"/>
            </w:tcBorders>
            <w:shd w:val="clear" w:color="auto" w:fill="auto"/>
            <w:noWrap/>
            <w:vAlign w:val="center"/>
            <w:hideMark/>
          </w:tcPr>
          <w:p w:rsidR="008A39CD" w:rsidRPr="008A39CD" w:rsidRDefault="008A39CD" w:rsidP="008A39CD">
            <w:pPr>
              <w:rPr>
                <w:rFonts w:ascii="Lucida Bright" w:hAnsi="Lucida Bright" w:cs="Calibri"/>
                <w:b/>
                <w:bCs/>
                <w:sz w:val="14"/>
                <w:szCs w:val="14"/>
                <w:lang w:val="es-ES"/>
              </w:rPr>
            </w:pPr>
            <w:r w:rsidRPr="008A39CD">
              <w:rPr>
                <w:rFonts w:ascii="Lucida Bright" w:hAnsi="Lucida Bright" w:cs="Calibri"/>
                <w:b/>
                <w:bCs/>
                <w:sz w:val="14"/>
                <w:szCs w:val="14"/>
                <w:lang w:val="es-ES"/>
              </w:rPr>
              <w:t> </w:t>
            </w:r>
          </w:p>
        </w:tc>
        <w:tc>
          <w:tcPr>
            <w:tcW w:w="1660" w:type="dxa"/>
            <w:tcBorders>
              <w:top w:val="nil"/>
              <w:left w:val="nil"/>
              <w:bottom w:val="nil"/>
              <w:right w:val="single" w:sz="4" w:space="0" w:color="auto"/>
            </w:tcBorders>
            <w:shd w:val="clear" w:color="auto" w:fill="auto"/>
            <w:noWrap/>
            <w:vAlign w:val="center"/>
            <w:hideMark/>
          </w:tcPr>
          <w:p w:rsidR="008A39CD" w:rsidRPr="008A39CD" w:rsidRDefault="008A39CD" w:rsidP="008A39CD">
            <w:pPr>
              <w:rPr>
                <w:rFonts w:ascii="Lucida Bright" w:hAnsi="Lucida Bright" w:cs="Calibri"/>
                <w:b/>
                <w:bCs/>
                <w:sz w:val="14"/>
                <w:szCs w:val="14"/>
                <w:lang w:val="es-ES"/>
              </w:rPr>
            </w:pPr>
            <w:r w:rsidRPr="008A39CD">
              <w:rPr>
                <w:rFonts w:ascii="Lucida Bright" w:hAnsi="Lucida Bright" w:cs="Calibri"/>
                <w:b/>
                <w:bCs/>
                <w:sz w:val="14"/>
                <w:szCs w:val="14"/>
                <w:lang w:val="es-ES"/>
              </w:rPr>
              <w:t> </w:t>
            </w:r>
          </w:p>
        </w:tc>
        <w:tc>
          <w:tcPr>
            <w:tcW w:w="1660" w:type="dxa"/>
            <w:tcBorders>
              <w:top w:val="nil"/>
              <w:left w:val="nil"/>
              <w:bottom w:val="nil"/>
              <w:right w:val="single" w:sz="4" w:space="0" w:color="auto"/>
            </w:tcBorders>
            <w:shd w:val="clear" w:color="auto" w:fill="auto"/>
            <w:noWrap/>
            <w:vAlign w:val="center"/>
            <w:hideMark/>
          </w:tcPr>
          <w:p w:rsidR="008A39CD" w:rsidRPr="008A39CD" w:rsidRDefault="008A39CD" w:rsidP="008A39CD">
            <w:pPr>
              <w:rPr>
                <w:rFonts w:ascii="Lucida Bright" w:hAnsi="Lucida Bright" w:cs="Calibri"/>
                <w:b/>
                <w:bCs/>
                <w:sz w:val="14"/>
                <w:szCs w:val="14"/>
                <w:lang w:val="es-ES"/>
              </w:rPr>
            </w:pPr>
            <w:r w:rsidRPr="008A39CD">
              <w:rPr>
                <w:rFonts w:ascii="Lucida Bright" w:hAnsi="Lucida Bright" w:cs="Calibri"/>
                <w:b/>
                <w:bCs/>
                <w:sz w:val="14"/>
                <w:szCs w:val="14"/>
                <w:lang w:val="es-ES"/>
              </w:rPr>
              <w:t> </w:t>
            </w:r>
          </w:p>
        </w:tc>
      </w:tr>
      <w:tr w:rsidR="008A39CD" w:rsidRPr="008A39CD" w:rsidTr="008A39CD">
        <w:trPr>
          <w:trHeight w:val="300"/>
        </w:trPr>
        <w:tc>
          <w:tcPr>
            <w:tcW w:w="4380" w:type="dxa"/>
            <w:tcBorders>
              <w:top w:val="nil"/>
              <w:left w:val="single" w:sz="4" w:space="0" w:color="auto"/>
              <w:bottom w:val="single" w:sz="4" w:space="0" w:color="auto"/>
              <w:right w:val="single" w:sz="4" w:space="0" w:color="auto"/>
            </w:tcBorders>
            <w:shd w:val="clear" w:color="000000" w:fill="CCFFCC"/>
            <w:noWrap/>
            <w:vAlign w:val="bottom"/>
            <w:hideMark/>
          </w:tcPr>
          <w:p w:rsidR="008A39CD" w:rsidRPr="008A39CD" w:rsidRDefault="008A39CD" w:rsidP="008A39CD">
            <w:pPr>
              <w:rPr>
                <w:rFonts w:ascii="Lucida Bright" w:hAnsi="Lucida Bright" w:cs="Calibri"/>
                <w:b/>
                <w:bCs/>
                <w:color w:val="000000"/>
                <w:sz w:val="14"/>
                <w:szCs w:val="14"/>
                <w:lang w:val="es-ES"/>
              </w:rPr>
            </w:pPr>
            <w:r w:rsidRPr="008A39CD">
              <w:rPr>
                <w:rFonts w:ascii="Lucida Bright" w:hAnsi="Lucida Bright" w:cs="Calibri"/>
                <w:b/>
                <w:bCs/>
                <w:color w:val="000000"/>
                <w:sz w:val="14"/>
                <w:szCs w:val="14"/>
                <w:lang w:val="es-ES"/>
              </w:rPr>
              <w:t xml:space="preserve">  A.4. RESULTADO DEL EJERCICIO (A.3+17)</w:t>
            </w:r>
          </w:p>
        </w:tc>
        <w:tc>
          <w:tcPr>
            <w:tcW w:w="1660" w:type="dxa"/>
            <w:tcBorders>
              <w:top w:val="nil"/>
              <w:left w:val="nil"/>
              <w:bottom w:val="single" w:sz="4" w:space="0" w:color="auto"/>
              <w:right w:val="single" w:sz="4" w:space="0" w:color="auto"/>
            </w:tcBorders>
            <w:shd w:val="clear" w:color="000000" w:fill="CCFFCC"/>
            <w:noWrap/>
            <w:vAlign w:val="bottom"/>
            <w:hideMark/>
          </w:tcPr>
          <w:p w:rsidR="008A39CD" w:rsidRPr="008A39CD" w:rsidRDefault="008A39CD" w:rsidP="008A39CD">
            <w:pPr>
              <w:jc w:val="right"/>
              <w:rPr>
                <w:rFonts w:ascii="Lucida Bright" w:hAnsi="Lucida Bright" w:cs="Calibri"/>
                <w:b/>
                <w:bCs/>
                <w:color w:val="000000"/>
                <w:sz w:val="14"/>
                <w:szCs w:val="14"/>
                <w:lang w:val="es-ES"/>
              </w:rPr>
            </w:pPr>
            <w:r w:rsidRPr="008A39CD">
              <w:rPr>
                <w:rFonts w:ascii="Lucida Bright" w:hAnsi="Lucida Bright" w:cs="Calibri"/>
                <w:b/>
                <w:bCs/>
                <w:color w:val="000000"/>
                <w:sz w:val="14"/>
                <w:szCs w:val="14"/>
                <w:lang w:val="es-ES"/>
              </w:rPr>
              <w:t xml:space="preserve">32.941.106,16  </w:t>
            </w:r>
          </w:p>
        </w:tc>
        <w:tc>
          <w:tcPr>
            <w:tcW w:w="1660" w:type="dxa"/>
            <w:tcBorders>
              <w:top w:val="nil"/>
              <w:left w:val="nil"/>
              <w:bottom w:val="single" w:sz="4" w:space="0" w:color="auto"/>
              <w:right w:val="single" w:sz="4" w:space="0" w:color="auto"/>
            </w:tcBorders>
            <w:shd w:val="clear" w:color="000000" w:fill="CCFFCC"/>
            <w:noWrap/>
            <w:vAlign w:val="bottom"/>
            <w:hideMark/>
          </w:tcPr>
          <w:p w:rsidR="008A39CD" w:rsidRPr="008A39CD" w:rsidRDefault="008A39CD" w:rsidP="008A39CD">
            <w:pPr>
              <w:jc w:val="right"/>
              <w:rPr>
                <w:rFonts w:ascii="Lucida Bright" w:hAnsi="Lucida Bright" w:cs="Calibri"/>
                <w:b/>
                <w:bCs/>
                <w:color w:val="000000"/>
                <w:sz w:val="14"/>
                <w:szCs w:val="14"/>
                <w:lang w:val="es-ES"/>
              </w:rPr>
            </w:pPr>
            <w:r w:rsidRPr="008A39CD">
              <w:rPr>
                <w:rFonts w:ascii="Lucida Bright" w:hAnsi="Lucida Bright" w:cs="Calibri"/>
                <w:b/>
                <w:bCs/>
                <w:color w:val="000000"/>
                <w:sz w:val="14"/>
                <w:szCs w:val="14"/>
                <w:lang w:val="es-ES"/>
              </w:rPr>
              <w:t xml:space="preserve">32.937.294,09  </w:t>
            </w:r>
          </w:p>
        </w:tc>
      </w:tr>
    </w:tbl>
    <w:p w:rsidR="008A39CD" w:rsidRDefault="008A39CD" w:rsidP="00E96B8F">
      <w:pPr>
        <w:spacing w:before="100"/>
        <w:ind w:firstLine="568"/>
        <w:jc w:val="both"/>
        <w:rPr>
          <w:rFonts w:ascii="NewBaskerville" w:hAnsi="NewBaskerville"/>
        </w:rPr>
      </w:pPr>
    </w:p>
    <w:tbl>
      <w:tblPr>
        <w:tblW w:w="7700" w:type="dxa"/>
        <w:tblInd w:w="70" w:type="dxa"/>
        <w:tblCellMar>
          <w:left w:w="70" w:type="dxa"/>
          <w:right w:w="70" w:type="dxa"/>
        </w:tblCellMar>
        <w:tblLook w:val="04A0" w:firstRow="1" w:lastRow="0" w:firstColumn="1" w:lastColumn="0" w:noHBand="0" w:noVBand="1"/>
      </w:tblPr>
      <w:tblGrid>
        <w:gridCol w:w="4380"/>
        <w:gridCol w:w="1660"/>
        <w:gridCol w:w="1660"/>
      </w:tblGrid>
      <w:tr w:rsidR="008A39CD" w:rsidRPr="008A39CD" w:rsidTr="008A39CD">
        <w:trPr>
          <w:trHeight w:val="345"/>
        </w:trPr>
        <w:tc>
          <w:tcPr>
            <w:tcW w:w="7700" w:type="dxa"/>
            <w:gridSpan w:val="3"/>
            <w:vMerge w:val="restart"/>
            <w:tcBorders>
              <w:top w:val="nil"/>
              <w:left w:val="nil"/>
              <w:bottom w:val="single" w:sz="4" w:space="0" w:color="000000"/>
              <w:right w:val="nil"/>
            </w:tcBorders>
            <w:shd w:val="clear" w:color="000000" w:fill="FFFFFF"/>
            <w:vAlign w:val="center"/>
            <w:hideMark/>
          </w:tcPr>
          <w:p w:rsidR="008A39CD" w:rsidRPr="008A39CD" w:rsidRDefault="008A39CD" w:rsidP="008A39CD">
            <w:pPr>
              <w:rPr>
                <w:rFonts w:ascii="Lucida Bright" w:hAnsi="Lucida Bright" w:cs="Calibri"/>
                <w:b/>
                <w:bCs/>
                <w:lang w:val="es-ES"/>
              </w:rPr>
            </w:pPr>
            <w:r w:rsidRPr="008A39CD">
              <w:rPr>
                <w:rFonts w:ascii="Lucida Bright" w:hAnsi="Lucida Bright" w:cs="Calibri"/>
                <w:b/>
                <w:bCs/>
                <w:lang w:val="es-ES"/>
              </w:rPr>
              <w:t xml:space="preserve">Estado de flujos de efectivo correspondiente al ejercicio terminado el       31-12-23 (cifras comparativas 2022) </w:t>
            </w:r>
            <w:r w:rsidRPr="008A39CD">
              <w:rPr>
                <w:rFonts w:ascii="Lucida Bright" w:hAnsi="Lucida Bright" w:cs="Calibri"/>
                <w:sz w:val="14"/>
                <w:szCs w:val="14"/>
                <w:lang w:val="es-ES"/>
              </w:rPr>
              <w:t>(en euros)</w:t>
            </w:r>
          </w:p>
        </w:tc>
      </w:tr>
      <w:tr w:rsidR="008A39CD" w:rsidRPr="008A39CD" w:rsidTr="008A39CD">
        <w:trPr>
          <w:trHeight w:val="300"/>
        </w:trPr>
        <w:tc>
          <w:tcPr>
            <w:tcW w:w="7700" w:type="dxa"/>
            <w:gridSpan w:val="3"/>
            <w:vMerge/>
            <w:tcBorders>
              <w:top w:val="nil"/>
              <w:left w:val="nil"/>
              <w:bottom w:val="single" w:sz="4" w:space="0" w:color="000000"/>
              <w:right w:val="nil"/>
            </w:tcBorders>
            <w:vAlign w:val="center"/>
            <w:hideMark/>
          </w:tcPr>
          <w:p w:rsidR="008A39CD" w:rsidRPr="008A39CD" w:rsidRDefault="008A39CD" w:rsidP="008A39CD">
            <w:pPr>
              <w:rPr>
                <w:rFonts w:ascii="Lucida Bright" w:hAnsi="Lucida Bright" w:cs="Calibri"/>
                <w:b/>
                <w:bCs/>
                <w:lang w:val="es-ES"/>
              </w:rPr>
            </w:pPr>
          </w:p>
        </w:tc>
      </w:tr>
      <w:tr w:rsidR="008A39CD" w:rsidRPr="008A39CD" w:rsidTr="008A39CD">
        <w:trPr>
          <w:trHeight w:val="630"/>
        </w:trPr>
        <w:tc>
          <w:tcPr>
            <w:tcW w:w="4380" w:type="dxa"/>
            <w:tcBorders>
              <w:top w:val="nil"/>
              <w:left w:val="single" w:sz="4" w:space="0" w:color="auto"/>
              <w:bottom w:val="single" w:sz="4" w:space="0" w:color="auto"/>
              <w:right w:val="nil"/>
            </w:tcBorders>
            <w:shd w:val="clear" w:color="000000" w:fill="CCFFCC"/>
            <w:noWrap/>
            <w:vAlign w:val="center"/>
            <w:hideMark/>
          </w:tcPr>
          <w:p w:rsidR="008A39CD" w:rsidRPr="008A39CD" w:rsidRDefault="008A39CD" w:rsidP="008A39CD">
            <w:pPr>
              <w:jc w:val="center"/>
              <w:rPr>
                <w:rFonts w:ascii="Lucida Bright" w:hAnsi="Lucida Bright" w:cs="Calibri"/>
                <w:b/>
                <w:bCs/>
                <w:sz w:val="14"/>
                <w:szCs w:val="14"/>
                <w:lang w:val="es-ES"/>
              </w:rPr>
            </w:pPr>
            <w:r w:rsidRPr="008A39CD">
              <w:rPr>
                <w:rFonts w:ascii="Lucida Bright" w:hAnsi="Lucida Bright" w:cs="Calibri"/>
                <w:b/>
                <w:bCs/>
                <w:sz w:val="14"/>
                <w:szCs w:val="14"/>
                <w:lang w:val="es-ES"/>
              </w:rPr>
              <w:t>CONCEPTO</w:t>
            </w:r>
          </w:p>
        </w:tc>
        <w:tc>
          <w:tcPr>
            <w:tcW w:w="1660" w:type="dxa"/>
            <w:tcBorders>
              <w:top w:val="nil"/>
              <w:left w:val="single" w:sz="4" w:space="0" w:color="auto"/>
              <w:bottom w:val="single" w:sz="4" w:space="0" w:color="auto"/>
              <w:right w:val="single" w:sz="4" w:space="0" w:color="auto"/>
            </w:tcBorders>
            <w:shd w:val="clear" w:color="000000" w:fill="CCFFCC"/>
            <w:vAlign w:val="center"/>
            <w:hideMark/>
          </w:tcPr>
          <w:p w:rsidR="008A39CD" w:rsidRPr="008A39CD" w:rsidRDefault="001F5CB7" w:rsidP="008A39CD">
            <w:pPr>
              <w:jc w:val="center"/>
              <w:rPr>
                <w:rFonts w:ascii="Lucida Bright" w:hAnsi="Lucida Bright" w:cs="Calibri"/>
                <w:b/>
                <w:bCs/>
                <w:sz w:val="16"/>
                <w:szCs w:val="16"/>
                <w:lang w:val="es-ES"/>
              </w:rPr>
            </w:pPr>
            <w:r>
              <w:rPr>
                <w:rFonts w:ascii="Lucida Bright" w:hAnsi="Lucida Bright" w:cs="Calibri"/>
                <w:b/>
                <w:bCs/>
                <w:sz w:val="16"/>
                <w:szCs w:val="16"/>
                <w:lang w:val="es-ES"/>
              </w:rPr>
              <w:t>2022 (EFE form</w:t>
            </w:r>
            <w:r w:rsidR="008A39CD" w:rsidRPr="008A39CD">
              <w:rPr>
                <w:rFonts w:ascii="Lucida Bright" w:hAnsi="Lucida Bright" w:cs="Calibri"/>
                <w:b/>
                <w:bCs/>
                <w:sz w:val="16"/>
                <w:szCs w:val="16"/>
                <w:lang w:val="es-ES"/>
              </w:rPr>
              <w:t>ulado en 2023)</w:t>
            </w:r>
          </w:p>
        </w:tc>
        <w:tc>
          <w:tcPr>
            <w:tcW w:w="1660" w:type="dxa"/>
            <w:tcBorders>
              <w:top w:val="nil"/>
              <w:left w:val="nil"/>
              <w:bottom w:val="single" w:sz="4" w:space="0" w:color="auto"/>
              <w:right w:val="single" w:sz="4" w:space="0" w:color="auto"/>
            </w:tcBorders>
            <w:shd w:val="clear" w:color="000000" w:fill="CCFFCC"/>
            <w:vAlign w:val="center"/>
            <w:hideMark/>
          </w:tcPr>
          <w:p w:rsidR="008A39CD" w:rsidRPr="008A39CD" w:rsidRDefault="008A39CD" w:rsidP="001F5CB7">
            <w:pPr>
              <w:jc w:val="center"/>
              <w:rPr>
                <w:rFonts w:ascii="Lucida Bright" w:hAnsi="Lucida Bright" w:cs="Calibri"/>
                <w:b/>
                <w:bCs/>
                <w:sz w:val="16"/>
                <w:szCs w:val="16"/>
                <w:lang w:val="es-ES"/>
              </w:rPr>
            </w:pPr>
            <w:r w:rsidRPr="008A39CD">
              <w:rPr>
                <w:rFonts w:ascii="Lucida Bright" w:hAnsi="Lucida Bright" w:cs="Calibri"/>
                <w:b/>
                <w:bCs/>
                <w:sz w:val="16"/>
                <w:szCs w:val="16"/>
                <w:lang w:val="es-ES"/>
              </w:rPr>
              <w:t>2022 (EFE formulado en 2022)</w:t>
            </w:r>
          </w:p>
        </w:tc>
      </w:tr>
      <w:tr w:rsidR="008A39CD" w:rsidRPr="008A39CD" w:rsidTr="008A39CD">
        <w:trPr>
          <w:trHeight w:val="360"/>
        </w:trPr>
        <w:tc>
          <w:tcPr>
            <w:tcW w:w="4380" w:type="dxa"/>
            <w:tcBorders>
              <w:top w:val="nil"/>
              <w:left w:val="single" w:sz="4" w:space="0" w:color="auto"/>
              <w:bottom w:val="nil"/>
              <w:right w:val="nil"/>
            </w:tcBorders>
            <w:shd w:val="clear" w:color="000000" w:fill="CCFFCC"/>
            <w:vAlign w:val="center"/>
            <w:hideMark/>
          </w:tcPr>
          <w:p w:rsidR="008A39CD" w:rsidRPr="008A39CD" w:rsidRDefault="008A39CD" w:rsidP="008A39CD">
            <w:pPr>
              <w:rPr>
                <w:rFonts w:ascii="Lucida Bright" w:hAnsi="Lucida Bright" w:cs="Calibri"/>
                <w:b/>
                <w:bCs/>
                <w:sz w:val="14"/>
                <w:szCs w:val="14"/>
                <w:lang w:val="es-ES"/>
              </w:rPr>
            </w:pPr>
            <w:r w:rsidRPr="008A39CD">
              <w:rPr>
                <w:rFonts w:ascii="Lucida Bright" w:hAnsi="Lucida Bright" w:cs="Calibri"/>
                <w:b/>
                <w:bCs/>
                <w:sz w:val="14"/>
                <w:szCs w:val="14"/>
                <w:lang w:val="es-ES"/>
              </w:rPr>
              <w:t xml:space="preserve"> A) FLUJOS DE EFECTIVO DE LAS ACTIVIDADES DE EXPLOTACIÓN (+/-1+/-2+/-3+/-4)</w:t>
            </w:r>
          </w:p>
        </w:tc>
        <w:tc>
          <w:tcPr>
            <w:tcW w:w="1660" w:type="dxa"/>
            <w:tcBorders>
              <w:top w:val="nil"/>
              <w:left w:val="single" w:sz="4" w:space="0" w:color="auto"/>
              <w:bottom w:val="nil"/>
              <w:right w:val="single" w:sz="4" w:space="0" w:color="auto"/>
            </w:tcBorders>
            <w:shd w:val="clear" w:color="000000" w:fill="CCFFCC"/>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62.145.925,01  </w:t>
            </w:r>
          </w:p>
        </w:tc>
        <w:tc>
          <w:tcPr>
            <w:tcW w:w="1660" w:type="dxa"/>
            <w:tcBorders>
              <w:top w:val="nil"/>
              <w:left w:val="nil"/>
              <w:bottom w:val="nil"/>
              <w:right w:val="single" w:sz="4" w:space="0" w:color="auto"/>
            </w:tcBorders>
            <w:shd w:val="clear" w:color="000000" w:fill="CCFFCC"/>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62.145.925,01  </w:t>
            </w:r>
          </w:p>
        </w:tc>
      </w:tr>
      <w:tr w:rsidR="008A39CD" w:rsidRPr="008A39CD" w:rsidTr="008A39CD">
        <w:trPr>
          <w:trHeight w:val="300"/>
        </w:trPr>
        <w:tc>
          <w:tcPr>
            <w:tcW w:w="4380" w:type="dxa"/>
            <w:tcBorders>
              <w:top w:val="nil"/>
              <w:left w:val="single" w:sz="4" w:space="0" w:color="auto"/>
              <w:bottom w:val="nil"/>
              <w:right w:val="nil"/>
            </w:tcBorders>
            <w:shd w:val="clear" w:color="auto" w:fill="auto"/>
            <w:noWrap/>
            <w:vAlign w:val="center"/>
            <w:hideMark/>
          </w:tcPr>
          <w:p w:rsidR="008A39CD" w:rsidRPr="008A39CD" w:rsidRDefault="008A39CD" w:rsidP="008A39CD">
            <w:pPr>
              <w:rPr>
                <w:rFonts w:ascii="Lucida Bright" w:hAnsi="Lucida Bright" w:cs="Calibri"/>
                <w:b/>
                <w:bCs/>
                <w:sz w:val="14"/>
                <w:szCs w:val="14"/>
                <w:lang w:val="es-ES"/>
              </w:rPr>
            </w:pPr>
            <w:r w:rsidRPr="008A39CD">
              <w:rPr>
                <w:rFonts w:ascii="Lucida Bright" w:hAnsi="Lucida Bright" w:cs="Calibri"/>
                <w:b/>
                <w:bCs/>
                <w:sz w:val="14"/>
                <w:szCs w:val="14"/>
                <w:lang w:val="es-ES"/>
              </w:rPr>
              <w:t xml:space="preserve">      1. Resultado del ejercicio antes de impuestos</w:t>
            </w:r>
          </w:p>
        </w:tc>
        <w:tc>
          <w:tcPr>
            <w:tcW w:w="1660" w:type="dxa"/>
            <w:tcBorders>
              <w:top w:val="nil"/>
              <w:left w:val="single" w:sz="4" w:space="0" w:color="auto"/>
              <w:bottom w:val="nil"/>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32.807.595,40  </w:t>
            </w:r>
          </w:p>
        </w:tc>
        <w:tc>
          <w:tcPr>
            <w:tcW w:w="1660" w:type="dxa"/>
            <w:tcBorders>
              <w:top w:val="nil"/>
              <w:left w:val="nil"/>
              <w:bottom w:val="nil"/>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32.803.783,33  </w:t>
            </w:r>
          </w:p>
        </w:tc>
      </w:tr>
      <w:tr w:rsidR="008A39CD" w:rsidRPr="008A39CD" w:rsidTr="008A39CD">
        <w:trPr>
          <w:trHeight w:val="300"/>
        </w:trPr>
        <w:tc>
          <w:tcPr>
            <w:tcW w:w="4380" w:type="dxa"/>
            <w:tcBorders>
              <w:top w:val="nil"/>
              <w:left w:val="single" w:sz="4" w:space="0" w:color="auto"/>
              <w:bottom w:val="nil"/>
              <w:right w:val="nil"/>
            </w:tcBorders>
            <w:shd w:val="clear" w:color="auto" w:fill="auto"/>
            <w:noWrap/>
            <w:vAlign w:val="center"/>
            <w:hideMark/>
          </w:tcPr>
          <w:p w:rsidR="008A39CD" w:rsidRPr="008A39CD" w:rsidRDefault="008A39CD" w:rsidP="008A39CD">
            <w:pPr>
              <w:rPr>
                <w:rFonts w:ascii="Lucida Bright" w:hAnsi="Lucida Bright" w:cs="Calibri"/>
                <w:b/>
                <w:bCs/>
                <w:sz w:val="14"/>
                <w:szCs w:val="14"/>
                <w:lang w:val="es-ES"/>
              </w:rPr>
            </w:pPr>
            <w:r w:rsidRPr="008A39CD">
              <w:rPr>
                <w:rFonts w:ascii="Lucida Bright" w:hAnsi="Lucida Bright" w:cs="Calibri"/>
                <w:b/>
                <w:bCs/>
                <w:sz w:val="14"/>
                <w:szCs w:val="14"/>
                <w:lang w:val="es-ES"/>
              </w:rPr>
              <w:t xml:space="preserve">      2. Ajustes del resultado</w:t>
            </w:r>
          </w:p>
        </w:tc>
        <w:tc>
          <w:tcPr>
            <w:tcW w:w="1660" w:type="dxa"/>
            <w:tcBorders>
              <w:top w:val="nil"/>
              <w:left w:val="single" w:sz="4" w:space="0" w:color="auto"/>
              <w:bottom w:val="nil"/>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24.841.538,67  </w:t>
            </w:r>
          </w:p>
        </w:tc>
        <w:tc>
          <w:tcPr>
            <w:tcW w:w="1660" w:type="dxa"/>
            <w:tcBorders>
              <w:top w:val="nil"/>
              <w:left w:val="nil"/>
              <w:bottom w:val="nil"/>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24.870.331,55  </w:t>
            </w:r>
          </w:p>
        </w:tc>
      </w:tr>
      <w:tr w:rsidR="008A39CD" w:rsidRPr="008A39CD" w:rsidTr="008A39CD">
        <w:trPr>
          <w:trHeight w:val="300"/>
        </w:trPr>
        <w:tc>
          <w:tcPr>
            <w:tcW w:w="4380" w:type="dxa"/>
            <w:tcBorders>
              <w:top w:val="nil"/>
              <w:left w:val="single" w:sz="4" w:space="0" w:color="auto"/>
              <w:bottom w:val="nil"/>
              <w:right w:val="nil"/>
            </w:tcBorders>
            <w:shd w:val="clear" w:color="auto" w:fill="auto"/>
            <w:noWrap/>
            <w:vAlign w:val="center"/>
            <w:hideMark/>
          </w:tcPr>
          <w:p w:rsidR="008A39CD" w:rsidRPr="008A39CD" w:rsidRDefault="008A39CD" w:rsidP="008A39CD">
            <w:pPr>
              <w:rPr>
                <w:rFonts w:ascii="Lucida Bright" w:hAnsi="Lucida Bright" w:cs="Calibri"/>
                <w:sz w:val="14"/>
                <w:szCs w:val="14"/>
                <w:lang w:val="es-ES"/>
              </w:rPr>
            </w:pPr>
            <w:r w:rsidRPr="008A39CD">
              <w:rPr>
                <w:rFonts w:ascii="Lucida Bright" w:hAnsi="Lucida Bright" w:cs="Calibri"/>
                <w:sz w:val="14"/>
                <w:szCs w:val="14"/>
                <w:lang w:val="es-ES"/>
              </w:rPr>
              <w:t xml:space="preserve">         l) Otros ingresos y gastos (+/-)</w:t>
            </w:r>
          </w:p>
        </w:tc>
        <w:tc>
          <w:tcPr>
            <w:tcW w:w="1660" w:type="dxa"/>
            <w:tcBorders>
              <w:top w:val="nil"/>
              <w:left w:val="single" w:sz="4" w:space="0" w:color="auto"/>
              <w:bottom w:val="nil"/>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sz w:val="14"/>
                <w:szCs w:val="14"/>
                <w:lang w:val="es-ES"/>
              </w:rPr>
            </w:pPr>
            <w:r w:rsidRPr="008A39CD">
              <w:rPr>
                <w:rFonts w:ascii="Lucida Bright" w:hAnsi="Lucida Bright" w:cs="Calibri"/>
                <w:sz w:val="14"/>
                <w:szCs w:val="14"/>
                <w:lang w:val="es-ES"/>
              </w:rPr>
              <w:t xml:space="preserve">(28.792,88)  </w:t>
            </w:r>
          </w:p>
        </w:tc>
        <w:tc>
          <w:tcPr>
            <w:tcW w:w="1660" w:type="dxa"/>
            <w:tcBorders>
              <w:top w:val="nil"/>
              <w:left w:val="nil"/>
              <w:bottom w:val="nil"/>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sz w:val="14"/>
                <w:szCs w:val="14"/>
                <w:lang w:val="es-ES"/>
              </w:rPr>
            </w:pPr>
            <w:r w:rsidRPr="008A39CD">
              <w:rPr>
                <w:rFonts w:ascii="Lucida Bright" w:hAnsi="Lucida Bright" w:cs="Calibri"/>
                <w:sz w:val="14"/>
                <w:szCs w:val="14"/>
                <w:lang w:val="es-ES"/>
              </w:rPr>
              <w:t xml:space="preserve">-  </w:t>
            </w:r>
          </w:p>
        </w:tc>
      </w:tr>
      <w:tr w:rsidR="008A39CD" w:rsidRPr="008A39CD" w:rsidTr="008A39CD">
        <w:trPr>
          <w:trHeight w:val="300"/>
        </w:trPr>
        <w:tc>
          <w:tcPr>
            <w:tcW w:w="4380" w:type="dxa"/>
            <w:tcBorders>
              <w:top w:val="nil"/>
              <w:left w:val="single" w:sz="4" w:space="0" w:color="auto"/>
              <w:bottom w:val="nil"/>
              <w:right w:val="nil"/>
            </w:tcBorders>
            <w:shd w:val="clear" w:color="auto" w:fill="auto"/>
            <w:noWrap/>
            <w:vAlign w:val="center"/>
            <w:hideMark/>
          </w:tcPr>
          <w:p w:rsidR="008A39CD" w:rsidRPr="008A39CD" w:rsidRDefault="008A39CD" w:rsidP="008A39CD">
            <w:pPr>
              <w:rPr>
                <w:rFonts w:ascii="Lucida Bright" w:hAnsi="Lucida Bright" w:cs="Calibri"/>
                <w:b/>
                <w:bCs/>
                <w:sz w:val="14"/>
                <w:szCs w:val="14"/>
                <w:lang w:val="es-ES"/>
              </w:rPr>
            </w:pPr>
            <w:r w:rsidRPr="008A39CD">
              <w:rPr>
                <w:rFonts w:ascii="Lucida Bright" w:hAnsi="Lucida Bright" w:cs="Calibri"/>
                <w:b/>
                <w:bCs/>
                <w:sz w:val="14"/>
                <w:szCs w:val="14"/>
                <w:lang w:val="es-ES"/>
              </w:rPr>
              <w:t xml:space="preserve">      3. Cambios en el capital corriente</w:t>
            </w:r>
          </w:p>
        </w:tc>
        <w:tc>
          <w:tcPr>
            <w:tcW w:w="1660" w:type="dxa"/>
            <w:tcBorders>
              <w:top w:val="nil"/>
              <w:left w:val="single" w:sz="4" w:space="0" w:color="auto"/>
              <w:bottom w:val="nil"/>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7.439.648,40  </w:t>
            </w:r>
          </w:p>
        </w:tc>
        <w:tc>
          <w:tcPr>
            <w:tcW w:w="1660" w:type="dxa"/>
            <w:tcBorders>
              <w:top w:val="nil"/>
              <w:left w:val="nil"/>
              <w:bottom w:val="nil"/>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7.443.460,47  </w:t>
            </w:r>
          </w:p>
        </w:tc>
      </w:tr>
      <w:tr w:rsidR="008A39CD" w:rsidRPr="008A39CD" w:rsidTr="008A39CD">
        <w:trPr>
          <w:trHeight w:val="300"/>
        </w:trPr>
        <w:tc>
          <w:tcPr>
            <w:tcW w:w="4380" w:type="dxa"/>
            <w:tcBorders>
              <w:top w:val="nil"/>
              <w:left w:val="single" w:sz="4" w:space="0" w:color="auto"/>
              <w:bottom w:val="nil"/>
              <w:right w:val="nil"/>
            </w:tcBorders>
            <w:shd w:val="clear" w:color="auto" w:fill="auto"/>
            <w:noWrap/>
            <w:vAlign w:val="center"/>
            <w:hideMark/>
          </w:tcPr>
          <w:p w:rsidR="008A39CD" w:rsidRPr="008A39CD" w:rsidRDefault="008A39CD" w:rsidP="008A39CD">
            <w:pPr>
              <w:rPr>
                <w:rFonts w:ascii="Lucida Bright" w:hAnsi="Lucida Bright" w:cs="Calibri"/>
                <w:sz w:val="14"/>
                <w:szCs w:val="14"/>
                <w:lang w:val="es-ES"/>
              </w:rPr>
            </w:pPr>
            <w:r w:rsidRPr="008A39CD">
              <w:rPr>
                <w:rFonts w:ascii="Lucida Bright" w:hAnsi="Lucida Bright" w:cs="Calibri"/>
                <w:sz w:val="14"/>
                <w:szCs w:val="14"/>
                <w:lang w:val="es-ES"/>
              </w:rPr>
              <w:t xml:space="preserve">         e) Otros pasivos corrientes (+/-)</w:t>
            </w:r>
          </w:p>
        </w:tc>
        <w:tc>
          <w:tcPr>
            <w:tcW w:w="1660" w:type="dxa"/>
            <w:tcBorders>
              <w:top w:val="nil"/>
              <w:left w:val="single" w:sz="4" w:space="0" w:color="auto"/>
              <w:bottom w:val="nil"/>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sz w:val="14"/>
                <w:szCs w:val="14"/>
                <w:lang w:val="es-ES"/>
              </w:rPr>
            </w:pPr>
            <w:r w:rsidRPr="008A39CD">
              <w:rPr>
                <w:rFonts w:ascii="Lucida Bright" w:hAnsi="Lucida Bright" w:cs="Calibri"/>
                <w:sz w:val="14"/>
                <w:szCs w:val="14"/>
                <w:lang w:val="es-ES"/>
              </w:rPr>
              <w:t xml:space="preserve">1.983.304,83  </w:t>
            </w:r>
          </w:p>
        </w:tc>
        <w:tc>
          <w:tcPr>
            <w:tcW w:w="1660" w:type="dxa"/>
            <w:tcBorders>
              <w:top w:val="nil"/>
              <w:left w:val="nil"/>
              <w:bottom w:val="nil"/>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sz w:val="14"/>
                <w:szCs w:val="14"/>
                <w:lang w:val="es-ES"/>
              </w:rPr>
            </w:pPr>
            <w:r w:rsidRPr="008A39CD">
              <w:rPr>
                <w:rFonts w:ascii="Lucida Bright" w:hAnsi="Lucida Bright" w:cs="Calibri"/>
                <w:sz w:val="14"/>
                <w:szCs w:val="14"/>
                <w:lang w:val="es-ES"/>
              </w:rPr>
              <w:t xml:space="preserve">1.987.116,90  </w:t>
            </w:r>
          </w:p>
        </w:tc>
      </w:tr>
      <w:tr w:rsidR="008A39CD" w:rsidRPr="008A39CD" w:rsidTr="008A39CD">
        <w:trPr>
          <w:trHeight w:val="360"/>
        </w:trPr>
        <w:tc>
          <w:tcPr>
            <w:tcW w:w="4380" w:type="dxa"/>
            <w:tcBorders>
              <w:top w:val="nil"/>
              <w:left w:val="single" w:sz="4" w:space="0" w:color="auto"/>
              <w:bottom w:val="nil"/>
              <w:right w:val="nil"/>
            </w:tcBorders>
            <w:shd w:val="clear" w:color="auto" w:fill="auto"/>
            <w:vAlign w:val="center"/>
            <w:hideMark/>
          </w:tcPr>
          <w:p w:rsidR="008A39CD" w:rsidRPr="008A39CD" w:rsidRDefault="008A39CD" w:rsidP="008A39CD">
            <w:pPr>
              <w:rPr>
                <w:rFonts w:ascii="Lucida Bright" w:hAnsi="Lucida Bright" w:cs="Calibri"/>
                <w:b/>
                <w:bCs/>
                <w:sz w:val="14"/>
                <w:szCs w:val="14"/>
                <w:lang w:val="es-ES"/>
              </w:rPr>
            </w:pPr>
            <w:r w:rsidRPr="008A39CD">
              <w:rPr>
                <w:rFonts w:ascii="Lucida Bright" w:hAnsi="Lucida Bright" w:cs="Calibri"/>
                <w:b/>
                <w:bCs/>
                <w:sz w:val="14"/>
                <w:szCs w:val="14"/>
                <w:lang w:val="es-ES"/>
              </w:rPr>
              <w:t xml:space="preserve">      4. Otros flujos de efectivo de las actividades de explotación</w:t>
            </w:r>
          </w:p>
        </w:tc>
        <w:tc>
          <w:tcPr>
            <w:tcW w:w="1660" w:type="dxa"/>
            <w:tcBorders>
              <w:top w:val="nil"/>
              <w:left w:val="single" w:sz="4" w:space="0" w:color="auto"/>
              <w:bottom w:val="nil"/>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(2.942.857,46)  </w:t>
            </w:r>
          </w:p>
        </w:tc>
        <w:tc>
          <w:tcPr>
            <w:tcW w:w="1660" w:type="dxa"/>
            <w:tcBorders>
              <w:top w:val="nil"/>
              <w:left w:val="nil"/>
              <w:bottom w:val="nil"/>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(2.971.650,34)  </w:t>
            </w:r>
          </w:p>
        </w:tc>
      </w:tr>
      <w:tr w:rsidR="008A39CD" w:rsidRPr="008A39CD" w:rsidTr="008A39CD">
        <w:trPr>
          <w:trHeight w:val="300"/>
        </w:trPr>
        <w:tc>
          <w:tcPr>
            <w:tcW w:w="4380" w:type="dxa"/>
            <w:tcBorders>
              <w:top w:val="nil"/>
              <w:left w:val="single" w:sz="4" w:space="0" w:color="auto"/>
              <w:bottom w:val="nil"/>
              <w:right w:val="nil"/>
            </w:tcBorders>
            <w:shd w:val="clear" w:color="auto" w:fill="auto"/>
            <w:noWrap/>
            <w:vAlign w:val="center"/>
            <w:hideMark/>
          </w:tcPr>
          <w:p w:rsidR="008A39CD" w:rsidRPr="008A39CD" w:rsidRDefault="008A39CD" w:rsidP="008A39CD">
            <w:pPr>
              <w:rPr>
                <w:rFonts w:ascii="Lucida Bright" w:hAnsi="Lucida Bright" w:cs="Calibri"/>
                <w:sz w:val="14"/>
                <w:szCs w:val="14"/>
                <w:lang w:val="es-ES"/>
              </w:rPr>
            </w:pPr>
            <w:r w:rsidRPr="008A39CD">
              <w:rPr>
                <w:rFonts w:ascii="Lucida Bright" w:hAnsi="Lucida Bright" w:cs="Calibri"/>
                <w:sz w:val="14"/>
                <w:szCs w:val="14"/>
                <w:lang w:val="es-ES"/>
              </w:rPr>
              <w:t xml:space="preserve">         c) Cobros de intereses (+)</w:t>
            </w:r>
          </w:p>
        </w:tc>
        <w:tc>
          <w:tcPr>
            <w:tcW w:w="1660" w:type="dxa"/>
            <w:tcBorders>
              <w:top w:val="nil"/>
              <w:left w:val="single" w:sz="4" w:space="0" w:color="auto"/>
              <w:bottom w:val="nil"/>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sz w:val="14"/>
                <w:szCs w:val="14"/>
                <w:lang w:val="es-ES"/>
              </w:rPr>
            </w:pPr>
            <w:r w:rsidRPr="008A39CD">
              <w:rPr>
                <w:rFonts w:ascii="Lucida Bright" w:hAnsi="Lucida Bright" w:cs="Calibri"/>
                <w:sz w:val="14"/>
                <w:szCs w:val="14"/>
                <w:lang w:val="es-ES"/>
              </w:rPr>
              <w:t xml:space="preserve">75.259,76  </w:t>
            </w:r>
          </w:p>
        </w:tc>
        <w:tc>
          <w:tcPr>
            <w:tcW w:w="1660" w:type="dxa"/>
            <w:tcBorders>
              <w:top w:val="nil"/>
              <w:left w:val="nil"/>
              <w:bottom w:val="nil"/>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sz w:val="14"/>
                <w:szCs w:val="14"/>
                <w:lang w:val="es-ES"/>
              </w:rPr>
            </w:pPr>
            <w:r w:rsidRPr="008A39CD">
              <w:rPr>
                <w:rFonts w:ascii="Lucida Bright" w:hAnsi="Lucida Bright" w:cs="Calibri"/>
                <w:sz w:val="14"/>
                <w:szCs w:val="14"/>
                <w:lang w:val="es-ES"/>
              </w:rPr>
              <w:t xml:space="preserve">202.170,53  </w:t>
            </w:r>
          </w:p>
        </w:tc>
      </w:tr>
      <w:tr w:rsidR="008A39CD" w:rsidRPr="008A39CD" w:rsidTr="008A39CD">
        <w:trPr>
          <w:trHeight w:val="360"/>
        </w:trPr>
        <w:tc>
          <w:tcPr>
            <w:tcW w:w="4380" w:type="dxa"/>
            <w:tcBorders>
              <w:top w:val="nil"/>
              <w:left w:val="single" w:sz="4" w:space="0" w:color="auto"/>
              <w:bottom w:val="nil"/>
              <w:right w:val="nil"/>
            </w:tcBorders>
            <w:shd w:val="clear" w:color="auto" w:fill="auto"/>
            <w:vAlign w:val="center"/>
            <w:hideMark/>
          </w:tcPr>
          <w:p w:rsidR="008A39CD" w:rsidRPr="008A39CD" w:rsidRDefault="008A39CD" w:rsidP="008A39CD">
            <w:pPr>
              <w:rPr>
                <w:rFonts w:ascii="Lucida Bright" w:hAnsi="Lucida Bright" w:cs="Calibri"/>
                <w:sz w:val="14"/>
                <w:szCs w:val="14"/>
                <w:lang w:val="es-ES"/>
              </w:rPr>
            </w:pPr>
            <w:r w:rsidRPr="008A39CD">
              <w:rPr>
                <w:rFonts w:ascii="Lucida Bright" w:hAnsi="Lucida Bright" w:cs="Calibri"/>
                <w:sz w:val="14"/>
                <w:szCs w:val="14"/>
                <w:lang w:val="es-ES"/>
              </w:rPr>
              <w:t xml:space="preserve">         e) Cobros de OPPE para el pago de principales e intereses de demora por litigios </w:t>
            </w:r>
            <w:proofErr w:type="spellStart"/>
            <w:r w:rsidRPr="008A39CD">
              <w:rPr>
                <w:rFonts w:ascii="Lucida Bright" w:hAnsi="Lucida Bright" w:cs="Calibri"/>
                <w:sz w:val="14"/>
                <w:szCs w:val="14"/>
                <w:lang w:val="es-ES"/>
              </w:rPr>
              <w:t>tarif</w:t>
            </w:r>
            <w:proofErr w:type="spellEnd"/>
            <w:r w:rsidRPr="008A39CD">
              <w:rPr>
                <w:rFonts w:ascii="Lucida Bright" w:hAnsi="Lucida Bright" w:cs="Calibri"/>
                <w:sz w:val="14"/>
                <w:szCs w:val="14"/>
                <w:lang w:val="es-ES"/>
              </w:rPr>
              <w:t>. (+)</w:t>
            </w:r>
          </w:p>
        </w:tc>
        <w:tc>
          <w:tcPr>
            <w:tcW w:w="1660" w:type="dxa"/>
            <w:tcBorders>
              <w:top w:val="nil"/>
              <w:left w:val="single" w:sz="4" w:space="0" w:color="auto"/>
              <w:bottom w:val="nil"/>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sz w:val="14"/>
                <w:szCs w:val="14"/>
                <w:lang w:val="es-ES"/>
              </w:rPr>
            </w:pPr>
            <w:r w:rsidRPr="008A39CD">
              <w:rPr>
                <w:rFonts w:ascii="Lucida Bright" w:hAnsi="Lucida Bright" w:cs="Calibri"/>
                <w:sz w:val="14"/>
                <w:szCs w:val="14"/>
                <w:lang w:val="es-ES"/>
              </w:rPr>
              <w:t xml:space="preserve">155.703,65  </w:t>
            </w:r>
          </w:p>
        </w:tc>
        <w:tc>
          <w:tcPr>
            <w:tcW w:w="1660" w:type="dxa"/>
            <w:tcBorders>
              <w:top w:val="nil"/>
              <w:left w:val="nil"/>
              <w:bottom w:val="nil"/>
              <w:right w:val="single" w:sz="4" w:space="0" w:color="auto"/>
            </w:tcBorders>
            <w:shd w:val="clear" w:color="auto" w:fill="auto"/>
            <w:noWrap/>
            <w:vAlign w:val="center"/>
            <w:hideMark/>
          </w:tcPr>
          <w:p w:rsidR="008A39CD" w:rsidRPr="008A39CD" w:rsidRDefault="008A39CD" w:rsidP="008A39CD">
            <w:pPr>
              <w:jc w:val="right"/>
              <w:rPr>
                <w:rFonts w:ascii="Lucida Bright" w:hAnsi="Lucida Bright" w:cs="Calibri"/>
                <w:sz w:val="14"/>
                <w:szCs w:val="14"/>
                <w:lang w:val="es-ES"/>
              </w:rPr>
            </w:pPr>
            <w:r w:rsidRPr="008A39CD">
              <w:rPr>
                <w:rFonts w:ascii="Lucida Bright" w:hAnsi="Lucida Bright" w:cs="Calibri"/>
                <w:sz w:val="14"/>
                <w:szCs w:val="14"/>
                <w:lang w:val="es-ES"/>
              </w:rPr>
              <w:t xml:space="preserve">-  </w:t>
            </w:r>
          </w:p>
        </w:tc>
      </w:tr>
      <w:tr w:rsidR="008A39CD" w:rsidRPr="008A39CD" w:rsidTr="008A39CD">
        <w:trPr>
          <w:trHeight w:val="300"/>
        </w:trPr>
        <w:tc>
          <w:tcPr>
            <w:tcW w:w="4380" w:type="dxa"/>
            <w:tcBorders>
              <w:top w:val="nil"/>
              <w:left w:val="single" w:sz="4" w:space="0" w:color="auto"/>
              <w:bottom w:val="nil"/>
              <w:right w:val="nil"/>
            </w:tcBorders>
            <w:shd w:val="clear" w:color="auto" w:fill="auto"/>
            <w:noWrap/>
            <w:vAlign w:val="bottom"/>
            <w:hideMark/>
          </w:tcPr>
          <w:p w:rsidR="008A39CD" w:rsidRPr="008A39CD" w:rsidRDefault="008A39CD" w:rsidP="008A39CD">
            <w:pPr>
              <w:rPr>
                <w:rFonts w:ascii="Calibri" w:hAnsi="Calibri" w:cs="Calibri"/>
                <w:color w:val="000000"/>
                <w:sz w:val="22"/>
                <w:szCs w:val="22"/>
                <w:lang w:val="es-ES"/>
              </w:rPr>
            </w:pPr>
            <w:r w:rsidRPr="008A39CD">
              <w:rPr>
                <w:rFonts w:ascii="Calibri" w:hAnsi="Calibri" w:cs="Calibri"/>
                <w:color w:val="000000"/>
                <w:sz w:val="22"/>
                <w:szCs w:val="22"/>
                <w:lang w:val="es-ES"/>
              </w:rPr>
              <w:t> </w:t>
            </w:r>
          </w:p>
        </w:tc>
        <w:tc>
          <w:tcPr>
            <w:tcW w:w="1660" w:type="dxa"/>
            <w:tcBorders>
              <w:top w:val="nil"/>
              <w:left w:val="single" w:sz="4" w:space="0" w:color="auto"/>
              <w:bottom w:val="nil"/>
              <w:right w:val="single" w:sz="4" w:space="0" w:color="auto"/>
            </w:tcBorders>
            <w:shd w:val="clear" w:color="auto" w:fill="auto"/>
            <w:noWrap/>
            <w:vAlign w:val="bottom"/>
            <w:hideMark/>
          </w:tcPr>
          <w:p w:rsidR="008A39CD" w:rsidRPr="008A39CD" w:rsidRDefault="008A39CD" w:rsidP="008A39CD">
            <w:pPr>
              <w:rPr>
                <w:rFonts w:ascii="Calibri" w:hAnsi="Calibri" w:cs="Calibri"/>
                <w:color w:val="000000"/>
                <w:sz w:val="22"/>
                <w:szCs w:val="22"/>
                <w:lang w:val="es-ES"/>
              </w:rPr>
            </w:pPr>
            <w:r w:rsidRPr="008A39CD">
              <w:rPr>
                <w:rFonts w:ascii="Calibri" w:hAnsi="Calibri" w:cs="Calibri"/>
                <w:color w:val="000000"/>
                <w:sz w:val="22"/>
                <w:szCs w:val="22"/>
                <w:lang w:val="es-ES"/>
              </w:rPr>
              <w:t> </w:t>
            </w:r>
          </w:p>
        </w:tc>
        <w:tc>
          <w:tcPr>
            <w:tcW w:w="1660" w:type="dxa"/>
            <w:tcBorders>
              <w:top w:val="nil"/>
              <w:left w:val="nil"/>
              <w:bottom w:val="nil"/>
              <w:right w:val="single" w:sz="4" w:space="0" w:color="auto"/>
            </w:tcBorders>
            <w:shd w:val="clear" w:color="auto" w:fill="auto"/>
            <w:noWrap/>
            <w:vAlign w:val="bottom"/>
            <w:hideMark/>
          </w:tcPr>
          <w:p w:rsidR="008A39CD" w:rsidRPr="008A39CD" w:rsidRDefault="008A39CD" w:rsidP="008A39CD">
            <w:pPr>
              <w:rPr>
                <w:rFonts w:ascii="Calibri" w:hAnsi="Calibri" w:cs="Calibri"/>
                <w:color w:val="000000"/>
                <w:sz w:val="22"/>
                <w:szCs w:val="22"/>
                <w:lang w:val="es-ES"/>
              </w:rPr>
            </w:pPr>
            <w:r w:rsidRPr="008A39CD">
              <w:rPr>
                <w:rFonts w:ascii="Calibri" w:hAnsi="Calibri" w:cs="Calibri"/>
                <w:color w:val="000000"/>
                <w:sz w:val="22"/>
                <w:szCs w:val="22"/>
                <w:lang w:val="es-ES"/>
              </w:rPr>
              <w:t> </w:t>
            </w:r>
          </w:p>
        </w:tc>
      </w:tr>
      <w:tr w:rsidR="008A39CD" w:rsidRPr="008A39CD" w:rsidTr="008A39CD">
        <w:trPr>
          <w:trHeight w:val="360"/>
        </w:trPr>
        <w:tc>
          <w:tcPr>
            <w:tcW w:w="4380" w:type="dxa"/>
            <w:tcBorders>
              <w:top w:val="nil"/>
              <w:left w:val="single" w:sz="4" w:space="0" w:color="auto"/>
              <w:bottom w:val="single" w:sz="4" w:space="0" w:color="auto"/>
              <w:right w:val="nil"/>
            </w:tcBorders>
            <w:shd w:val="clear" w:color="000000" w:fill="CCFFCC"/>
            <w:vAlign w:val="center"/>
            <w:hideMark/>
          </w:tcPr>
          <w:p w:rsidR="008A39CD" w:rsidRPr="008A39CD" w:rsidRDefault="008A39CD" w:rsidP="008A39CD">
            <w:pPr>
              <w:rPr>
                <w:rFonts w:ascii="Lucida Bright" w:hAnsi="Lucida Bright" w:cs="Calibri"/>
                <w:b/>
                <w:bCs/>
                <w:sz w:val="14"/>
                <w:szCs w:val="14"/>
                <w:lang w:val="es-ES"/>
              </w:rPr>
            </w:pPr>
            <w:r w:rsidRPr="008A39CD">
              <w:rPr>
                <w:rFonts w:ascii="Lucida Bright" w:hAnsi="Lucida Bright" w:cs="Calibri"/>
                <w:b/>
                <w:bCs/>
                <w:sz w:val="14"/>
                <w:szCs w:val="14"/>
                <w:lang w:val="es-ES"/>
              </w:rPr>
              <w:t xml:space="preserve"> E) AUMENTO/DISMINUCIÓN NETA DEL EFECTIVO O EQUIVALENTES (+/-A+/-B+/-C)</w:t>
            </w:r>
          </w:p>
        </w:tc>
        <w:tc>
          <w:tcPr>
            <w:tcW w:w="1660" w:type="dxa"/>
            <w:tcBorders>
              <w:top w:val="nil"/>
              <w:left w:val="single" w:sz="4" w:space="0" w:color="auto"/>
              <w:bottom w:val="single" w:sz="4" w:space="0" w:color="auto"/>
              <w:right w:val="single" w:sz="4" w:space="0" w:color="auto"/>
            </w:tcBorders>
            <w:shd w:val="clear" w:color="000000" w:fill="CCFFCC"/>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(36.254.416,01)  </w:t>
            </w:r>
          </w:p>
        </w:tc>
        <w:tc>
          <w:tcPr>
            <w:tcW w:w="1660" w:type="dxa"/>
            <w:tcBorders>
              <w:top w:val="nil"/>
              <w:left w:val="nil"/>
              <w:bottom w:val="single" w:sz="4" w:space="0" w:color="auto"/>
              <w:right w:val="single" w:sz="4" w:space="0" w:color="auto"/>
            </w:tcBorders>
            <w:shd w:val="clear" w:color="000000" w:fill="CCFFCC"/>
            <w:noWrap/>
            <w:vAlign w:val="center"/>
            <w:hideMark/>
          </w:tcPr>
          <w:p w:rsidR="008A39CD" w:rsidRPr="008A39CD" w:rsidRDefault="008A39CD" w:rsidP="008A39CD">
            <w:pPr>
              <w:jc w:val="right"/>
              <w:rPr>
                <w:rFonts w:ascii="Lucida Bright" w:hAnsi="Lucida Bright" w:cs="Calibri"/>
                <w:b/>
                <w:bCs/>
                <w:sz w:val="14"/>
                <w:szCs w:val="14"/>
                <w:lang w:val="es-ES"/>
              </w:rPr>
            </w:pPr>
            <w:r w:rsidRPr="008A39CD">
              <w:rPr>
                <w:rFonts w:ascii="Lucida Bright" w:hAnsi="Lucida Bright" w:cs="Calibri"/>
                <w:b/>
                <w:bCs/>
                <w:sz w:val="14"/>
                <w:szCs w:val="14"/>
                <w:lang w:val="es-ES"/>
              </w:rPr>
              <w:t xml:space="preserve">(36.254.416,01)  </w:t>
            </w:r>
          </w:p>
        </w:tc>
      </w:tr>
    </w:tbl>
    <w:p w:rsidR="008A39CD" w:rsidRDefault="008A39CD" w:rsidP="00E96B8F">
      <w:pPr>
        <w:spacing w:before="100"/>
        <w:ind w:firstLine="568"/>
        <w:jc w:val="both"/>
        <w:rPr>
          <w:rFonts w:ascii="NewBaskerville" w:hAnsi="NewBaskerville"/>
        </w:rPr>
      </w:pPr>
    </w:p>
    <w:p w:rsidR="008A39CD" w:rsidRPr="00E96B8F" w:rsidRDefault="008A39CD" w:rsidP="00E96B8F">
      <w:pPr>
        <w:spacing w:before="100"/>
        <w:ind w:firstLine="568"/>
        <w:jc w:val="both"/>
        <w:rPr>
          <w:rFonts w:ascii="NewBaskerville" w:hAnsi="NewBaskerville"/>
        </w:rPr>
      </w:pPr>
    </w:p>
    <w:p w:rsidR="00817F17" w:rsidRDefault="00C1230A" w:rsidP="00C1230A">
      <w:pPr>
        <w:pStyle w:val="Prrafodelista"/>
        <w:numPr>
          <w:ilvl w:val="0"/>
          <w:numId w:val="44"/>
        </w:numPr>
        <w:jc w:val="both"/>
        <w:rPr>
          <w:rFonts w:ascii="NewBaskerville" w:hAnsi="NewBaskerville"/>
          <w:u w:val="single"/>
        </w:rPr>
      </w:pPr>
      <w:r w:rsidRPr="009E6BD5">
        <w:rPr>
          <w:rFonts w:ascii="NewBaskerville" w:hAnsi="NewBaskerville"/>
          <w:u w:val="single"/>
        </w:rPr>
        <w:t>Agrupación de partidas y elementos recogidos en varias partidas</w:t>
      </w:r>
    </w:p>
    <w:p w:rsidR="00F55771" w:rsidRDefault="00F333F2" w:rsidP="0022171E">
      <w:pPr>
        <w:pStyle w:val="Prrafodelista"/>
        <w:spacing w:before="100" w:after="100"/>
        <w:ind w:left="0" w:firstLine="644"/>
        <w:jc w:val="both"/>
        <w:rPr>
          <w:rFonts w:ascii="NewBaskerville" w:hAnsi="NewBaskerville"/>
        </w:rPr>
      </w:pPr>
      <w:r>
        <w:rPr>
          <w:rFonts w:ascii="NewBaskerville" w:hAnsi="NewBaskerville"/>
        </w:rPr>
        <w:t>En el ejercicio 2023</w:t>
      </w:r>
      <w:r w:rsidR="007C0D21">
        <w:rPr>
          <w:rFonts w:ascii="NewBaskerville" w:hAnsi="NewBaskerville"/>
        </w:rPr>
        <w:t xml:space="preserve"> existe agrupado en la partida de activo </w:t>
      </w:r>
      <w:r w:rsidR="007C0D21" w:rsidRPr="007C0D21">
        <w:rPr>
          <w:rFonts w:ascii="NewBaskerville" w:hAnsi="NewBaskerville"/>
          <w:b/>
          <w:i/>
        </w:rPr>
        <w:t>B).III.</w:t>
      </w:r>
      <w:r w:rsidR="007C0D21" w:rsidRPr="007C0D21">
        <w:rPr>
          <w:rFonts w:ascii="NewBaskerville" w:hAnsi="NewBaskerville"/>
          <w:i/>
        </w:rPr>
        <w:t>1. Clientes por ventas y prestaciones de servicios</w:t>
      </w:r>
      <w:r w:rsidR="007C0D21">
        <w:rPr>
          <w:rFonts w:ascii="NewBaskerville" w:hAnsi="NewBaskerville"/>
        </w:rPr>
        <w:t xml:space="preserve"> el deterioro de valor</w:t>
      </w:r>
      <w:r w:rsidR="00F55771">
        <w:rPr>
          <w:rFonts w:ascii="NewBaskerville" w:hAnsi="NewBaskerville"/>
        </w:rPr>
        <w:t xml:space="preserve"> de clientes por operaciones comerciales y deudores varios, correspondiéndose:</w:t>
      </w:r>
    </w:p>
    <w:tbl>
      <w:tblPr>
        <w:tblW w:w="6780" w:type="dxa"/>
        <w:tblInd w:w="65" w:type="dxa"/>
        <w:tblCellMar>
          <w:left w:w="70" w:type="dxa"/>
          <w:right w:w="70" w:type="dxa"/>
        </w:tblCellMar>
        <w:tblLook w:val="04A0" w:firstRow="1" w:lastRow="0" w:firstColumn="1" w:lastColumn="0" w:noHBand="0" w:noVBand="1"/>
      </w:tblPr>
      <w:tblGrid>
        <w:gridCol w:w="5675"/>
        <w:gridCol w:w="1107"/>
      </w:tblGrid>
      <w:tr w:rsidR="001F5CB7" w:rsidRPr="001F5CB7" w:rsidTr="001F5CB7">
        <w:trPr>
          <w:trHeight w:val="300"/>
        </w:trPr>
        <w:tc>
          <w:tcPr>
            <w:tcW w:w="5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5CB7" w:rsidRPr="001F5CB7" w:rsidRDefault="001F5CB7" w:rsidP="001F5CB7">
            <w:pPr>
              <w:rPr>
                <w:rFonts w:ascii="Lucida Bright" w:hAnsi="Lucida Bright" w:cs="Calibri"/>
                <w:sz w:val="14"/>
                <w:szCs w:val="14"/>
                <w:lang w:val="es-ES"/>
              </w:rPr>
            </w:pPr>
            <w:r w:rsidRPr="001F5CB7">
              <w:rPr>
                <w:rFonts w:ascii="Lucida Bright" w:hAnsi="Lucida Bright" w:cs="Calibri"/>
                <w:sz w:val="14"/>
                <w:szCs w:val="14"/>
                <w:lang w:val="es-ES"/>
              </w:rPr>
              <w:t xml:space="preserve">       Deterioro de valor de créditos por operaciones comerciales con clientes</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rsidR="001F5CB7" w:rsidRPr="001F5CB7" w:rsidRDefault="001F5CB7" w:rsidP="001F5CB7">
            <w:pPr>
              <w:jc w:val="right"/>
              <w:rPr>
                <w:rFonts w:ascii="Lucida Bright" w:hAnsi="Lucida Bright" w:cs="Calibri"/>
                <w:sz w:val="14"/>
                <w:szCs w:val="14"/>
                <w:lang w:val="es-ES"/>
              </w:rPr>
            </w:pPr>
            <w:r w:rsidRPr="001F5CB7">
              <w:rPr>
                <w:rFonts w:ascii="Lucida Bright" w:hAnsi="Lucida Bright" w:cs="Calibri"/>
                <w:sz w:val="14"/>
                <w:szCs w:val="14"/>
                <w:lang w:val="es-ES"/>
              </w:rPr>
              <w:t xml:space="preserve">(889.642,49) </w:t>
            </w:r>
          </w:p>
        </w:tc>
      </w:tr>
      <w:tr w:rsidR="001F5CB7" w:rsidRPr="001F5CB7" w:rsidTr="001F5CB7">
        <w:trPr>
          <w:trHeight w:val="300"/>
        </w:trPr>
        <w:tc>
          <w:tcPr>
            <w:tcW w:w="5675" w:type="dxa"/>
            <w:tcBorders>
              <w:top w:val="nil"/>
              <w:left w:val="single" w:sz="4" w:space="0" w:color="auto"/>
              <w:bottom w:val="single" w:sz="4" w:space="0" w:color="auto"/>
              <w:right w:val="single" w:sz="4" w:space="0" w:color="auto"/>
            </w:tcBorders>
            <w:shd w:val="clear" w:color="auto" w:fill="auto"/>
            <w:noWrap/>
            <w:vAlign w:val="center"/>
            <w:hideMark/>
          </w:tcPr>
          <w:p w:rsidR="001F5CB7" w:rsidRPr="001F5CB7" w:rsidRDefault="001F5CB7" w:rsidP="001F5CB7">
            <w:pPr>
              <w:rPr>
                <w:rFonts w:ascii="Lucida Bright" w:hAnsi="Lucida Bright" w:cs="Calibri"/>
                <w:sz w:val="14"/>
                <w:szCs w:val="14"/>
                <w:lang w:val="es-ES"/>
              </w:rPr>
            </w:pPr>
            <w:r w:rsidRPr="001F5CB7">
              <w:rPr>
                <w:rFonts w:ascii="Lucida Bright" w:hAnsi="Lucida Bright" w:cs="Calibri"/>
                <w:sz w:val="14"/>
                <w:szCs w:val="14"/>
                <w:lang w:val="es-ES"/>
              </w:rPr>
              <w:t xml:space="preserve">       Deterioro de valor de créditos por operaciones con deudores varios</w:t>
            </w:r>
          </w:p>
        </w:tc>
        <w:tc>
          <w:tcPr>
            <w:tcW w:w="1105" w:type="dxa"/>
            <w:tcBorders>
              <w:top w:val="nil"/>
              <w:left w:val="nil"/>
              <w:bottom w:val="single" w:sz="4" w:space="0" w:color="auto"/>
              <w:right w:val="single" w:sz="4" w:space="0" w:color="auto"/>
            </w:tcBorders>
            <w:shd w:val="clear" w:color="auto" w:fill="auto"/>
            <w:noWrap/>
            <w:vAlign w:val="center"/>
            <w:hideMark/>
          </w:tcPr>
          <w:p w:rsidR="001F5CB7" w:rsidRPr="001F5CB7" w:rsidRDefault="001F5CB7" w:rsidP="001F5CB7">
            <w:pPr>
              <w:jc w:val="right"/>
              <w:rPr>
                <w:rFonts w:ascii="Lucida Bright" w:hAnsi="Lucida Bright" w:cs="Calibri"/>
                <w:sz w:val="14"/>
                <w:szCs w:val="14"/>
                <w:lang w:val="es-ES"/>
              </w:rPr>
            </w:pPr>
            <w:r w:rsidRPr="001F5CB7">
              <w:rPr>
                <w:rFonts w:ascii="Lucida Bright" w:hAnsi="Lucida Bright" w:cs="Calibri"/>
                <w:sz w:val="14"/>
                <w:szCs w:val="14"/>
                <w:lang w:val="es-ES"/>
              </w:rPr>
              <w:t xml:space="preserve">(112.664,54) </w:t>
            </w:r>
          </w:p>
        </w:tc>
      </w:tr>
      <w:tr w:rsidR="001F5CB7" w:rsidRPr="001F5CB7" w:rsidTr="001F5CB7">
        <w:trPr>
          <w:trHeight w:val="360"/>
        </w:trPr>
        <w:tc>
          <w:tcPr>
            <w:tcW w:w="5675" w:type="dxa"/>
            <w:tcBorders>
              <w:top w:val="nil"/>
              <w:left w:val="single" w:sz="4" w:space="0" w:color="auto"/>
              <w:bottom w:val="single" w:sz="4" w:space="0" w:color="auto"/>
              <w:right w:val="single" w:sz="4" w:space="0" w:color="auto"/>
            </w:tcBorders>
            <w:shd w:val="clear" w:color="auto" w:fill="auto"/>
            <w:vAlign w:val="center"/>
            <w:hideMark/>
          </w:tcPr>
          <w:p w:rsidR="001F5CB7" w:rsidRPr="001F5CB7" w:rsidRDefault="001F5CB7" w:rsidP="001F5CB7">
            <w:pPr>
              <w:rPr>
                <w:rFonts w:ascii="Lucida Bright" w:hAnsi="Lucida Bright" w:cs="Calibri"/>
                <w:sz w:val="14"/>
                <w:szCs w:val="14"/>
                <w:lang w:val="es-ES"/>
              </w:rPr>
            </w:pPr>
            <w:r w:rsidRPr="001F5CB7">
              <w:rPr>
                <w:rFonts w:ascii="Lucida Bright" w:hAnsi="Lucida Bright" w:cs="Calibri"/>
                <w:sz w:val="14"/>
                <w:szCs w:val="14"/>
                <w:lang w:val="es-ES"/>
              </w:rPr>
              <w:t xml:space="preserve">       Deterioro de valor total de créditos recogidos en la partida </w:t>
            </w:r>
            <w:r w:rsidRPr="001F5CB7">
              <w:rPr>
                <w:rFonts w:ascii="Lucida Bright" w:hAnsi="Lucida Bright" w:cs="Calibri"/>
                <w:b/>
                <w:bCs/>
                <w:i/>
                <w:iCs/>
                <w:sz w:val="14"/>
                <w:szCs w:val="14"/>
                <w:lang w:val="es-ES"/>
              </w:rPr>
              <w:t>B).III.</w:t>
            </w:r>
            <w:r w:rsidRPr="001F5CB7">
              <w:rPr>
                <w:rFonts w:ascii="Lucida Bright" w:hAnsi="Lucida Bright" w:cs="Calibri"/>
                <w:i/>
                <w:iCs/>
                <w:sz w:val="14"/>
                <w:szCs w:val="14"/>
                <w:lang w:val="es-ES"/>
              </w:rPr>
              <w:t xml:space="preserve">1. Clientes por ventas y prestaciones de servicios </w:t>
            </w:r>
          </w:p>
        </w:tc>
        <w:tc>
          <w:tcPr>
            <w:tcW w:w="1105" w:type="dxa"/>
            <w:tcBorders>
              <w:top w:val="nil"/>
              <w:left w:val="nil"/>
              <w:bottom w:val="single" w:sz="4" w:space="0" w:color="auto"/>
              <w:right w:val="single" w:sz="4" w:space="0" w:color="auto"/>
            </w:tcBorders>
            <w:shd w:val="clear" w:color="auto" w:fill="auto"/>
            <w:noWrap/>
            <w:vAlign w:val="center"/>
            <w:hideMark/>
          </w:tcPr>
          <w:p w:rsidR="001F5CB7" w:rsidRPr="001F5CB7" w:rsidRDefault="001F5CB7" w:rsidP="001F5CB7">
            <w:pPr>
              <w:jc w:val="right"/>
              <w:rPr>
                <w:rFonts w:ascii="Lucida Bright" w:hAnsi="Lucida Bright" w:cs="Calibri"/>
                <w:sz w:val="14"/>
                <w:szCs w:val="14"/>
                <w:lang w:val="es-ES"/>
              </w:rPr>
            </w:pPr>
            <w:r w:rsidRPr="001F5CB7">
              <w:rPr>
                <w:rFonts w:ascii="Lucida Bright" w:hAnsi="Lucida Bright" w:cs="Calibri"/>
                <w:sz w:val="14"/>
                <w:szCs w:val="14"/>
                <w:lang w:val="es-ES"/>
              </w:rPr>
              <w:t xml:space="preserve">(1.002.307,03) </w:t>
            </w:r>
          </w:p>
        </w:tc>
      </w:tr>
    </w:tbl>
    <w:p w:rsidR="008966DA" w:rsidRDefault="008966DA" w:rsidP="0022171E">
      <w:pPr>
        <w:spacing w:before="100"/>
        <w:jc w:val="both"/>
        <w:rPr>
          <w:rFonts w:ascii="NewBaskerville" w:hAnsi="NewBaskerville"/>
        </w:rPr>
      </w:pPr>
    </w:p>
    <w:p w:rsidR="008607EA" w:rsidRPr="0022171E" w:rsidRDefault="008607EA" w:rsidP="0022171E">
      <w:pPr>
        <w:spacing w:before="100"/>
        <w:jc w:val="both"/>
        <w:rPr>
          <w:rFonts w:ascii="NewBaskerville" w:hAnsi="NewBaskerville"/>
        </w:rPr>
      </w:pPr>
    </w:p>
    <w:p w:rsidR="009E6BD5" w:rsidRDefault="0022171E" w:rsidP="0022171E">
      <w:pPr>
        <w:pStyle w:val="Prrafodelista"/>
        <w:numPr>
          <w:ilvl w:val="0"/>
          <w:numId w:val="44"/>
        </w:numPr>
        <w:jc w:val="both"/>
        <w:rPr>
          <w:rFonts w:ascii="NewBaskerville" w:hAnsi="NewBaskerville"/>
          <w:u w:val="single"/>
        </w:rPr>
      </w:pPr>
      <w:r w:rsidRPr="0022171E">
        <w:rPr>
          <w:rFonts w:ascii="NewBaskerville" w:hAnsi="NewBaskerville"/>
          <w:u w:val="single"/>
        </w:rPr>
        <w:t xml:space="preserve"> Cambios en criterios contables</w:t>
      </w:r>
    </w:p>
    <w:p w:rsidR="00F333F2" w:rsidRDefault="00F333F2" w:rsidP="00F333F2">
      <w:pPr>
        <w:pStyle w:val="Prrafodelista"/>
        <w:spacing w:before="100" w:after="100"/>
        <w:ind w:left="646"/>
        <w:jc w:val="both"/>
        <w:rPr>
          <w:rFonts w:ascii="NewBaskerville" w:hAnsi="NewBaskerville"/>
        </w:rPr>
      </w:pPr>
      <w:r>
        <w:rPr>
          <w:rFonts w:ascii="NewBaskerville" w:hAnsi="NewBaskerville"/>
        </w:rPr>
        <w:t xml:space="preserve">Durante el </w:t>
      </w:r>
      <w:r w:rsidR="00DD448C">
        <w:rPr>
          <w:rFonts w:ascii="NewBaskerville" w:hAnsi="NewBaskerville"/>
        </w:rPr>
        <w:t>ejercicio</w:t>
      </w:r>
      <w:r>
        <w:rPr>
          <w:rFonts w:ascii="NewBaskerville" w:hAnsi="NewBaskerville"/>
        </w:rPr>
        <w:t xml:space="preserve"> 2023 no se han producido cambios en criterios contables.</w:t>
      </w:r>
    </w:p>
    <w:p w:rsidR="006018C7" w:rsidRDefault="006018C7" w:rsidP="00F333F2">
      <w:pPr>
        <w:pStyle w:val="Prrafodelista"/>
        <w:spacing w:before="100" w:after="100"/>
        <w:ind w:left="646"/>
        <w:jc w:val="both"/>
        <w:rPr>
          <w:rFonts w:ascii="NewBaskerville" w:hAnsi="NewBaskerville"/>
        </w:rPr>
      </w:pPr>
    </w:p>
    <w:p w:rsidR="00F333F2" w:rsidRPr="00F333F2" w:rsidRDefault="00F333F2" w:rsidP="00F333F2">
      <w:pPr>
        <w:pStyle w:val="Prrafodelista"/>
        <w:ind w:left="644"/>
        <w:jc w:val="both"/>
        <w:rPr>
          <w:rFonts w:ascii="NewBaskerville" w:hAnsi="NewBaskerville"/>
        </w:rPr>
      </w:pPr>
    </w:p>
    <w:p w:rsidR="00F333F2" w:rsidRDefault="00F333F2" w:rsidP="0022171E">
      <w:pPr>
        <w:pStyle w:val="Prrafodelista"/>
        <w:numPr>
          <w:ilvl w:val="0"/>
          <w:numId w:val="44"/>
        </w:numPr>
        <w:jc w:val="both"/>
        <w:rPr>
          <w:rFonts w:ascii="NewBaskerville" w:hAnsi="NewBaskerville"/>
          <w:u w:val="single"/>
        </w:rPr>
      </w:pPr>
      <w:r>
        <w:rPr>
          <w:rFonts w:ascii="NewBaskerville" w:hAnsi="NewBaskerville"/>
          <w:u w:val="single"/>
        </w:rPr>
        <w:t>Corrección de errores</w:t>
      </w:r>
    </w:p>
    <w:p w:rsidR="00EF207B" w:rsidRDefault="00714F3A" w:rsidP="00F333F2">
      <w:pPr>
        <w:pStyle w:val="Prrafodelista"/>
        <w:spacing w:before="100" w:after="100"/>
        <w:ind w:left="646"/>
        <w:jc w:val="both"/>
        <w:rPr>
          <w:rFonts w:ascii="NewBaskerville" w:hAnsi="NewBaskerville"/>
        </w:rPr>
      </w:pPr>
      <w:r>
        <w:rPr>
          <w:rFonts w:ascii="NewBaskerville" w:hAnsi="NewBaskerville"/>
        </w:rPr>
        <w:t>En el ejercicio 2023 se han aplicado</w:t>
      </w:r>
      <w:r w:rsidR="00266E60">
        <w:rPr>
          <w:rFonts w:ascii="NewBaskerville" w:hAnsi="NewBaskerville"/>
        </w:rPr>
        <w:t xml:space="preserve"> </w:t>
      </w:r>
      <w:r w:rsidR="00490AF4">
        <w:rPr>
          <w:rFonts w:ascii="NewBaskerville" w:hAnsi="NewBaskerville"/>
        </w:rPr>
        <w:t>determinadas partidas que englobaban el</w:t>
      </w:r>
      <w:r w:rsidR="00266E60">
        <w:rPr>
          <w:rFonts w:ascii="NewBaskerville" w:hAnsi="NewBaskerville"/>
        </w:rPr>
        <w:t xml:space="preserve"> saldo de la cuenta contable “Partidas pendientes de aplicación”, una vez aclarada su causa y realidad económica. Del total de partidas aplicadas, cumplían </w:t>
      </w:r>
      <w:r w:rsidR="00490AF4">
        <w:rPr>
          <w:rFonts w:ascii="NewBaskerville" w:hAnsi="NewBaskerville"/>
        </w:rPr>
        <w:t>el criterio</w:t>
      </w:r>
      <w:r w:rsidR="00266E60">
        <w:rPr>
          <w:rFonts w:ascii="NewBaskerville" w:hAnsi="NewBaskerville"/>
        </w:rPr>
        <w:t xml:space="preserve"> de reconocimiento de </w:t>
      </w:r>
      <w:r w:rsidR="00EF207B">
        <w:rPr>
          <w:rFonts w:ascii="NewBaskerville" w:hAnsi="NewBaskerville"/>
        </w:rPr>
        <w:t xml:space="preserve">ingresos y </w:t>
      </w:r>
      <w:r w:rsidR="00266E60">
        <w:rPr>
          <w:rFonts w:ascii="NewBaskerville" w:hAnsi="NewBaskerville"/>
        </w:rPr>
        <w:t>gasto</w:t>
      </w:r>
      <w:r w:rsidR="00EF207B">
        <w:rPr>
          <w:rFonts w:ascii="NewBaskerville" w:hAnsi="NewBaskerville"/>
        </w:rPr>
        <w:t>s</w:t>
      </w:r>
      <w:r w:rsidR="00266E60">
        <w:rPr>
          <w:rFonts w:ascii="NewBaskerville" w:hAnsi="NewBaskerville"/>
        </w:rPr>
        <w:t xml:space="preserve"> la</w:t>
      </w:r>
      <w:r w:rsidR="00EF207B">
        <w:rPr>
          <w:rFonts w:ascii="NewBaskerville" w:hAnsi="NewBaskerville"/>
        </w:rPr>
        <w:t>s</w:t>
      </w:r>
      <w:r w:rsidR="00266E60">
        <w:rPr>
          <w:rFonts w:ascii="NewBaskerville" w:hAnsi="NewBaskerville"/>
        </w:rPr>
        <w:t xml:space="preserve"> cantidad</w:t>
      </w:r>
      <w:r w:rsidR="00EF207B">
        <w:rPr>
          <w:rFonts w:ascii="NewBaskerville" w:hAnsi="NewBaskerville"/>
        </w:rPr>
        <w:t>es respectivas</w:t>
      </w:r>
      <w:r w:rsidR="00266E60">
        <w:rPr>
          <w:rFonts w:ascii="NewBaskerville" w:hAnsi="NewBaskerville"/>
        </w:rPr>
        <w:t xml:space="preserve"> de </w:t>
      </w:r>
      <w:r w:rsidR="00EF207B">
        <w:rPr>
          <w:rFonts w:ascii="NewBaskerville" w:hAnsi="NewBaskerville"/>
        </w:rPr>
        <w:t>33.9</w:t>
      </w:r>
      <w:r w:rsidR="0030255B">
        <w:rPr>
          <w:rFonts w:ascii="NewBaskerville" w:hAnsi="NewBaskerville"/>
        </w:rPr>
        <w:t>18</w:t>
      </w:r>
      <w:r w:rsidR="00EF207B">
        <w:rPr>
          <w:rFonts w:ascii="NewBaskerville" w:hAnsi="NewBaskerville"/>
        </w:rPr>
        <w:t>,</w:t>
      </w:r>
      <w:r w:rsidR="0030255B">
        <w:rPr>
          <w:rFonts w:ascii="NewBaskerville" w:hAnsi="NewBaskerville"/>
        </w:rPr>
        <w:t>61</w:t>
      </w:r>
      <w:r w:rsidR="00EF207B">
        <w:rPr>
          <w:rFonts w:ascii="NewBaskerville" w:hAnsi="NewBaskerville"/>
        </w:rPr>
        <w:t xml:space="preserve"> y 115.14</w:t>
      </w:r>
      <w:r w:rsidR="0030255B">
        <w:rPr>
          <w:rFonts w:ascii="NewBaskerville" w:hAnsi="NewBaskerville"/>
        </w:rPr>
        <w:t>6</w:t>
      </w:r>
      <w:r w:rsidR="00EF207B">
        <w:rPr>
          <w:rFonts w:ascii="NewBaskerville" w:hAnsi="NewBaskerville"/>
        </w:rPr>
        <w:t>,</w:t>
      </w:r>
      <w:r w:rsidR="0030255B">
        <w:rPr>
          <w:rFonts w:ascii="NewBaskerville" w:hAnsi="NewBaskerville"/>
        </w:rPr>
        <w:t>63</w:t>
      </w:r>
      <w:r w:rsidR="00EF207B">
        <w:rPr>
          <w:rFonts w:ascii="NewBaskerville" w:hAnsi="NewBaskerville"/>
        </w:rPr>
        <w:t xml:space="preserve"> euros</w:t>
      </w:r>
      <w:r w:rsidR="00266E60">
        <w:rPr>
          <w:rFonts w:ascii="NewBaskerville" w:hAnsi="NewBaskerville"/>
        </w:rPr>
        <w:t xml:space="preserve"> cuyo devengo se produjo en lo</w:t>
      </w:r>
      <w:r w:rsidR="00490AF4">
        <w:rPr>
          <w:rFonts w:ascii="NewBaskerville" w:hAnsi="NewBaskerville"/>
        </w:rPr>
        <w:t>s ejercicios 2022 y anterior</w:t>
      </w:r>
      <w:r w:rsidR="00EF207B">
        <w:rPr>
          <w:rFonts w:ascii="NewBaskerville" w:hAnsi="NewBaskerville"/>
        </w:rPr>
        <w:t>es, arrojando un sal</w:t>
      </w:r>
      <w:r w:rsidR="00A72F41">
        <w:rPr>
          <w:rFonts w:ascii="NewBaskerville" w:hAnsi="NewBaskerville"/>
        </w:rPr>
        <w:t>do negativo de 81.228,02 euros.</w:t>
      </w:r>
      <w:r w:rsidR="009420FB">
        <w:rPr>
          <w:rFonts w:ascii="NewBaskerville" w:hAnsi="NewBaskerville"/>
        </w:rPr>
        <w:t xml:space="preserve"> </w:t>
      </w:r>
      <w:r w:rsidR="00A72F41">
        <w:rPr>
          <w:rFonts w:ascii="NewBaskerville" w:hAnsi="NewBaskerville"/>
        </w:rPr>
        <w:t>N</w:t>
      </w:r>
      <w:r w:rsidR="009420FB">
        <w:rPr>
          <w:rFonts w:ascii="NewBaskerville" w:hAnsi="NewBaskerville"/>
        </w:rPr>
        <w:t>o ha</w:t>
      </w:r>
      <w:r w:rsidR="00606760">
        <w:rPr>
          <w:rFonts w:ascii="NewBaskerville" w:hAnsi="NewBaskerville"/>
        </w:rPr>
        <w:t>biéndose utilizado, o no habiéndose</w:t>
      </w:r>
      <w:r w:rsidR="009420FB">
        <w:rPr>
          <w:rFonts w:ascii="NewBaskerville" w:hAnsi="NewBaskerville"/>
        </w:rPr>
        <w:t xml:space="preserve"> hecho adecuadamente, información fiable que estaba disponible en la Entidad cuando se formularon </w:t>
      </w:r>
      <w:r w:rsidR="00EC054B">
        <w:rPr>
          <w:rFonts w:ascii="NewBaskerville" w:hAnsi="NewBaskerville"/>
        </w:rPr>
        <w:t xml:space="preserve">las </w:t>
      </w:r>
      <w:r w:rsidR="009420FB">
        <w:rPr>
          <w:rFonts w:ascii="NewBaskerville" w:hAnsi="NewBaskerville"/>
        </w:rPr>
        <w:t>cuentas de</w:t>
      </w:r>
      <w:r w:rsidR="00A72F41">
        <w:rPr>
          <w:rFonts w:ascii="NewBaskerville" w:hAnsi="NewBaskerville"/>
        </w:rPr>
        <w:t xml:space="preserve"> dichos</w:t>
      </w:r>
      <w:r w:rsidR="009420FB">
        <w:rPr>
          <w:rFonts w:ascii="NewBaskerville" w:hAnsi="NewBaskerville"/>
        </w:rPr>
        <w:t xml:space="preserve"> ejercicios anteriores.</w:t>
      </w:r>
    </w:p>
    <w:p w:rsidR="00911311" w:rsidRPr="00911311" w:rsidRDefault="00911311" w:rsidP="00F333F2">
      <w:pPr>
        <w:pStyle w:val="Prrafodelista"/>
        <w:spacing w:before="100" w:after="100"/>
        <w:ind w:left="646"/>
        <w:jc w:val="both"/>
        <w:rPr>
          <w:rFonts w:ascii="NewBaskerville" w:hAnsi="NewBaskerville"/>
        </w:rPr>
      </w:pPr>
      <w:r>
        <w:rPr>
          <w:rFonts w:ascii="NewBaskerville" w:hAnsi="NewBaskerville"/>
        </w:rPr>
        <w:t xml:space="preserve">En aplicación a la norma de valoración 22ª </w:t>
      </w:r>
      <w:r>
        <w:rPr>
          <w:rFonts w:ascii="NewBaskerville" w:hAnsi="NewBaskerville"/>
          <w:u w:val="single"/>
        </w:rPr>
        <w:t>Cambios de criterios contables, errores y estimaciones contables</w:t>
      </w:r>
      <w:r>
        <w:rPr>
          <w:rFonts w:ascii="NewBaskerville" w:hAnsi="NewBaskerville"/>
        </w:rPr>
        <w:t>, de la segunda parte de</w:t>
      </w:r>
      <w:r w:rsidR="009420FB">
        <w:rPr>
          <w:rFonts w:ascii="NewBaskerville" w:hAnsi="NewBaskerville"/>
        </w:rPr>
        <w:t>l Plan General de Contabilidad, la subsanación de estos errores relativos a ejerci</w:t>
      </w:r>
      <w:r w:rsidR="00606760">
        <w:rPr>
          <w:rFonts w:ascii="NewBaskerville" w:hAnsi="NewBaskerville"/>
        </w:rPr>
        <w:t>ci</w:t>
      </w:r>
      <w:r w:rsidR="009420FB">
        <w:rPr>
          <w:rFonts w:ascii="NewBaskerville" w:hAnsi="NewBaskerville"/>
        </w:rPr>
        <w:t>os anteriores</w:t>
      </w:r>
      <w:r w:rsidR="00A72F41">
        <w:rPr>
          <w:rFonts w:ascii="NewBaskerville" w:hAnsi="NewBaskerville"/>
        </w:rPr>
        <w:t xml:space="preserve"> se ha </w:t>
      </w:r>
      <w:r w:rsidR="00EC054B">
        <w:rPr>
          <w:rFonts w:ascii="NewBaskerville" w:hAnsi="NewBaskerville"/>
        </w:rPr>
        <w:t>efectuado</w:t>
      </w:r>
      <w:r w:rsidR="00A72F41">
        <w:rPr>
          <w:rFonts w:ascii="NewBaskerville" w:hAnsi="NewBaskerville"/>
        </w:rPr>
        <w:t xml:space="preserve"> de forma retroactiva y su efecto se ha calculad</w:t>
      </w:r>
      <w:r w:rsidR="00EC054B">
        <w:rPr>
          <w:rFonts w:ascii="NewBaskerville" w:hAnsi="NewBaskerville"/>
        </w:rPr>
        <w:t>o</w:t>
      </w:r>
      <w:r w:rsidR="00A72F41">
        <w:rPr>
          <w:rFonts w:ascii="NewBaskerville" w:hAnsi="NewBaskerville"/>
        </w:rPr>
        <w:t xml:space="preserve"> desde el más antiguo para el que se dispone información.</w:t>
      </w:r>
      <w:r w:rsidR="009420FB">
        <w:rPr>
          <w:rFonts w:ascii="NewBaskerville" w:hAnsi="NewBaskerville"/>
        </w:rPr>
        <w:t xml:space="preserve"> </w:t>
      </w:r>
      <w:r w:rsidR="00A72F41">
        <w:rPr>
          <w:rFonts w:ascii="NewBaskerville" w:hAnsi="NewBaskerville"/>
        </w:rPr>
        <w:t>Y h</w:t>
      </w:r>
      <w:r w:rsidR="009420FB">
        <w:rPr>
          <w:rFonts w:ascii="NewBaskerville" w:hAnsi="NewBaskerville"/>
        </w:rPr>
        <w:t>a motivado, en el ejercicio 2023, el ajuste por el efecto acumulado de las variaciones del activo y pasivo</w:t>
      </w:r>
      <w:r w:rsidR="00A72F41">
        <w:rPr>
          <w:rFonts w:ascii="NewBaskerville" w:hAnsi="NewBaskerville"/>
        </w:rPr>
        <w:t>, el cual se ha imputado directamente en el patrimonio neto, en concreto, en una partida de reservas por beneficios acumulados.</w:t>
      </w:r>
    </w:p>
    <w:p w:rsidR="00A72F41" w:rsidRDefault="00A72F41" w:rsidP="00F333F2">
      <w:pPr>
        <w:pStyle w:val="Prrafodelista"/>
        <w:spacing w:before="100" w:after="100"/>
        <w:ind w:left="646"/>
        <w:jc w:val="both"/>
        <w:rPr>
          <w:rFonts w:ascii="NewBaskerville" w:hAnsi="NewBaskerville"/>
        </w:rPr>
      </w:pPr>
      <w:r>
        <w:rPr>
          <w:rFonts w:ascii="NewBaskerville" w:hAnsi="NewBaskerville"/>
        </w:rPr>
        <w:t>Asimismo se han modificado las cifras afectadas en la información comparativa en el sentido del apartado d) de esta nota.</w:t>
      </w:r>
    </w:p>
    <w:p w:rsidR="0030255B" w:rsidRDefault="005B1077" w:rsidP="00F333F2">
      <w:pPr>
        <w:pStyle w:val="Prrafodelista"/>
        <w:spacing w:before="100" w:after="100"/>
        <w:ind w:left="646"/>
        <w:jc w:val="both"/>
        <w:rPr>
          <w:rFonts w:ascii="NewBaskerville" w:hAnsi="NewBaskerville"/>
        </w:rPr>
      </w:pPr>
      <w:r>
        <w:rPr>
          <w:rFonts w:ascii="NewBaskerville" w:hAnsi="NewBaskerville"/>
        </w:rPr>
        <w:t xml:space="preserve">g.1.) </w:t>
      </w:r>
      <w:r w:rsidR="009E448A">
        <w:rPr>
          <w:rFonts w:ascii="NewBaskerville" w:hAnsi="NewBaskerville"/>
        </w:rPr>
        <w:t>Naturaleza de los errores y ejercicios en que se produjeron:</w:t>
      </w:r>
    </w:p>
    <w:tbl>
      <w:tblPr>
        <w:tblW w:w="5000" w:type="pct"/>
        <w:tblCellMar>
          <w:left w:w="70" w:type="dxa"/>
          <w:right w:w="70" w:type="dxa"/>
        </w:tblCellMar>
        <w:tblLook w:val="04A0" w:firstRow="1" w:lastRow="0" w:firstColumn="1" w:lastColumn="0" w:noHBand="0" w:noVBand="1"/>
      </w:tblPr>
      <w:tblGrid>
        <w:gridCol w:w="4039"/>
        <w:gridCol w:w="1509"/>
        <w:gridCol w:w="3096"/>
      </w:tblGrid>
      <w:tr w:rsidR="005C2F51" w:rsidRPr="005C2F51" w:rsidTr="005C2F51">
        <w:trPr>
          <w:trHeight w:val="510"/>
        </w:trPr>
        <w:tc>
          <w:tcPr>
            <w:tcW w:w="2336"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5C2F51" w:rsidRPr="005C2F51" w:rsidRDefault="005C2F51" w:rsidP="005C2F51">
            <w:pPr>
              <w:jc w:val="center"/>
              <w:rPr>
                <w:rFonts w:ascii="Lucida Bright" w:hAnsi="Lucida Bright" w:cs="Calibri"/>
                <w:b/>
                <w:bCs/>
                <w:sz w:val="14"/>
                <w:szCs w:val="14"/>
                <w:lang w:val="es-ES"/>
              </w:rPr>
            </w:pPr>
            <w:r w:rsidRPr="005C2F51">
              <w:rPr>
                <w:rFonts w:ascii="Lucida Bright" w:hAnsi="Lucida Bright" w:cs="Calibri"/>
                <w:b/>
                <w:bCs/>
                <w:sz w:val="14"/>
                <w:szCs w:val="14"/>
                <w:lang w:val="es-ES"/>
              </w:rPr>
              <w:t>Naturaleza del error</w:t>
            </w:r>
          </w:p>
        </w:tc>
        <w:tc>
          <w:tcPr>
            <w:tcW w:w="873" w:type="pct"/>
            <w:tcBorders>
              <w:top w:val="single" w:sz="4" w:space="0" w:color="auto"/>
              <w:left w:val="nil"/>
              <w:bottom w:val="single" w:sz="4" w:space="0" w:color="auto"/>
              <w:right w:val="single" w:sz="4" w:space="0" w:color="auto"/>
            </w:tcBorders>
            <w:shd w:val="clear" w:color="000000" w:fill="CCFFCC"/>
            <w:vAlign w:val="center"/>
            <w:hideMark/>
          </w:tcPr>
          <w:p w:rsidR="005C2F51" w:rsidRPr="005C2F51" w:rsidRDefault="005C2F51" w:rsidP="005C2F51">
            <w:pPr>
              <w:jc w:val="center"/>
              <w:rPr>
                <w:rFonts w:ascii="Lucida Bright" w:hAnsi="Lucida Bright" w:cs="Calibri"/>
                <w:b/>
                <w:bCs/>
                <w:sz w:val="14"/>
                <w:szCs w:val="14"/>
                <w:lang w:val="es-ES"/>
              </w:rPr>
            </w:pPr>
            <w:r w:rsidRPr="005C2F51">
              <w:rPr>
                <w:rFonts w:ascii="Lucida Bright" w:hAnsi="Lucida Bright" w:cs="Calibri"/>
                <w:b/>
                <w:bCs/>
                <w:sz w:val="14"/>
                <w:szCs w:val="14"/>
                <w:lang w:val="es-ES"/>
              </w:rPr>
              <w:t>Ejercicio en que se produjo</w:t>
            </w:r>
          </w:p>
        </w:tc>
        <w:tc>
          <w:tcPr>
            <w:tcW w:w="1791" w:type="pct"/>
            <w:tcBorders>
              <w:top w:val="single" w:sz="4" w:space="0" w:color="auto"/>
              <w:left w:val="nil"/>
              <w:bottom w:val="single" w:sz="4" w:space="0" w:color="auto"/>
              <w:right w:val="single" w:sz="4" w:space="0" w:color="auto"/>
            </w:tcBorders>
            <w:shd w:val="clear" w:color="000000" w:fill="CCFFCC"/>
            <w:vAlign w:val="center"/>
            <w:hideMark/>
          </w:tcPr>
          <w:p w:rsidR="005C2F51" w:rsidRPr="005C2F51" w:rsidRDefault="005C2F51" w:rsidP="005C2F51">
            <w:pPr>
              <w:jc w:val="center"/>
              <w:rPr>
                <w:rFonts w:ascii="Lucida Bright" w:hAnsi="Lucida Bright" w:cs="Calibri"/>
                <w:b/>
                <w:bCs/>
                <w:sz w:val="14"/>
                <w:szCs w:val="14"/>
                <w:lang w:val="es-ES"/>
              </w:rPr>
            </w:pPr>
            <w:r w:rsidRPr="005C2F51">
              <w:rPr>
                <w:rFonts w:ascii="Lucida Bright" w:hAnsi="Lucida Bright" w:cs="Calibri"/>
                <w:b/>
                <w:bCs/>
                <w:sz w:val="14"/>
                <w:szCs w:val="14"/>
                <w:lang w:val="es-ES"/>
              </w:rPr>
              <w:t>Importe (+/-) Ingreso/gasto</w:t>
            </w:r>
          </w:p>
        </w:tc>
      </w:tr>
      <w:tr w:rsidR="005C2F51" w:rsidRPr="005C2F51" w:rsidTr="005C2F51">
        <w:trPr>
          <w:trHeight w:val="300"/>
        </w:trPr>
        <w:tc>
          <w:tcPr>
            <w:tcW w:w="2336" w:type="pct"/>
            <w:tcBorders>
              <w:top w:val="nil"/>
              <w:left w:val="single" w:sz="4" w:space="0" w:color="auto"/>
              <w:bottom w:val="nil"/>
              <w:right w:val="single" w:sz="4" w:space="0" w:color="auto"/>
            </w:tcBorders>
            <w:shd w:val="clear" w:color="auto" w:fill="auto"/>
            <w:noWrap/>
            <w:vAlign w:val="bottom"/>
            <w:hideMark/>
          </w:tcPr>
          <w:p w:rsidR="005C2F51" w:rsidRPr="005C2F51" w:rsidRDefault="005C2F51" w:rsidP="005C2F51">
            <w:pP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Otros ingresos de explotación</w:t>
            </w:r>
          </w:p>
        </w:tc>
        <w:tc>
          <w:tcPr>
            <w:tcW w:w="873"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2006</w:t>
            </w:r>
          </w:p>
        </w:tc>
        <w:tc>
          <w:tcPr>
            <w:tcW w:w="1791"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sz w:val="14"/>
                <w:szCs w:val="14"/>
                <w:lang w:val="es-ES"/>
              </w:rPr>
            </w:pPr>
            <w:r w:rsidRPr="005C2F51">
              <w:rPr>
                <w:rFonts w:ascii="Lucida Bright" w:hAnsi="Lucida Bright" w:cs="Calibri"/>
                <w:sz w:val="14"/>
                <w:szCs w:val="14"/>
                <w:lang w:val="es-ES"/>
              </w:rPr>
              <w:t xml:space="preserve">486,67 </w:t>
            </w:r>
          </w:p>
        </w:tc>
      </w:tr>
      <w:tr w:rsidR="005C2F51" w:rsidRPr="005C2F51" w:rsidTr="005C2F51">
        <w:trPr>
          <w:trHeight w:val="300"/>
        </w:trPr>
        <w:tc>
          <w:tcPr>
            <w:tcW w:w="2336" w:type="pct"/>
            <w:tcBorders>
              <w:top w:val="nil"/>
              <w:left w:val="single" w:sz="4" w:space="0" w:color="auto"/>
              <w:bottom w:val="nil"/>
              <w:right w:val="single" w:sz="4" w:space="0" w:color="auto"/>
            </w:tcBorders>
            <w:shd w:val="clear" w:color="auto" w:fill="auto"/>
            <w:noWrap/>
            <w:vAlign w:val="bottom"/>
            <w:hideMark/>
          </w:tcPr>
          <w:p w:rsidR="005C2F51" w:rsidRPr="005C2F51" w:rsidRDefault="005C2F51" w:rsidP="005C2F51">
            <w:pP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Otras pérdidas en gestión corriente</w:t>
            </w:r>
          </w:p>
        </w:tc>
        <w:tc>
          <w:tcPr>
            <w:tcW w:w="873"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2007</w:t>
            </w:r>
          </w:p>
        </w:tc>
        <w:tc>
          <w:tcPr>
            <w:tcW w:w="1791"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 xml:space="preserve">(2.766,37) </w:t>
            </w:r>
          </w:p>
        </w:tc>
      </w:tr>
      <w:tr w:rsidR="005C2F51" w:rsidRPr="005C2F51" w:rsidTr="005C2F51">
        <w:trPr>
          <w:trHeight w:val="300"/>
        </w:trPr>
        <w:tc>
          <w:tcPr>
            <w:tcW w:w="2336" w:type="pct"/>
            <w:tcBorders>
              <w:top w:val="nil"/>
              <w:left w:val="single" w:sz="4" w:space="0" w:color="auto"/>
              <w:bottom w:val="nil"/>
              <w:right w:val="single" w:sz="4" w:space="0" w:color="auto"/>
            </w:tcBorders>
            <w:shd w:val="clear" w:color="auto" w:fill="auto"/>
            <w:noWrap/>
            <w:vAlign w:val="bottom"/>
            <w:hideMark/>
          </w:tcPr>
          <w:p w:rsidR="005C2F51" w:rsidRPr="005C2F51" w:rsidRDefault="005C2F51" w:rsidP="005C2F51">
            <w:pP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Otros ingresos de explotación</w:t>
            </w:r>
          </w:p>
        </w:tc>
        <w:tc>
          <w:tcPr>
            <w:tcW w:w="873"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2007</w:t>
            </w:r>
          </w:p>
        </w:tc>
        <w:tc>
          <w:tcPr>
            <w:tcW w:w="1791"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sz w:val="14"/>
                <w:szCs w:val="14"/>
                <w:lang w:val="es-ES"/>
              </w:rPr>
            </w:pPr>
            <w:r w:rsidRPr="005C2F51">
              <w:rPr>
                <w:rFonts w:ascii="Lucida Bright" w:hAnsi="Lucida Bright" w:cs="Calibri"/>
                <w:sz w:val="14"/>
                <w:szCs w:val="14"/>
                <w:lang w:val="es-ES"/>
              </w:rPr>
              <w:t xml:space="preserve">2.232,68 </w:t>
            </w:r>
          </w:p>
        </w:tc>
      </w:tr>
      <w:tr w:rsidR="005C2F51" w:rsidRPr="005C2F51" w:rsidTr="005C2F51">
        <w:trPr>
          <w:trHeight w:val="300"/>
        </w:trPr>
        <w:tc>
          <w:tcPr>
            <w:tcW w:w="2336" w:type="pct"/>
            <w:tcBorders>
              <w:top w:val="nil"/>
              <w:left w:val="single" w:sz="4" w:space="0" w:color="auto"/>
              <w:bottom w:val="nil"/>
              <w:right w:val="single" w:sz="4" w:space="0" w:color="auto"/>
            </w:tcBorders>
            <w:shd w:val="clear" w:color="auto" w:fill="auto"/>
            <w:noWrap/>
            <w:vAlign w:val="bottom"/>
            <w:hideMark/>
          </w:tcPr>
          <w:p w:rsidR="005C2F51" w:rsidRPr="005C2F51" w:rsidRDefault="005C2F51" w:rsidP="005C2F51">
            <w:pP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Otras pérdidas en gestión corriente</w:t>
            </w:r>
          </w:p>
        </w:tc>
        <w:tc>
          <w:tcPr>
            <w:tcW w:w="873"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2008</w:t>
            </w:r>
          </w:p>
        </w:tc>
        <w:tc>
          <w:tcPr>
            <w:tcW w:w="1791"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 xml:space="preserve">(495,73) </w:t>
            </w:r>
          </w:p>
        </w:tc>
      </w:tr>
      <w:tr w:rsidR="005C2F51" w:rsidRPr="005C2F51" w:rsidTr="005C2F51">
        <w:trPr>
          <w:trHeight w:val="300"/>
        </w:trPr>
        <w:tc>
          <w:tcPr>
            <w:tcW w:w="2336" w:type="pct"/>
            <w:tcBorders>
              <w:top w:val="nil"/>
              <w:left w:val="single" w:sz="4" w:space="0" w:color="auto"/>
              <w:bottom w:val="nil"/>
              <w:right w:val="single" w:sz="4" w:space="0" w:color="auto"/>
            </w:tcBorders>
            <w:shd w:val="clear" w:color="auto" w:fill="auto"/>
            <w:noWrap/>
            <w:vAlign w:val="bottom"/>
            <w:hideMark/>
          </w:tcPr>
          <w:p w:rsidR="005C2F51" w:rsidRPr="005C2F51" w:rsidRDefault="005C2F51" w:rsidP="005C2F51">
            <w:pP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Otros ingresos de explotación</w:t>
            </w:r>
          </w:p>
        </w:tc>
        <w:tc>
          <w:tcPr>
            <w:tcW w:w="873"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2008</w:t>
            </w:r>
          </w:p>
        </w:tc>
        <w:tc>
          <w:tcPr>
            <w:tcW w:w="1791"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 xml:space="preserve">2.247,01 </w:t>
            </w:r>
          </w:p>
        </w:tc>
      </w:tr>
      <w:tr w:rsidR="005C2F51" w:rsidRPr="005C2F51" w:rsidTr="005C2F51">
        <w:trPr>
          <w:trHeight w:val="300"/>
        </w:trPr>
        <w:tc>
          <w:tcPr>
            <w:tcW w:w="2336" w:type="pct"/>
            <w:tcBorders>
              <w:top w:val="nil"/>
              <w:left w:val="single" w:sz="4" w:space="0" w:color="auto"/>
              <w:bottom w:val="nil"/>
              <w:right w:val="single" w:sz="4" w:space="0" w:color="auto"/>
            </w:tcBorders>
            <w:shd w:val="clear" w:color="auto" w:fill="auto"/>
            <w:noWrap/>
            <w:vAlign w:val="bottom"/>
            <w:hideMark/>
          </w:tcPr>
          <w:p w:rsidR="005C2F51" w:rsidRPr="005C2F51" w:rsidRDefault="005C2F51" w:rsidP="005C2F51">
            <w:pP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Otras pérdidas en gestión corriente</w:t>
            </w:r>
          </w:p>
        </w:tc>
        <w:tc>
          <w:tcPr>
            <w:tcW w:w="873"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2009</w:t>
            </w:r>
          </w:p>
        </w:tc>
        <w:tc>
          <w:tcPr>
            <w:tcW w:w="1791"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 xml:space="preserve">(144,23) </w:t>
            </w:r>
          </w:p>
        </w:tc>
      </w:tr>
      <w:tr w:rsidR="005C2F51" w:rsidRPr="005C2F51" w:rsidTr="005C2F51">
        <w:trPr>
          <w:trHeight w:val="300"/>
        </w:trPr>
        <w:tc>
          <w:tcPr>
            <w:tcW w:w="2336" w:type="pct"/>
            <w:tcBorders>
              <w:top w:val="nil"/>
              <w:left w:val="single" w:sz="4" w:space="0" w:color="auto"/>
              <w:bottom w:val="nil"/>
              <w:right w:val="single" w:sz="4" w:space="0" w:color="auto"/>
            </w:tcBorders>
            <w:shd w:val="clear" w:color="auto" w:fill="auto"/>
            <w:noWrap/>
            <w:vAlign w:val="bottom"/>
            <w:hideMark/>
          </w:tcPr>
          <w:p w:rsidR="005C2F51" w:rsidRPr="005C2F51" w:rsidRDefault="005C2F51" w:rsidP="005C2F51">
            <w:pP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Otros ingresos de explotación</w:t>
            </w:r>
          </w:p>
        </w:tc>
        <w:tc>
          <w:tcPr>
            <w:tcW w:w="873"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2009</w:t>
            </w:r>
          </w:p>
        </w:tc>
        <w:tc>
          <w:tcPr>
            <w:tcW w:w="1791"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 xml:space="preserve">58,09 </w:t>
            </w:r>
          </w:p>
        </w:tc>
      </w:tr>
      <w:tr w:rsidR="005C2F51" w:rsidRPr="005C2F51" w:rsidTr="005C2F51">
        <w:trPr>
          <w:trHeight w:val="300"/>
        </w:trPr>
        <w:tc>
          <w:tcPr>
            <w:tcW w:w="2336" w:type="pct"/>
            <w:tcBorders>
              <w:top w:val="nil"/>
              <w:left w:val="single" w:sz="4" w:space="0" w:color="auto"/>
              <w:bottom w:val="nil"/>
              <w:right w:val="single" w:sz="4" w:space="0" w:color="auto"/>
            </w:tcBorders>
            <w:shd w:val="clear" w:color="auto" w:fill="auto"/>
            <w:noWrap/>
            <w:vAlign w:val="bottom"/>
            <w:hideMark/>
          </w:tcPr>
          <w:p w:rsidR="005C2F51" w:rsidRPr="005C2F51" w:rsidRDefault="005C2F51" w:rsidP="005C2F51">
            <w:pP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Otros ingresos de explotación</w:t>
            </w:r>
          </w:p>
        </w:tc>
        <w:tc>
          <w:tcPr>
            <w:tcW w:w="873"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2010</w:t>
            </w:r>
          </w:p>
        </w:tc>
        <w:tc>
          <w:tcPr>
            <w:tcW w:w="1791"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 xml:space="preserve">99,17 </w:t>
            </w:r>
          </w:p>
        </w:tc>
      </w:tr>
      <w:tr w:rsidR="005C2F51" w:rsidRPr="005C2F51" w:rsidTr="005C2F51">
        <w:trPr>
          <w:trHeight w:val="300"/>
        </w:trPr>
        <w:tc>
          <w:tcPr>
            <w:tcW w:w="2336" w:type="pct"/>
            <w:tcBorders>
              <w:top w:val="nil"/>
              <w:left w:val="single" w:sz="4" w:space="0" w:color="auto"/>
              <w:bottom w:val="nil"/>
              <w:right w:val="single" w:sz="4" w:space="0" w:color="auto"/>
            </w:tcBorders>
            <w:shd w:val="clear" w:color="auto" w:fill="auto"/>
            <w:noWrap/>
            <w:vAlign w:val="bottom"/>
            <w:hideMark/>
          </w:tcPr>
          <w:p w:rsidR="005C2F51" w:rsidRPr="005C2F51" w:rsidRDefault="005C2F51" w:rsidP="005C2F51">
            <w:pP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Otras pérdidas en gestión corriente</w:t>
            </w:r>
          </w:p>
        </w:tc>
        <w:tc>
          <w:tcPr>
            <w:tcW w:w="873"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2011</w:t>
            </w:r>
          </w:p>
        </w:tc>
        <w:tc>
          <w:tcPr>
            <w:tcW w:w="1791"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 xml:space="preserve">(224,90) </w:t>
            </w:r>
          </w:p>
        </w:tc>
      </w:tr>
      <w:tr w:rsidR="005C2F51" w:rsidRPr="005C2F51" w:rsidTr="005C2F51">
        <w:trPr>
          <w:trHeight w:val="300"/>
        </w:trPr>
        <w:tc>
          <w:tcPr>
            <w:tcW w:w="2336" w:type="pct"/>
            <w:tcBorders>
              <w:top w:val="nil"/>
              <w:left w:val="single" w:sz="4" w:space="0" w:color="auto"/>
              <w:bottom w:val="nil"/>
              <w:right w:val="single" w:sz="4" w:space="0" w:color="auto"/>
            </w:tcBorders>
            <w:shd w:val="clear" w:color="auto" w:fill="auto"/>
            <w:noWrap/>
            <w:vAlign w:val="bottom"/>
            <w:hideMark/>
          </w:tcPr>
          <w:p w:rsidR="005C2F51" w:rsidRPr="005C2F51" w:rsidRDefault="005C2F51" w:rsidP="005C2F51">
            <w:pP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Otros ingresos de explotación</w:t>
            </w:r>
          </w:p>
        </w:tc>
        <w:tc>
          <w:tcPr>
            <w:tcW w:w="873"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2011</w:t>
            </w:r>
          </w:p>
        </w:tc>
        <w:tc>
          <w:tcPr>
            <w:tcW w:w="1791"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 xml:space="preserve">0,17 </w:t>
            </w:r>
          </w:p>
        </w:tc>
      </w:tr>
      <w:tr w:rsidR="005C2F51" w:rsidRPr="005C2F51" w:rsidTr="005C2F51">
        <w:trPr>
          <w:trHeight w:val="300"/>
        </w:trPr>
        <w:tc>
          <w:tcPr>
            <w:tcW w:w="2336" w:type="pct"/>
            <w:tcBorders>
              <w:top w:val="nil"/>
              <w:left w:val="single" w:sz="4" w:space="0" w:color="auto"/>
              <w:bottom w:val="nil"/>
              <w:right w:val="single" w:sz="4" w:space="0" w:color="auto"/>
            </w:tcBorders>
            <w:shd w:val="clear" w:color="auto" w:fill="auto"/>
            <w:noWrap/>
            <w:vAlign w:val="bottom"/>
            <w:hideMark/>
          </w:tcPr>
          <w:p w:rsidR="005C2F51" w:rsidRPr="005C2F51" w:rsidRDefault="005C2F51" w:rsidP="005C2F51">
            <w:pP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Otras pérdidas en gestión corriente</w:t>
            </w:r>
          </w:p>
        </w:tc>
        <w:tc>
          <w:tcPr>
            <w:tcW w:w="873"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2012</w:t>
            </w:r>
          </w:p>
        </w:tc>
        <w:tc>
          <w:tcPr>
            <w:tcW w:w="1791"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 xml:space="preserve">(164,37) </w:t>
            </w:r>
          </w:p>
        </w:tc>
      </w:tr>
      <w:tr w:rsidR="005C2F51" w:rsidRPr="005C2F51" w:rsidTr="005C2F51">
        <w:trPr>
          <w:trHeight w:val="300"/>
        </w:trPr>
        <w:tc>
          <w:tcPr>
            <w:tcW w:w="2336" w:type="pct"/>
            <w:tcBorders>
              <w:top w:val="nil"/>
              <w:left w:val="single" w:sz="4" w:space="0" w:color="auto"/>
              <w:bottom w:val="nil"/>
              <w:right w:val="single" w:sz="4" w:space="0" w:color="auto"/>
            </w:tcBorders>
            <w:shd w:val="clear" w:color="auto" w:fill="auto"/>
            <w:noWrap/>
            <w:vAlign w:val="bottom"/>
            <w:hideMark/>
          </w:tcPr>
          <w:p w:rsidR="005C2F51" w:rsidRPr="005C2F51" w:rsidRDefault="005C2F51" w:rsidP="005C2F51">
            <w:pP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Otros ingresos de explotación</w:t>
            </w:r>
          </w:p>
        </w:tc>
        <w:tc>
          <w:tcPr>
            <w:tcW w:w="873"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2012</w:t>
            </w:r>
          </w:p>
        </w:tc>
        <w:tc>
          <w:tcPr>
            <w:tcW w:w="1791"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 xml:space="preserve">47,78 </w:t>
            </w:r>
          </w:p>
        </w:tc>
      </w:tr>
      <w:tr w:rsidR="005C2F51" w:rsidRPr="005C2F51" w:rsidTr="005C2F51">
        <w:trPr>
          <w:trHeight w:val="300"/>
        </w:trPr>
        <w:tc>
          <w:tcPr>
            <w:tcW w:w="2336" w:type="pct"/>
            <w:tcBorders>
              <w:top w:val="nil"/>
              <w:left w:val="single" w:sz="4" w:space="0" w:color="auto"/>
              <w:bottom w:val="nil"/>
              <w:right w:val="single" w:sz="4" w:space="0" w:color="auto"/>
            </w:tcBorders>
            <w:shd w:val="clear" w:color="auto" w:fill="auto"/>
            <w:noWrap/>
            <w:vAlign w:val="bottom"/>
            <w:hideMark/>
          </w:tcPr>
          <w:p w:rsidR="005C2F51" w:rsidRPr="005C2F51" w:rsidRDefault="005C2F51" w:rsidP="005C2F51">
            <w:pP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Otros ingresos de explotación</w:t>
            </w:r>
          </w:p>
        </w:tc>
        <w:tc>
          <w:tcPr>
            <w:tcW w:w="873"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2013</w:t>
            </w:r>
          </w:p>
        </w:tc>
        <w:tc>
          <w:tcPr>
            <w:tcW w:w="1791"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 xml:space="preserve">75,73 </w:t>
            </w:r>
          </w:p>
        </w:tc>
      </w:tr>
      <w:tr w:rsidR="005C2F51" w:rsidRPr="005C2F51" w:rsidTr="005C2F51">
        <w:trPr>
          <w:trHeight w:val="300"/>
        </w:trPr>
        <w:tc>
          <w:tcPr>
            <w:tcW w:w="2336" w:type="pct"/>
            <w:tcBorders>
              <w:top w:val="nil"/>
              <w:left w:val="single" w:sz="4" w:space="0" w:color="auto"/>
              <w:bottom w:val="nil"/>
              <w:right w:val="single" w:sz="4" w:space="0" w:color="auto"/>
            </w:tcBorders>
            <w:shd w:val="clear" w:color="auto" w:fill="auto"/>
            <w:noWrap/>
            <w:vAlign w:val="bottom"/>
            <w:hideMark/>
          </w:tcPr>
          <w:p w:rsidR="005C2F51" w:rsidRPr="005C2F51" w:rsidRDefault="005C2F51" w:rsidP="005C2F51">
            <w:pP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Otras pérdidas en gestión corriente</w:t>
            </w:r>
          </w:p>
        </w:tc>
        <w:tc>
          <w:tcPr>
            <w:tcW w:w="873"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2014</w:t>
            </w:r>
          </w:p>
        </w:tc>
        <w:tc>
          <w:tcPr>
            <w:tcW w:w="1791" w:type="pct"/>
            <w:tcBorders>
              <w:top w:val="nil"/>
              <w:left w:val="nil"/>
              <w:bottom w:val="nil"/>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 xml:space="preserve">(95,86) </w:t>
            </w:r>
          </w:p>
        </w:tc>
      </w:tr>
      <w:tr w:rsidR="005C2F51" w:rsidRPr="005C2F51" w:rsidTr="005C2F51">
        <w:trPr>
          <w:trHeight w:val="300"/>
        </w:trPr>
        <w:tc>
          <w:tcPr>
            <w:tcW w:w="2336" w:type="pct"/>
            <w:tcBorders>
              <w:top w:val="nil"/>
              <w:left w:val="single" w:sz="4" w:space="0" w:color="auto"/>
              <w:bottom w:val="single" w:sz="4" w:space="0" w:color="auto"/>
              <w:right w:val="single" w:sz="4" w:space="0" w:color="auto"/>
            </w:tcBorders>
            <w:shd w:val="clear" w:color="auto" w:fill="auto"/>
            <w:noWrap/>
            <w:vAlign w:val="bottom"/>
            <w:hideMark/>
          </w:tcPr>
          <w:p w:rsidR="005C2F51" w:rsidRPr="005C2F51" w:rsidRDefault="005C2F51" w:rsidP="005C2F51">
            <w:pP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Otros ingresos de explotación</w:t>
            </w:r>
          </w:p>
        </w:tc>
        <w:tc>
          <w:tcPr>
            <w:tcW w:w="873" w:type="pct"/>
            <w:tcBorders>
              <w:top w:val="nil"/>
              <w:left w:val="nil"/>
              <w:bottom w:val="single" w:sz="4" w:space="0" w:color="auto"/>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2014</w:t>
            </w:r>
          </w:p>
        </w:tc>
        <w:tc>
          <w:tcPr>
            <w:tcW w:w="1791" w:type="pct"/>
            <w:tcBorders>
              <w:top w:val="nil"/>
              <w:left w:val="nil"/>
              <w:bottom w:val="single" w:sz="4" w:space="0" w:color="auto"/>
              <w:right w:val="single" w:sz="4" w:space="0" w:color="auto"/>
            </w:tcBorders>
            <w:shd w:val="clear" w:color="auto" w:fill="auto"/>
            <w:noWrap/>
            <w:vAlign w:val="bottom"/>
            <w:hideMark/>
          </w:tcPr>
          <w:p w:rsidR="005C2F51" w:rsidRPr="005C2F51" w:rsidRDefault="005C2F51" w:rsidP="005C2F51">
            <w:pPr>
              <w:jc w:val="center"/>
              <w:rPr>
                <w:rFonts w:ascii="Lucida Bright" w:hAnsi="Lucida Bright" w:cs="Calibri"/>
                <w:color w:val="000000"/>
                <w:sz w:val="14"/>
                <w:szCs w:val="14"/>
                <w:lang w:val="es-ES"/>
              </w:rPr>
            </w:pPr>
            <w:r w:rsidRPr="005C2F51">
              <w:rPr>
                <w:rFonts w:ascii="Lucida Bright" w:hAnsi="Lucida Bright" w:cs="Calibri"/>
                <w:color w:val="000000"/>
                <w:sz w:val="14"/>
                <w:szCs w:val="14"/>
                <w:lang w:val="es-ES"/>
              </w:rPr>
              <w:t xml:space="preserve">447,91 </w:t>
            </w:r>
          </w:p>
        </w:tc>
      </w:tr>
    </w:tbl>
    <w:p w:rsidR="009E448A" w:rsidRDefault="009E448A" w:rsidP="00F333F2">
      <w:pPr>
        <w:pStyle w:val="Prrafodelista"/>
        <w:spacing w:before="100" w:after="100"/>
        <w:ind w:left="646"/>
        <w:jc w:val="both"/>
        <w:rPr>
          <w:rFonts w:ascii="NewBaskerville" w:hAnsi="NewBaskerville"/>
        </w:rPr>
      </w:pPr>
    </w:p>
    <w:p w:rsidR="0030255B" w:rsidRDefault="0030255B" w:rsidP="00F333F2">
      <w:pPr>
        <w:pStyle w:val="Prrafodelista"/>
        <w:spacing w:before="100" w:after="100"/>
        <w:ind w:left="646"/>
        <w:jc w:val="both"/>
        <w:rPr>
          <w:rFonts w:ascii="NewBaskerville" w:hAnsi="NewBaskerville"/>
        </w:rPr>
      </w:pPr>
    </w:p>
    <w:p w:rsidR="0030255B" w:rsidRDefault="0030255B" w:rsidP="00F333F2">
      <w:pPr>
        <w:pStyle w:val="Prrafodelista"/>
        <w:spacing w:before="100" w:after="100"/>
        <w:ind w:left="646"/>
        <w:jc w:val="both"/>
        <w:rPr>
          <w:rFonts w:ascii="NewBaskerville" w:hAnsi="NewBaskerville"/>
        </w:rPr>
      </w:pPr>
    </w:p>
    <w:tbl>
      <w:tblPr>
        <w:tblW w:w="5000" w:type="pct"/>
        <w:tblCellMar>
          <w:left w:w="70" w:type="dxa"/>
          <w:right w:w="70" w:type="dxa"/>
        </w:tblCellMar>
        <w:tblLook w:val="04A0" w:firstRow="1" w:lastRow="0" w:firstColumn="1" w:lastColumn="0" w:noHBand="0" w:noVBand="1"/>
      </w:tblPr>
      <w:tblGrid>
        <w:gridCol w:w="3949"/>
        <w:gridCol w:w="1521"/>
        <w:gridCol w:w="3174"/>
      </w:tblGrid>
      <w:tr w:rsidR="009E448A" w:rsidRPr="009E448A" w:rsidTr="009E448A">
        <w:trPr>
          <w:trHeight w:val="300"/>
        </w:trPr>
        <w:tc>
          <w:tcPr>
            <w:tcW w:w="2284" w:type="pct"/>
            <w:tcBorders>
              <w:top w:val="single" w:sz="4" w:space="0" w:color="auto"/>
              <w:left w:val="single" w:sz="4" w:space="0" w:color="auto"/>
              <w:bottom w:val="nil"/>
              <w:right w:val="single" w:sz="4" w:space="0" w:color="auto"/>
            </w:tcBorders>
            <w:shd w:val="clear" w:color="auto" w:fill="auto"/>
            <w:noWrap/>
            <w:vAlign w:val="bottom"/>
            <w:hideMark/>
          </w:tcPr>
          <w:p w:rsidR="009E448A" w:rsidRPr="009E448A" w:rsidRDefault="009E448A" w:rsidP="009E448A">
            <w:pP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Otros ingresos de explotación</w:t>
            </w:r>
          </w:p>
        </w:tc>
        <w:tc>
          <w:tcPr>
            <w:tcW w:w="880" w:type="pct"/>
            <w:tcBorders>
              <w:top w:val="single" w:sz="4" w:space="0" w:color="auto"/>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2015</w:t>
            </w:r>
          </w:p>
        </w:tc>
        <w:tc>
          <w:tcPr>
            <w:tcW w:w="1836" w:type="pct"/>
            <w:tcBorders>
              <w:top w:val="single" w:sz="4" w:space="0" w:color="auto"/>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 xml:space="preserve">73,60 </w:t>
            </w:r>
          </w:p>
        </w:tc>
      </w:tr>
      <w:tr w:rsidR="009E448A" w:rsidRPr="009E448A" w:rsidTr="009E448A">
        <w:trPr>
          <w:trHeight w:val="300"/>
        </w:trPr>
        <w:tc>
          <w:tcPr>
            <w:tcW w:w="2284" w:type="pct"/>
            <w:tcBorders>
              <w:top w:val="nil"/>
              <w:left w:val="single" w:sz="4" w:space="0" w:color="auto"/>
              <w:bottom w:val="nil"/>
              <w:right w:val="single" w:sz="4" w:space="0" w:color="auto"/>
            </w:tcBorders>
            <w:shd w:val="clear" w:color="auto" w:fill="auto"/>
            <w:noWrap/>
            <w:vAlign w:val="bottom"/>
            <w:hideMark/>
          </w:tcPr>
          <w:p w:rsidR="009E448A" w:rsidRPr="009E448A" w:rsidRDefault="009E448A" w:rsidP="009E448A">
            <w:pP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Otras pérdidas en gestión corriente</w:t>
            </w:r>
          </w:p>
        </w:tc>
        <w:tc>
          <w:tcPr>
            <w:tcW w:w="880" w:type="pct"/>
            <w:tcBorders>
              <w:top w:val="nil"/>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2016</w:t>
            </w:r>
          </w:p>
        </w:tc>
        <w:tc>
          <w:tcPr>
            <w:tcW w:w="1836" w:type="pct"/>
            <w:tcBorders>
              <w:top w:val="nil"/>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 xml:space="preserve">(1.906,99) </w:t>
            </w:r>
          </w:p>
        </w:tc>
      </w:tr>
      <w:tr w:rsidR="009E448A" w:rsidRPr="009E448A" w:rsidTr="009E448A">
        <w:trPr>
          <w:trHeight w:val="300"/>
        </w:trPr>
        <w:tc>
          <w:tcPr>
            <w:tcW w:w="2284" w:type="pct"/>
            <w:tcBorders>
              <w:top w:val="nil"/>
              <w:left w:val="single" w:sz="4" w:space="0" w:color="auto"/>
              <w:bottom w:val="nil"/>
              <w:right w:val="single" w:sz="4" w:space="0" w:color="auto"/>
            </w:tcBorders>
            <w:shd w:val="clear" w:color="auto" w:fill="auto"/>
            <w:noWrap/>
            <w:vAlign w:val="bottom"/>
            <w:hideMark/>
          </w:tcPr>
          <w:p w:rsidR="009E448A" w:rsidRPr="009E448A" w:rsidRDefault="009E448A" w:rsidP="009E448A">
            <w:pP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Otros ingresos de explotación</w:t>
            </w:r>
          </w:p>
        </w:tc>
        <w:tc>
          <w:tcPr>
            <w:tcW w:w="880" w:type="pct"/>
            <w:tcBorders>
              <w:top w:val="nil"/>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2016</w:t>
            </w:r>
          </w:p>
        </w:tc>
        <w:tc>
          <w:tcPr>
            <w:tcW w:w="1836" w:type="pct"/>
            <w:tcBorders>
              <w:top w:val="nil"/>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 xml:space="preserve">59,30 </w:t>
            </w:r>
          </w:p>
        </w:tc>
      </w:tr>
      <w:tr w:rsidR="009E448A" w:rsidRPr="009E448A" w:rsidTr="009E448A">
        <w:trPr>
          <w:trHeight w:val="300"/>
        </w:trPr>
        <w:tc>
          <w:tcPr>
            <w:tcW w:w="2284" w:type="pct"/>
            <w:tcBorders>
              <w:top w:val="nil"/>
              <w:left w:val="single" w:sz="4" w:space="0" w:color="auto"/>
              <w:bottom w:val="nil"/>
              <w:right w:val="single" w:sz="4" w:space="0" w:color="auto"/>
            </w:tcBorders>
            <w:shd w:val="clear" w:color="auto" w:fill="auto"/>
            <w:noWrap/>
            <w:vAlign w:val="bottom"/>
            <w:hideMark/>
          </w:tcPr>
          <w:p w:rsidR="009E448A" w:rsidRPr="009E448A" w:rsidRDefault="009E448A" w:rsidP="009E448A">
            <w:pP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Otras pérdidas en gestión corriente</w:t>
            </w:r>
          </w:p>
        </w:tc>
        <w:tc>
          <w:tcPr>
            <w:tcW w:w="880" w:type="pct"/>
            <w:tcBorders>
              <w:top w:val="nil"/>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2017</w:t>
            </w:r>
          </w:p>
        </w:tc>
        <w:tc>
          <w:tcPr>
            <w:tcW w:w="1836" w:type="pct"/>
            <w:tcBorders>
              <w:top w:val="nil"/>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 xml:space="preserve">(22.907,73) </w:t>
            </w:r>
          </w:p>
        </w:tc>
      </w:tr>
      <w:tr w:rsidR="009E448A" w:rsidRPr="009E448A" w:rsidTr="009E448A">
        <w:trPr>
          <w:trHeight w:val="300"/>
        </w:trPr>
        <w:tc>
          <w:tcPr>
            <w:tcW w:w="2284" w:type="pct"/>
            <w:tcBorders>
              <w:top w:val="nil"/>
              <w:left w:val="single" w:sz="4" w:space="0" w:color="auto"/>
              <w:bottom w:val="nil"/>
              <w:right w:val="single" w:sz="4" w:space="0" w:color="auto"/>
            </w:tcBorders>
            <w:shd w:val="clear" w:color="auto" w:fill="auto"/>
            <w:noWrap/>
            <w:vAlign w:val="bottom"/>
            <w:hideMark/>
          </w:tcPr>
          <w:p w:rsidR="009E448A" w:rsidRPr="009E448A" w:rsidRDefault="009E448A" w:rsidP="009E448A">
            <w:pP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Otros ingresos de explotación</w:t>
            </w:r>
          </w:p>
        </w:tc>
        <w:tc>
          <w:tcPr>
            <w:tcW w:w="880" w:type="pct"/>
            <w:tcBorders>
              <w:top w:val="nil"/>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2017</w:t>
            </w:r>
          </w:p>
        </w:tc>
        <w:tc>
          <w:tcPr>
            <w:tcW w:w="1836" w:type="pct"/>
            <w:tcBorders>
              <w:top w:val="nil"/>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 xml:space="preserve">8.343,95 </w:t>
            </w:r>
          </w:p>
        </w:tc>
      </w:tr>
      <w:tr w:rsidR="009E448A" w:rsidRPr="009E448A" w:rsidTr="009E448A">
        <w:trPr>
          <w:trHeight w:val="300"/>
        </w:trPr>
        <w:tc>
          <w:tcPr>
            <w:tcW w:w="2284" w:type="pct"/>
            <w:tcBorders>
              <w:top w:val="nil"/>
              <w:left w:val="single" w:sz="4" w:space="0" w:color="auto"/>
              <w:bottom w:val="nil"/>
              <w:right w:val="single" w:sz="4" w:space="0" w:color="auto"/>
            </w:tcBorders>
            <w:shd w:val="clear" w:color="auto" w:fill="auto"/>
            <w:noWrap/>
            <w:vAlign w:val="bottom"/>
            <w:hideMark/>
          </w:tcPr>
          <w:p w:rsidR="009E448A" w:rsidRPr="009E448A" w:rsidRDefault="009E448A" w:rsidP="009E448A">
            <w:pP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Otras pérdidas en gestión corriente</w:t>
            </w:r>
          </w:p>
        </w:tc>
        <w:tc>
          <w:tcPr>
            <w:tcW w:w="880" w:type="pct"/>
            <w:tcBorders>
              <w:top w:val="nil"/>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2018</w:t>
            </w:r>
          </w:p>
        </w:tc>
        <w:tc>
          <w:tcPr>
            <w:tcW w:w="1836" w:type="pct"/>
            <w:tcBorders>
              <w:top w:val="nil"/>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 xml:space="preserve">(1.592,40) </w:t>
            </w:r>
          </w:p>
        </w:tc>
      </w:tr>
      <w:tr w:rsidR="009E448A" w:rsidRPr="009E448A" w:rsidTr="009E448A">
        <w:trPr>
          <w:trHeight w:val="300"/>
        </w:trPr>
        <w:tc>
          <w:tcPr>
            <w:tcW w:w="2284" w:type="pct"/>
            <w:tcBorders>
              <w:top w:val="nil"/>
              <w:left w:val="single" w:sz="4" w:space="0" w:color="auto"/>
              <w:bottom w:val="nil"/>
              <w:right w:val="single" w:sz="4" w:space="0" w:color="auto"/>
            </w:tcBorders>
            <w:shd w:val="clear" w:color="auto" w:fill="auto"/>
            <w:noWrap/>
            <w:vAlign w:val="bottom"/>
            <w:hideMark/>
          </w:tcPr>
          <w:p w:rsidR="009E448A" w:rsidRPr="009E448A" w:rsidRDefault="009E448A" w:rsidP="009E448A">
            <w:pP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Otros ingresos de explotación</w:t>
            </w:r>
          </w:p>
        </w:tc>
        <w:tc>
          <w:tcPr>
            <w:tcW w:w="880" w:type="pct"/>
            <w:tcBorders>
              <w:top w:val="nil"/>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2018</w:t>
            </w:r>
          </w:p>
        </w:tc>
        <w:tc>
          <w:tcPr>
            <w:tcW w:w="1836" w:type="pct"/>
            <w:tcBorders>
              <w:top w:val="nil"/>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 xml:space="preserve">4.862,06 </w:t>
            </w:r>
          </w:p>
        </w:tc>
      </w:tr>
      <w:tr w:rsidR="009E448A" w:rsidRPr="009E448A" w:rsidTr="009E448A">
        <w:trPr>
          <w:trHeight w:val="300"/>
        </w:trPr>
        <w:tc>
          <w:tcPr>
            <w:tcW w:w="2284" w:type="pct"/>
            <w:tcBorders>
              <w:top w:val="nil"/>
              <w:left w:val="single" w:sz="4" w:space="0" w:color="auto"/>
              <w:bottom w:val="nil"/>
              <w:right w:val="single" w:sz="4" w:space="0" w:color="auto"/>
            </w:tcBorders>
            <w:shd w:val="clear" w:color="auto" w:fill="auto"/>
            <w:noWrap/>
            <w:vAlign w:val="bottom"/>
            <w:hideMark/>
          </w:tcPr>
          <w:p w:rsidR="009E448A" w:rsidRPr="009E448A" w:rsidRDefault="009E448A" w:rsidP="009E448A">
            <w:pP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Otras pérdidas en gestión corriente</w:t>
            </w:r>
          </w:p>
        </w:tc>
        <w:tc>
          <w:tcPr>
            <w:tcW w:w="880" w:type="pct"/>
            <w:tcBorders>
              <w:top w:val="nil"/>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2019</w:t>
            </w:r>
          </w:p>
        </w:tc>
        <w:tc>
          <w:tcPr>
            <w:tcW w:w="1836" w:type="pct"/>
            <w:tcBorders>
              <w:top w:val="nil"/>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 xml:space="preserve">(90,15) </w:t>
            </w:r>
          </w:p>
        </w:tc>
      </w:tr>
      <w:tr w:rsidR="009E448A" w:rsidRPr="009E448A" w:rsidTr="009E448A">
        <w:trPr>
          <w:trHeight w:val="300"/>
        </w:trPr>
        <w:tc>
          <w:tcPr>
            <w:tcW w:w="2284" w:type="pct"/>
            <w:tcBorders>
              <w:top w:val="nil"/>
              <w:left w:val="single" w:sz="4" w:space="0" w:color="auto"/>
              <w:bottom w:val="nil"/>
              <w:right w:val="single" w:sz="4" w:space="0" w:color="auto"/>
            </w:tcBorders>
            <w:shd w:val="clear" w:color="auto" w:fill="auto"/>
            <w:noWrap/>
            <w:vAlign w:val="bottom"/>
            <w:hideMark/>
          </w:tcPr>
          <w:p w:rsidR="009E448A" w:rsidRPr="009E448A" w:rsidRDefault="009E448A" w:rsidP="009E448A">
            <w:pP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Otros ingresos de explotación</w:t>
            </w:r>
          </w:p>
        </w:tc>
        <w:tc>
          <w:tcPr>
            <w:tcW w:w="880" w:type="pct"/>
            <w:tcBorders>
              <w:top w:val="nil"/>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2019</w:t>
            </w:r>
          </w:p>
        </w:tc>
        <w:tc>
          <w:tcPr>
            <w:tcW w:w="1836" w:type="pct"/>
            <w:tcBorders>
              <w:top w:val="nil"/>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 xml:space="preserve">10.877,82 </w:t>
            </w:r>
          </w:p>
        </w:tc>
      </w:tr>
      <w:tr w:rsidR="009E448A" w:rsidRPr="009E448A" w:rsidTr="009E448A">
        <w:trPr>
          <w:trHeight w:val="300"/>
        </w:trPr>
        <w:tc>
          <w:tcPr>
            <w:tcW w:w="2284" w:type="pct"/>
            <w:tcBorders>
              <w:top w:val="nil"/>
              <w:left w:val="single" w:sz="4" w:space="0" w:color="auto"/>
              <w:bottom w:val="nil"/>
              <w:right w:val="single" w:sz="4" w:space="0" w:color="auto"/>
            </w:tcBorders>
            <w:shd w:val="clear" w:color="auto" w:fill="auto"/>
            <w:noWrap/>
            <w:vAlign w:val="bottom"/>
            <w:hideMark/>
          </w:tcPr>
          <w:p w:rsidR="009E448A" w:rsidRPr="009E448A" w:rsidRDefault="009E448A" w:rsidP="009E448A">
            <w:pP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Otras pérdidas en gestión corriente</w:t>
            </w:r>
          </w:p>
        </w:tc>
        <w:tc>
          <w:tcPr>
            <w:tcW w:w="880" w:type="pct"/>
            <w:tcBorders>
              <w:top w:val="nil"/>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2020</w:t>
            </w:r>
          </w:p>
        </w:tc>
        <w:tc>
          <w:tcPr>
            <w:tcW w:w="1836" w:type="pct"/>
            <w:tcBorders>
              <w:top w:val="nil"/>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 xml:space="preserve">(810,48) </w:t>
            </w:r>
          </w:p>
        </w:tc>
      </w:tr>
      <w:tr w:rsidR="009E448A" w:rsidRPr="009E448A" w:rsidTr="009E448A">
        <w:trPr>
          <w:trHeight w:val="300"/>
        </w:trPr>
        <w:tc>
          <w:tcPr>
            <w:tcW w:w="2284" w:type="pct"/>
            <w:tcBorders>
              <w:top w:val="nil"/>
              <w:left w:val="single" w:sz="4" w:space="0" w:color="auto"/>
              <w:bottom w:val="nil"/>
              <w:right w:val="single" w:sz="4" w:space="0" w:color="auto"/>
            </w:tcBorders>
            <w:shd w:val="clear" w:color="auto" w:fill="auto"/>
            <w:noWrap/>
            <w:vAlign w:val="bottom"/>
            <w:hideMark/>
          </w:tcPr>
          <w:p w:rsidR="009E448A" w:rsidRPr="009E448A" w:rsidRDefault="009E448A" w:rsidP="009E448A">
            <w:pP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Otros ingresos de explotación</w:t>
            </w:r>
          </w:p>
        </w:tc>
        <w:tc>
          <w:tcPr>
            <w:tcW w:w="880" w:type="pct"/>
            <w:tcBorders>
              <w:top w:val="nil"/>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2020</w:t>
            </w:r>
          </w:p>
        </w:tc>
        <w:tc>
          <w:tcPr>
            <w:tcW w:w="1836" w:type="pct"/>
            <w:tcBorders>
              <w:top w:val="nil"/>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 xml:space="preserve">191,23 </w:t>
            </w:r>
          </w:p>
        </w:tc>
      </w:tr>
      <w:tr w:rsidR="009E448A" w:rsidRPr="009E448A" w:rsidTr="009E448A">
        <w:trPr>
          <w:trHeight w:val="300"/>
        </w:trPr>
        <w:tc>
          <w:tcPr>
            <w:tcW w:w="2284" w:type="pct"/>
            <w:tcBorders>
              <w:top w:val="nil"/>
              <w:left w:val="single" w:sz="4" w:space="0" w:color="auto"/>
              <w:bottom w:val="nil"/>
              <w:right w:val="single" w:sz="4" w:space="0" w:color="auto"/>
            </w:tcBorders>
            <w:shd w:val="clear" w:color="auto" w:fill="auto"/>
            <w:noWrap/>
            <w:vAlign w:val="bottom"/>
            <w:hideMark/>
          </w:tcPr>
          <w:p w:rsidR="009E448A" w:rsidRPr="009E448A" w:rsidRDefault="009E448A" w:rsidP="009E448A">
            <w:pP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Otras pérdidas en gestión corriente</w:t>
            </w:r>
          </w:p>
        </w:tc>
        <w:tc>
          <w:tcPr>
            <w:tcW w:w="880" w:type="pct"/>
            <w:tcBorders>
              <w:top w:val="nil"/>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2021</w:t>
            </w:r>
          </w:p>
        </w:tc>
        <w:tc>
          <w:tcPr>
            <w:tcW w:w="1836" w:type="pct"/>
            <w:tcBorders>
              <w:top w:val="nil"/>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 xml:space="preserve">(83.947,42) </w:t>
            </w:r>
          </w:p>
        </w:tc>
      </w:tr>
      <w:tr w:rsidR="009E448A" w:rsidRPr="009E448A" w:rsidTr="009E448A">
        <w:trPr>
          <w:trHeight w:val="300"/>
        </w:trPr>
        <w:tc>
          <w:tcPr>
            <w:tcW w:w="2284" w:type="pct"/>
            <w:tcBorders>
              <w:top w:val="nil"/>
              <w:left w:val="single" w:sz="4" w:space="0" w:color="auto"/>
              <w:bottom w:val="nil"/>
              <w:right w:val="single" w:sz="4" w:space="0" w:color="auto"/>
            </w:tcBorders>
            <w:shd w:val="clear" w:color="auto" w:fill="auto"/>
            <w:noWrap/>
            <w:vAlign w:val="bottom"/>
            <w:hideMark/>
          </w:tcPr>
          <w:p w:rsidR="009E448A" w:rsidRPr="009E448A" w:rsidRDefault="009E448A" w:rsidP="009E448A">
            <w:pP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Otros ingresos de explotación</w:t>
            </w:r>
          </w:p>
        </w:tc>
        <w:tc>
          <w:tcPr>
            <w:tcW w:w="880" w:type="pct"/>
            <w:tcBorders>
              <w:top w:val="nil"/>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2021</w:t>
            </w:r>
          </w:p>
        </w:tc>
        <w:tc>
          <w:tcPr>
            <w:tcW w:w="1836" w:type="pct"/>
            <w:tcBorders>
              <w:top w:val="nil"/>
              <w:left w:val="nil"/>
              <w:bottom w:val="nil"/>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 xml:space="preserve">3,37 </w:t>
            </w:r>
          </w:p>
        </w:tc>
      </w:tr>
      <w:tr w:rsidR="009E448A" w:rsidRPr="009E448A" w:rsidTr="009E448A">
        <w:trPr>
          <w:trHeight w:val="300"/>
        </w:trPr>
        <w:tc>
          <w:tcPr>
            <w:tcW w:w="2284" w:type="pct"/>
            <w:tcBorders>
              <w:top w:val="nil"/>
              <w:left w:val="single" w:sz="4" w:space="0" w:color="auto"/>
              <w:bottom w:val="single" w:sz="4" w:space="0" w:color="auto"/>
              <w:right w:val="single" w:sz="4" w:space="0" w:color="auto"/>
            </w:tcBorders>
            <w:shd w:val="clear" w:color="auto" w:fill="auto"/>
            <w:noWrap/>
            <w:vAlign w:val="bottom"/>
            <w:hideMark/>
          </w:tcPr>
          <w:p w:rsidR="009E448A" w:rsidRPr="009E448A" w:rsidRDefault="009E448A" w:rsidP="009E448A">
            <w:pP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Otros ingresos de explotación</w:t>
            </w:r>
          </w:p>
        </w:tc>
        <w:tc>
          <w:tcPr>
            <w:tcW w:w="880" w:type="pct"/>
            <w:tcBorders>
              <w:top w:val="nil"/>
              <w:left w:val="nil"/>
              <w:bottom w:val="single" w:sz="4" w:space="0" w:color="auto"/>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2022</w:t>
            </w:r>
          </w:p>
        </w:tc>
        <w:tc>
          <w:tcPr>
            <w:tcW w:w="1836" w:type="pct"/>
            <w:tcBorders>
              <w:top w:val="nil"/>
              <w:left w:val="nil"/>
              <w:bottom w:val="single" w:sz="4" w:space="0" w:color="auto"/>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 xml:space="preserve">3.812,07  </w:t>
            </w:r>
          </w:p>
        </w:tc>
      </w:tr>
      <w:tr w:rsidR="009E448A" w:rsidRPr="009E448A" w:rsidTr="009E448A">
        <w:trPr>
          <w:trHeight w:val="300"/>
        </w:trPr>
        <w:tc>
          <w:tcPr>
            <w:tcW w:w="2284" w:type="pct"/>
            <w:tcBorders>
              <w:top w:val="nil"/>
              <w:left w:val="single" w:sz="4" w:space="0" w:color="auto"/>
              <w:bottom w:val="single" w:sz="4" w:space="0" w:color="auto"/>
              <w:right w:val="single" w:sz="4" w:space="0" w:color="auto"/>
            </w:tcBorders>
            <w:shd w:val="clear" w:color="auto" w:fill="auto"/>
            <w:noWrap/>
            <w:vAlign w:val="bottom"/>
            <w:hideMark/>
          </w:tcPr>
          <w:p w:rsidR="009E448A" w:rsidRPr="009E448A" w:rsidRDefault="009E448A" w:rsidP="009E448A">
            <w:pPr>
              <w:jc w:val="right"/>
              <w:rPr>
                <w:rFonts w:ascii="Lucida Bright" w:hAnsi="Lucida Bright" w:cs="Calibri"/>
                <w:b/>
                <w:bCs/>
                <w:color w:val="000000"/>
                <w:sz w:val="14"/>
                <w:szCs w:val="14"/>
                <w:lang w:val="es-ES"/>
              </w:rPr>
            </w:pPr>
            <w:r w:rsidRPr="009E448A">
              <w:rPr>
                <w:rFonts w:ascii="Lucida Bright" w:hAnsi="Lucida Bright" w:cs="Calibri"/>
                <w:b/>
                <w:bCs/>
                <w:color w:val="000000"/>
                <w:sz w:val="14"/>
                <w:szCs w:val="14"/>
                <w:lang w:val="es-ES"/>
              </w:rPr>
              <w:t>Total</w:t>
            </w:r>
          </w:p>
        </w:tc>
        <w:tc>
          <w:tcPr>
            <w:tcW w:w="880" w:type="pct"/>
            <w:tcBorders>
              <w:top w:val="nil"/>
              <w:left w:val="nil"/>
              <w:bottom w:val="single" w:sz="4" w:space="0" w:color="auto"/>
              <w:right w:val="nil"/>
            </w:tcBorders>
            <w:shd w:val="clear" w:color="auto" w:fill="auto"/>
            <w:noWrap/>
            <w:vAlign w:val="bottom"/>
            <w:hideMark/>
          </w:tcPr>
          <w:p w:rsidR="009E448A" w:rsidRPr="009E448A" w:rsidRDefault="009E448A" w:rsidP="009E448A">
            <w:pPr>
              <w:rPr>
                <w:rFonts w:ascii="Lucida Bright" w:hAnsi="Lucida Bright" w:cs="Calibri"/>
                <w:color w:val="000000"/>
                <w:sz w:val="14"/>
                <w:szCs w:val="14"/>
                <w:lang w:val="es-ES"/>
              </w:rPr>
            </w:pPr>
            <w:r w:rsidRPr="009E448A">
              <w:rPr>
                <w:rFonts w:ascii="Lucida Bright" w:hAnsi="Lucida Bright" w:cs="Calibri"/>
                <w:color w:val="000000"/>
                <w:sz w:val="14"/>
                <w:szCs w:val="14"/>
                <w:lang w:val="es-ES"/>
              </w:rPr>
              <w:t> </w:t>
            </w:r>
          </w:p>
        </w:tc>
        <w:tc>
          <w:tcPr>
            <w:tcW w:w="1836" w:type="pct"/>
            <w:tcBorders>
              <w:top w:val="nil"/>
              <w:left w:val="single" w:sz="4" w:space="0" w:color="auto"/>
              <w:bottom w:val="single" w:sz="4" w:space="0" w:color="auto"/>
              <w:right w:val="single" w:sz="4" w:space="0" w:color="auto"/>
            </w:tcBorders>
            <w:shd w:val="clear" w:color="auto" w:fill="auto"/>
            <w:noWrap/>
            <w:vAlign w:val="bottom"/>
            <w:hideMark/>
          </w:tcPr>
          <w:p w:rsidR="009E448A" w:rsidRPr="009E448A" w:rsidRDefault="009E448A" w:rsidP="009E448A">
            <w:pPr>
              <w:jc w:val="center"/>
              <w:rPr>
                <w:rFonts w:ascii="Lucida Bright" w:hAnsi="Lucida Bright" w:cs="Calibri"/>
                <w:b/>
                <w:bCs/>
                <w:color w:val="000000"/>
                <w:sz w:val="14"/>
                <w:szCs w:val="14"/>
                <w:lang w:val="es-ES"/>
              </w:rPr>
            </w:pPr>
            <w:r w:rsidRPr="009E448A">
              <w:rPr>
                <w:rFonts w:ascii="Lucida Bright" w:hAnsi="Lucida Bright" w:cs="Calibri"/>
                <w:b/>
                <w:bCs/>
                <w:color w:val="000000"/>
                <w:sz w:val="14"/>
                <w:szCs w:val="14"/>
                <w:lang w:val="es-ES"/>
              </w:rPr>
              <w:t xml:space="preserve">(81.228,02) </w:t>
            </w:r>
          </w:p>
        </w:tc>
      </w:tr>
    </w:tbl>
    <w:p w:rsidR="009E448A" w:rsidRDefault="009E448A" w:rsidP="00F333F2">
      <w:pPr>
        <w:pStyle w:val="Prrafodelista"/>
        <w:spacing w:before="100" w:after="100"/>
        <w:ind w:left="646"/>
        <w:jc w:val="both"/>
        <w:rPr>
          <w:rFonts w:ascii="NewBaskerville" w:hAnsi="NewBaskerville"/>
        </w:rPr>
      </w:pPr>
    </w:p>
    <w:p w:rsidR="0030255B" w:rsidRDefault="005B1077" w:rsidP="00F333F2">
      <w:pPr>
        <w:pStyle w:val="Prrafodelista"/>
        <w:spacing w:before="100" w:after="100"/>
        <w:ind w:left="646"/>
        <w:jc w:val="both"/>
        <w:rPr>
          <w:rFonts w:ascii="NewBaskerville" w:hAnsi="NewBaskerville"/>
        </w:rPr>
      </w:pPr>
      <w:r>
        <w:rPr>
          <w:rFonts w:ascii="NewBaskerville" w:hAnsi="NewBaskerville"/>
        </w:rPr>
        <w:t xml:space="preserve">g.2.) </w:t>
      </w:r>
      <w:r w:rsidR="009E448A">
        <w:rPr>
          <w:rFonts w:ascii="NewBaskerville" w:hAnsi="NewBaskerville"/>
        </w:rPr>
        <w:t xml:space="preserve">Importe de la corrección para cada una de las partidas </w:t>
      </w:r>
      <w:r w:rsidR="005C2F51">
        <w:rPr>
          <w:rFonts w:ascii="NewBaskerville" w:hAnsi="NewBaskerville"/>
        </w:rPr>
        <w:t>en los documentos que integran estas cuentas anuales a efectos comparativos:</w:t>
      </w:r>
    </w:p>
    <w:tbl>
      <w:tblPr>
        <w:tblW w:w="7748" w:type="dxa"/>
        <w:tblInd w:w="70" w:type="dxa"/>
        <w:tblCellMar>
          <w:left w:w="70" w:type="dxa"/>
          <w:right w:w="70" w:type="dxa"/>
        </w:tblCellMar>
        <w:tblLook w:val="04A0" w:firstRow="1" w:lastRow="0" w:firstColumn="1" w:lastColumn="0" w:noHBand="0" w:noVBand="1"/>
      </w:tblPr>
      <w:tblGrid>
        <w:gridCol w:w="4380"/>
        <w:gridCol w:w="16"/>
        <w:gridCol w:w="1644"/>
        <w:gridCol w:w="32"/>
        <w:gridCol w:w="1628"/>
        <w:gridCol w:w="48"/>
      </w:tblGrid>
      <w:tr w:rsidR="005B1077" w:rsidRPr="005B1077" w:rsidTr="005B1077">
        <w:trPr>
          <w:trHeight w:val="300"/>
        </w:trPr>
        <w:tc>
          <w:tcPr>
            <w:tcW w:w="4396" w:type="dxa"/>
            <w:gridSpan w:val="2"/>
            <w:tcBorders>
              <w:top w:val="nil"/>
              <w:left w:val="nil"/>
              <w:bottom w:val="nil"/>
              <w:right w:val="nil"/>
            </w:tcBorders>
            <w:shd w:val="clear" w:color="000000" w:fill="FFFFFF"/>
            <w:noWrap/>
            <w:vAlign w:val="bottom"/>
            <w:hideMark/>
          </w:tcPr>
          <w:p w:rsidR="005B1077" w:rsidRPr="005B1077" w:rsidRDefault="005B1077" w:rsidP="005B1077">
            <w:pPr>
              <w:rPr>
                <w:rFonts w:ascii="Lucida Bright" w:hAnsi="Lucida Bright" w:cs="Calibri"/>
                <w:b/>
                <w:bCs/>
                <w:sz w:val="18"/>
                <w:szCs w:val="18"/>
                <w:lang w:val="es-ES"/>
              </w:rPr>
            </w:pPr>
            <w:r w:rsidRPr="005B1077">
              <w:rPr>
                <w:rFonts w:ascii="Lucida Bright" w:hAnsi="Lucida Bright" w:cs="Calibri"/>
                <w:b/>
                <w:bCs/>
                <w:sz w:val="18"/>
                <w:szCs w:val="18"/>
                <w:lang w:val="es-ES"/>
              </w:rPr>
              <w:t xml:space="preserve">Balance al cierre del ejercicio 2023 </w:t>
            </w:r>
          </w:p>
        </w:tc>
        <w:tc>
          <w:tcPr>
            <w:tcW w:w="1676" w:type="dxa"/>
            <w:gridSpan w:val="2"/>
            <w:tcBorders>
              <w:top w:val="nil"/>
              <w:left w:val="nil"/>
              <w:bottom w:val="nil"/>
              <w:right w:val="nil"/>
            </w:tcBorders>
            <w:shd w:val="clear" w:color="000000" w:fill="FFFFFF"/>
            <w:noWrap/>
            <w:vAlign w:val="bottom"/>
            <w:hideMark/>
          </w:tcPr>
          <w:p w:rsidR="005B1077" w:rsidRPr="005B1077" w:rsidRDefault="005B1077" w:rsidP="005B1077">
            <w:pPr>
              <w:rPr>
                <w:rFonts w:ascii="Lucida Bright" w:hAnsi="Lucida Bright" w:cs="Calibri"/>
                <w:b/>
                <w:bCs/>
                <w:sz w:val="14"/>
                <w:szCs w:val="14"/>
                <w:lang w:val="es-ES"/>
              </w:rPr>
            </w:pPr>
            <w:r w:rsidRPr="005B1077">
              <w:rPr>
                <w:rFonts w:ascii="Lucida Bright" w:hAnsi="Lucida Bright" w:cs="Calibri"/>
                <w:b/>
                <w:bCs/>
                <w:sz w:val="14"/>
                <w:szCs w:val="14"/>
                <w:lang w:val="es-ES"/>
              </w:rPr>
              <w:t> </w:t>
            </w:r>
          </w:p>
        </w:tc>
        <w:tc>
          <w:tcPr>
            <w:tcW w:w="1676" w:type="dxa"/>
            <w:gridSpan w:val="2"/>
            <w:tcBorders>
              <w:top w:val="nil"/>
              <w:left w:val="nil"/>
              <w:bottom w:val="nil"/>
              <w:right w:val="nil"/>
            </w:tcBorders>
            <w:shd w:val="clear" w:color="000000" w:fill="FFFFFF"/>
            <w:noWrap/>
            <w:vAlign w:val="center"/>
            <w:hideMark/>
          </w:tcPr>
          <w:p w:rsidR="005B1077" w:rsidRPr="005B1077" w:rsidRDefault="005B1077" w:rsidP="005B1077">
            <w:pPr>
              <w:rPr>
                <w:rFonts w:ascii="Lucida Bright" w:hAnsi="Lucida Bright" w:cs="Calibri"/>
                <w:sz w:val="14"/>
                <w:szCs w:val="14"/>
                <w:lang w:val="es-ES"/>
              </w:rPr>
            </w:pPr>
            <w:r w:rsidRPr="005B1077">
              <w:rPr>
                <w:rFonts w:ascii="Lucida Bright" w:hAnsi="Lucida Bright" w:cs="Calibri"/>
                <w:sz w:val="14"/>
                <w:szCs w:val="14"/>
                <w:lang w:val="es-ES"/>
              </w:rPr>
              <w:t>(en euros)</w:t>
            </w:r>
          </w:p>
        </w:tc>
      </w:tr>
      <w:tr w:rsidR="005B1077" w:rsidRPr="005B1077" w:rsidTr="005B1077">
        <w:trPr>
          <w:trHeight w:val="300"/>
        </w:trPr>
        <w:tc>
          <w:tcPr>
            <w:tcW w:w="4396"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5B1077" w:rsidRPr="005B1077" w:rsidRDefault="005B1077" w:rsidP="005B1077">
            <w:pPr>
              <w:jc w:val="center"/>
              <w:rPr>
                <w:rFonts w:ascii="Lucida Bright" w:hAnsi="Lucida Bright" w:cs="Calibri"/>
                <w:b/>
                <w:bCs/>
                <w:sz w:val="18"/>
                <w:szCs w:val="18"/>
                <w:lang w:val="es-ES"/>
              </w:rPr>
            </w:pPr>
            <w:r w:rsidRPr="005B1077">
              <w:rPr>
                <w:rFonts w:ascii="Lucida Bright" w:hAnsi="Lucida Bright" w:cs="Calibri"/>
                <w:b/>
                <w:bCs/>
                <w:sz w:val="18"/>
                <w:szCs w:val="18"/>
                <w:lang w:val="es-ES"/>
              </w:rPr>
              <w:t>PATRIMONIO NETO Y PASIVO</w:t>
            </w:r>
          </w:p>
        </w:tc>
        <w:tc>
          <w:tcPr>
            <w:tcW w:w="1676" w:type="dxa"/>
            <w:gridSpan w:val="2"/>
            <w:tcBorders>
              <w:top w:val="single" w:sz="4" w:space="0" w:color="auto"/>
              <w:left w:val="nil"/>
              <w:bottom w:val="single" w:sz="4" w:space="0" w:color="auto"/>
              <w:right w:val="single" w:sz="4" w:space="0" w:color="auto"/>
            </w:tcBorders>
            <w:shd w:val="clear" w:color="000000" w:fill="CCFFCC"/>
            <w:vAlign w:val="center"/>
            <w:hideMark/>
          </w:tcPr>
          <w:p w:rsidR="005B1077" w:rsidRPr="005B1077" w:rsidRDefault="005B1077" w:rsidP="005B1077">
            <w:pPr>
              <w:jc w:val="center"/>
              <w:rPr>
                <w:rFonts w:ascii="Lucida Bright" w:hAnsi="Lucida Bright" w:cs="Calibri"/>
                <w:b/>
                <w:bCs/>
                <w:sz w:val="16"/>
                <w:szCs w:val="16"/>
                <w:lang w:val="es-ES"/>
              </w:rPr>
            </w:pPr>
            <w:r w:rsidRPr="005B1077">
              <w:rPr>
                <w:rFonts w:ascii="Lucida Bright" w:hAnsi="Lucida Bright" w:cs="Calibri"/>
                <w:b/>
                <w:bCs/>
                <w:sz w:val="16"/>
                <w:szCs w:val="16"/>
                <w:lang w:val="es-ES"/>
              </w:rPr>
              <w:t>2023</w:t>
            </w:r>
          </w:p>
        </w:tc>
        <w:tc>
          <w:tcPr>
            <w:tcW w:w="1676" w:type="dxa"/>
            <w:gridSpan w:val="2"/>
            <w:tcBorders>
              <w:top w:val="single" w:sz="4" w:space="0" w:color="auto"/>
              <w:left w:val="nil"/>
              <w:bottom w:val="single" w:sz="4" w:space="0" w:color="auto"/>
              <w:right w:val="single" w:sz="4" w:space="0" w:color="auto"/>
            </w:tcBorders>
            <w:shd w:val="clear" w:color="000000" w:fill="CCFFCC"/>
            <w:vAlign w:val="center"/>
            <w:hideMark/>
          </w:tcPr>
          <w:p w:rsidR="005B1077" w:rsidRPr="005B1077" w:rsidRDefault="005B1077" w:rsidP="005B1077">
            <w:pPr>
              <w:jc w:val="center"/>
              <w:rPr>
                <w:rFonts w:ascii="Lucida Bright" w:hAnsi="Lucida Bright" w:cs="Calibri"/>
                <w:b/>
                <w:bCs/>
                <w:sz w:val="16"/>
                <w:szCs w:val="16"/>
                <w:lang w:val="es-ES"/>
              </w:rPr>
            </w:pPr>
            <w:r w:rsidRPr="005B1077">
              <w:rPr>
                <w:rFonts w:ascii="Lucida Bright" w:hAnsi="Lucida Bright" w:cs="Calibri"/>
                <w:b/>
                <w:bCs/>
                <w:sz w:val="16"/>
                <w:szCs w:val="16"/>
                <w:lang w:val="es-ES"/>
              </w:rPr>
              <w:t>2022</w:t>
            </w:r>
          </w:p>
        </w:tc>
      </w:tr>
      <w:tr w:rsidR="005B1077" w:rsidRPr="005B1077" w:rsidTr="005B1077">
        <w:trPr>
          <w:trHeight w:val="300"/>
        </w:trPr>
        <w:tc>
          <w:tcPr>
            <w:tcW w:w="4396" w:type="dxa"/>
            <w:gridSpan w:val="2"/>
            <w:tcBorders>
              <w:top w:val="nil"/>
              <w:left w:val="single" w:sz="4" w:space="0" w:color="auto"/>
              <w:bottom w:val="nil"/>
              <w:right w:val="single" w:sz="4" w:space="0" w:color="auto"/>
            </w:tcBorders>
            <w:shd w:val="clear" w:color="000000" w:fill="CCFFCC"/>
            <w:noWrap/>
            <w:vAlign w:val="center"/>
            <w:hideMark/>
          </w:tcPr>
          <w:p w:rsidR="005B1077" w:rsidRPr="005B1077" w:rsidRDefault="005B1077" w:rsidP="005B1077">
            <w:pPr>
              <w:ind w:firstLineChars="100" w:firstLine="141"/>
              <w:rPr>
                <w:rFonts w:ascii="Lucida Bright" w:hAnsi="Lucida Bright" w:cs="Calibri"/>
                <w:b/>
                <w:bCs/>
                <w:sz w:val="14"/>
                <w:szCs w:val="14"/>
                <w:lang w:val="es-ES"/>
              </w:rPr>
            </w:pPr>
            <w:r w:rsidRPr="005B1077">
              <w:rPr>
                <w:rFonts w:ascii="Lucida Bright" w:hAnsi="Lucida Bright" w:cs="Calibri"/>
                <w:b/>
                <w:bCs/>
                <w:sz w:val="14"/>
                <w:szCs w:val="14"/>
                <w:lang w:val="es-ES"/>
              </w:rPr>
              <w:t>A) PATRIONIO NETO</w:t>
            </w:r>
          </w:p>
        </w:tc>
        <w:tc>
          <w:tcPr>
            <w:tcW w:w="1676" w:type="dxa"/>
            <w:gridSpan w:val="2"/>
            <w:tcBorders>
              <w:top w:val="nil"/>
              <w:left w:val="nil"/>
              <w:bottom w:val="nil"/>
              <w:right w:val="single" w:sz="4" w:space="0" w:color="auto"/>
            </w:tcBorders>
            <w:shd w:val="clear" w:color="000000" w:fill="CCFFCC"/>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 </w:t>
            </w:r>
          </w:p>
        </w:tc>
        <w:tc>
          <w:tcPr>
            <w:tcW w:w="1676" w:type="dxa"/>
            <w:gridSpan w:val="2"/>
            <w:tcBorders>
              <w:top w:val="nil"/>
              <w:left w:val="nil"/>
              <w:bottom w:val="nil"/>
              <w:right w:val="single" w:sz="4" w:space="0" w:color="auto"/>
            </w:tcBorders>
            <w:shd w:val="clear" w:color="000000" w:fill="CCFFCC"/>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(81.228,02) </w:t>
            </w:r>
          </w:p>
        </w:tc>
      </w:tr>
      <w:tr w:rsidR="005B1077" w:rsidRPr="005B1077" w:rsidTr="005B1077">
        <w:trPr>
          <w:trHeight w:val="300"/>
        </w:trPr>
        <w:tc>
          <w:tcPr>
            <w:tcW w:w="43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1077" w:rsidRPr="005B1077" w:rsidRDefault="005B1077" w:rsidP="005B1077">
            <w:pPr>
              <w:ind w:firstLineChars="100" w:firstLine="141"/>
              <w:rPr>
                <w:rFonts w:ascii="Lucida Bright" w:hAnsi="Lucida Bright" w:cs="Calibri"/>
                <w:b/>
                <w:bCs/>
                <w:sz w:val="14"/>
                <w:szCs w:val="14"/>
                <w:lang w:val="es-ES"/>
              </w:rPr>
            </w:pPr>
            <w:r w:rsidRPr="005B1077">
              <w:rPr>
                <w:rFonts w:ascii="Lucida Bright" w:hAnsi="Lucida Bright" w:cs="Calibri"/>
                <w:b/>
                <w:bCs/>
                <w:sz w:val="14"/>
                <w:szCs w:val="14"/>
                <w:lang w:val="es-ES"/>
              </w:rPr>
              <w:t>A-1) Fondos propios</w:t>
            </w:r>
          </w:p>
        </w:tc>
        <w:tc>
          <w:tcPr>
            <w:tcW w:w="1676" w:type="dxa"/>
            <w:gridSpan w:val="2"/>
            <w:tcBorders>
              <w:top w:val="single" w:sz="4" w:space="0" w:color="auto"/>
              <w:left w:val="nil"/>
              <w:bottom w:val="single" w:sz="4" w:space="0" w:color="auto"/>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 </w:t>
            </w:r>
          </w:p>
        </w:tc>
        <w:tc>
          <w:tcPr>
            <w:tcW w:w="1676" w:type="dxa"/>
            <w:gridSpan w:val="2"/>
            <w:tcBorders>
              <w:top w:val="single" w:sz="4" w:space="0" w:color="auto"/>
              <w:left w:val="nil"/>
              <w:bottom w:val="single" w:sz="4" w:space="0" w:color="auto"/>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(81.228,02) </w:t>
            </w:r>
          </w:p>
        </w:tc>
      </w:tr>
      <w:tr w:rsidR="005B1077" w:rsidRPr="005B1077" w:rsidTr="005B1077">
        <w:trPr>
          <w:trHeight w:val="300"/>
        </w:trPr>
        <w:tc>
          <w:tcPr>
            <w:tcW w:w="4396" w:type="dxa"/>
            <w:gridSpan w:val="2"/>
            <w:tcBorders>
              <w:top w:val="nil"/>
              <w:left w:val="single" w:sz="4" w:space="0" w:color="auto"/>
              <w:bottom w:val="single" w:sz="4" w:space="0" w:color="auto"/>
              <w:right w:val="single" w:sz="4" w:space="0" w:color="auto"/>
            </w:tcBorders>
            <w:shd w:val="clear" w:color="auto" w:fill="auto"/>
            <w:noWrap/>
            <w:vAlign w:val="center"/>
            <w:hideMark/>
          </w:tcPr>
          <w:p w:rsidR="005B1077" w:rsidRPr="005B1077" w:rsidRDefault="005B1077" w:rsidP="005B1077">
            <w:pPr>
              <w:ind w:firstLineChars="100" w:firstLine="141"/>
              <w:rPr>
                <w:rFonts w:ascii="Lucida Bright" w:hAnsi="Lucida Bright" w:cs="Calibri"/>
                <w:b/>
                <w:bCs/>
                <w:sz w:val="14"/>
                <w:szCs w:val="14"/>
                <w:lang w:val="es-ES"/>
              </w:rPr>
            </w:pPr>
            <w:r w:rsidRPr="005B1077">
              <w:rPr>
                <w:rFonts w:ascii="Lucida Bright" w:hAnsi="Lucida Bright" w:cs="Calibri"/>
                <w:b/>
                <w:bCs/>
                <w:sz w:val="14"/>
                <w:szCs w:val="14"/>
                <w:lang w:val="es-ES"/>
              </w:rPr>
              <w:t>II. Resultados acumulados</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 </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(85.040,09) </w:t>
            </w:r>
          </w:p>
        </w:tc>
      </w:tr>
      <w:tr w:rsidR="005B1077" w:rsidRPr="005B1077" w:rsidTr="005B1077">
        <w:trPr>
          <w:trHeight w:val="300"/>
        </w:trPr>
        <w:tc>
          <w:tcPr>
            <w:tcW w:w="4396" w:type="dxa"/>
            <w:gridSpan w:val="2"/>
            <w:tcBorders>
              <w:top w:val="nil"/>
              <w:left w:val="single" w:sz="4" w:space="0" w:color="auto"/>
              <w:bottom w:val="single" w:sz="4" w:space="0" w:color="auto"/>
              <w:right w:val="single" w:sz="4" w:space="0" w:color="auto"/>
            </w:tcBorders>
            <w:shd w:val="clear" w:color="auto" w:fill="auto"/>
            <w:noWrap/>
            <w:vAlign w:val="center"/>
            <w:hideMark/>
          </w:tcPr>
          <w:p w:rsidR="005B1077" w:rsidRPr="005B1077" w:rsidRDefault="005B1077" w:rsidP="005B1077">
            <w:pPr>
              <w:ind w:firstLineChars="100" w:firstLine="141"/>
              <w:rPr>
                <w:rFonts w:ascii="Lucida Bright" w:hAnsi="Lucida Bright" w:cs="Calibri"/>
                <w:b/>
                <w:bCs/>
                <w:sz w:val="14"/>
                <w:szCs w:val="14"/>
                <w:lang w:val="es-ES"/>
              </w:rPr>
            </w:pPr>
            <w:r w:rsidRPr="005B1077">
              <w:rPr>
                <w:rFonts w:ascii="Lucida Bright" w:hAnsi="Lucida Bright" w:cs="Calibri"/>
                <w:b/>
                <w:bCs/>
                <w:sz w:val="14"/>
                <w:szCs w:val="14"/>
                <w:lang w:val="es-ES"/>
              </w:rPr>
              <w:t>III. Resultado del ejercicio</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 </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3.812,07 </w:t>
            </w:r>
          </w:p>
        </w:tc>
      </w:tr>
      <w:tr w:rsidR="005B1077" w:rsidRPr="005B1077" w:rsidTr="005B1077">
        <w:trPr>
          <w:trHeight w:val="300"/>
        </w:trPr>
        <w:tc>
          <w:tcPr>
            <w:tcW w:w="4396" w:type="dxa"/>
            <w:gridSpan w:val="2"/>
            <w:tcBorders>
              <w:top w:val="nil"/>
              <w:left w:val="single" w:sz="4" w:space="0" w:color="auto"/>
              <w:bottom w:val="single" w:sz="4" w:space="0" w:color="auto"/>
              <w:right w:val="nil"/>
            </w:tcBorders>
            <w:shd w:val="clear" w:color="auto" w:fill="auto"/>
            <w:noWrap/>
            <w:vAlign w:val="center"/>
            <w:hideMark/>
          </w:tcPr>
          <w:p w:rsidR="005B1077" w:rsidRPr="005B1077" w:rsidRDefault="005B1077" w:rsidP="005B1077">
            <w:pPr>
              <w:rPr>
                <w:rFonts w:ascii="Lucida Bright" w:hAnsi="Lucida Bright" w:cs="Calibri"/>
                <w:b/>
                <w:bCs/>
                <w:sz w:val="14"/>
                <w:szCs w:val="14"/>
                <w:lang w:val="es-ES"/>
              </w:rPr>
            </w:pPr>
            <w:r w:rsidRPr="005B1077">
              <w:rPr>
                <w:rFonts w:ascii="Lucida Bright" w:hAnsi="Lucida Bright" w:cs="Calibri"/>
                <w:b/>
                <w:bCs/>
                <w:sz w:val="14"/>
                <w:szCs w:val="14"/>
                <w:lang w:val="es-ES"/>
              </w:rPr>
              <w:t> </w:t>
            </w:r>
          </w:p>
        </w:tc>
        <w:tc>
          <w:tcPr>
            <w:tcW w:w="1676" w:type="dxa"/>
            <w:gridSpan w:val="2"/>
            <w:tcBorders>
              <w:top w:val="nil"/>
              <w:left w:val="nil"/>
              <w:bottom w:val="single" w:sz="4" w:space="0" w:color="auto"/>
              <w:right w:val="nil"/>
            </w:tcBorders>
            <w:shd w:val="clear" w:color="auto" w:fill="auto"/>
            <w:noWrap/>
            <w:vAlign w:val="center"/>
            <w:hideMark/>
          </w:tcPr>
          <w:p w:rsidR="005B1077" w:rsidRPr="005B1077" w:rsidRDefault="005B1077" w:rsidP="005B1077">
            <w:pPr>
              <w:rPr>
                <w:rFonts w:ascii="Lucida Bright" w:hAnsi="Lucida Bright" w:cs="Calibri"/>
                <w:b/>
                <w:bCs/>
                <w:sz w:val="14"/>
                <w:szCs w:val="14"/>
                <w:lang w:val="es-ES"/>
              </w:rPr>
            </w:pPr>
            <w:r w:rsidRPr="005B1077">
              <w:rPr>
                <w:rFonts w:ascii="Lucida Bright" w:hAnsi="Lucida Bright" w:cs="Calibri"/>
                <w:b/>
                <w:bCs/>
                <w:sz w:val="14"/>
                <w:szCs w:val="14"/>
                <w:lang w:val="es-ES"/>
              </w:rPr>
              <w:t> </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5B1077" w:rsidRPr="005B1077" w:rsidRDefault="005B1077" w:rsidP="005B1077">
            <w:pPr>
              <w:rPr>
                <w:rFonts w:ascii="Lucida Bright" w:hAnsi="Lucida Bright" w:cs="Calibri"/>
                <w:b/>
                <w:bCs/>
                <w:sz w:val="14"/>
                <w:szCs w:val="14"/>
                <w:lang w:val="es-ES"/>
              </w:rPr>
            </w:pPr>
            <w:r w:rsidRPr="005B1077">
              <w:rPr>
                <w:rFonts w:ascii="Lucida Bright" w:hAnsi="Lucida Bright" w:cs="Calibri"/>
                <w:b/>
                <w:bCs/>
                <w:sz w:val="14"/>
                <w:szCs w:val="14"/>
                <w:lang w:val="es-ES"/>
              </w:rPr>
              <w:t> </w:t>
            </w:r>
          </w:p>
        </w:tc>
      </w:tr>
      <w:tr w:rsidR="005B1077" w:rsidRPr="005B1077" w:rsidTr="005B1077">
        <w:trPr>
          <w:trHeight w:val="300"/>
        </w:trPr>
        <w:tc>
          <w:tcPr>
            <w:tcW w:w="4396" w:type="dxa"/>
            <w:gridSpan w:val="2"/>
            <w:tcBorders>
              <w:top w:val="nil"/>
              <w:left w:val="single" w:sz="4" w:space="0" w:color="auto"/>
              <w:bottom w:val="single" w:sz="4" w:space="0" w:color="auto"/>
              <w:right w:val="single" w:sz="4" w:space="0" w:color="auto"/>
            </w:tcBorders>
            <w:shd w:val="clear" w:color="000000" w:fill="CCFFCC"/>
            <w:noWrap/>
            <w:vAlign w:val="center"/>
            <w:hideMark/>
          </w:tcPr>
          <w:p w:rsidR="005B1077" w:rsidRPr="005B1077" w:rsidRDefault="005B1077" w:rsidP="005B1077">
            <w:pPr>
              <w:ind w:firstLineChars="100" w:firstLine="141"/>
              <w:rPr>
                <w:rFonts w:ascii="Lucida Bright" w:hAnsi="Lucida Bright" w:cs="Calibri"/>
                <w:b/>
                <w:bCs/>
                <w:sz w:val="14"/>
                <w:szCs w:val="14"/>
                <w:lang w:val="es-ES"/>
              </w:rPr>
            </w:pPr>
            <w:r w:rsidRPr="005B1077">
              <w:rPr>
                <w:rFonts w:ascii="Lucida Bright" w:hAnsi="Lucida Bright" w:cs="Calibri"/>
                <w:b/>
                <w:bCs/>
                <w:sz w:val="14"/>
                <w:szCs w:val="14"/>
                <w:lang w:val="es-ES"/>
              </w:rPr>
              <w:t xml:space="preserve"> C) PASIVO CORRIENTE</w:t>
            </w:r>
          </w:p>
        </w:tc>
        <w:tc>
          <w:tcPr>
            <w:tcW w:w="1676" w:type="dxa"/>
            <w:gridSpan w:val="2"/>
            <w:tcBorders>
              <w:top w:val="nil"/>
              <w:left w:val="nil"/>
              <w:bottom w:val="single" w:sz="4" w:space="0" w:color="auto"/>
              <w:right w:val="single" w:sz="4" w:space="0" w:color="auto"/>
            </w:tcBorders>
            <w:shd w:val="clear" w:color="000000" w:fill="CCFFCC"/>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 </w:t>
            </w:r>
          </w:p>
        </w:tc>
        <w:tc>
          <w:tcPr>
            <w:tcW w:w="1676" w:type="dxa"/>
            <w:gridSpan w:val="2"/>
            <w:tcBorders>
              <w:top w:val="nil"/>
              <w:left w:val="nil"/>
              <w:bottom w:val="single" w:sz="4" w:space="0" w:color="auto"/>
              <w:right w:val="single" w:sz="4" w:space="0" w:color="auto"/>
            </w:tcBorders>
            <w:shd w:val="clear" w:color="000000" w:fill="CCFFCC"/>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81.228,02 </w:t>
            </w:r>
          </w:p>
        </w:tc>
      </w:tr>
      <w:tr w:rsidR="005B1077" w:rsidRPr="005B1077" w:rsidTr="005B1077">
        <w:trPr>
          <w:trHeight w:val="300"/>
        </w:trPr>
        <w:tc>
          <w:tcPr>
            <w:tcW w:w="4396" w:type="dxa"/>
            <w:gridSpan w:val="2"/>
            <w:tcBorders>
              <w:top w:val="nil"/>
              <w:left w:val="single" w:sz="4" w:space="0" w:color="auto"/>
              <w:bottom w:val="nil"/>
              <w:right w:val="nil"/>
            </w:tcBorders>
            <w:shd w:val="clear" w:color="auto" w:fill="auto"/>
            <w:noWrap/>
            <w:vAlign w:val="center"/>
            <w:hideMark/>
          </w:tcPr>
          <w:p w:rsidR="005B1077" w:rsidRPr="005B1077" w:rsidRDefault="005B1077" w:rsidP="005B1077">
            <w:pPr>
              <w:ind w:firstLineChars="100" w:firstLine="141"/>
              <w:rPr>
                <w:rFonts w:ascii="Lucida Bright" w:hAnsi="Lucida Bright" w:cs="Calibri"/>
                <w:b/>
                <w:bCs/>
                <w:sz w:val="14"/>
                <w:szCs w:val="14"/>
                <w:lang w:val="es-ES"/>
              </w:rPr>
            </w:pPr>
            <w:r w:rsidRPr="005B1077">
              <w:rPr>
                <w:rFonts w:ascii="Lucida Bright" w:hAnsi="Lucida Bright" w:cs="Calibri"/>
                <w:b/>
                <w:bCs/>
                <w:sz w:val="14"/>
                <w:szCs w:val="14"/>
                <w:lang w:val="es-ES"/>
              </w:rPr>
              <w:t>III. Deudas a corto plazo</w:t>
            </w:r>
          </w:p>
        </w:tc>
        <w:tc>
          <w:tcPr>
            <w:tcW w:w="1676" w:type="dxa"/>
            <w:gridSpan w:val="2"/>
            <w:tcBorders>
              <w:top w:val="nil"/>
              <w:left w:val="single" w:sz="4" w:space="0" w:color="auto"/>
              <w:bottom w:val="nil"/>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 </w:t>
            </w:r>
          </w:p>
        </w:tc>
        <w:tc>
          <w:tcPr>
            <w:tcW w:w="1676" w:type="dxa"/>
            <w:gridSpan w:val="2"/>
            <w:tcBorders>
              <w:top w:val="nil"/>
              <w:left w:val="nil"/>
              <w:bottom w:val="nil"/>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81.228,02 </w:t>
            </w:r>
          </w:p>
        </w:tc>
      </w:tr>
      <w:tr w:rsidR="005B1077" w:rsidRPr="005B1077" w:rsidTr="005B1077">
        <w:trPr>
          <w:trHeight w:val="300"/>
        </w:trPr>
        <w:tc>
          <w:tcPr>
            <w:tcW w:w="4396" w:type="dxa"/>
            <w:gridSpan w:val="2"/>
            <w:tcBorders>
              <w:top w:val="nil"/>
              <w:left w:val="single" w:sz="4" w:space="0" w:color="auto"/>
              <w:bottom w:val="single" w:sz="4" w:space="0" w:color="auto"/>
              <w:right w:val="nil"/>
            </w:tcBorders>
            <w:shd w:val="clear" w:color="auto" w:fill="auto"/>
            <w:noWrap/>
            <w:vAlign w:val="bottom"/>
            <w:hideMark/>
          </w:tcPr>
          <w:p w:rsidR="005B1077" w:rsidRPr="005B1077" w:rsidRDefault="005B1077" w:rsidP="005B1077">
            <w:pPr>
              <w:ind w:firstLineChars="200" w:firstLine="280"/>
              <w:rPr>
                <w:rFonts w:ascii="Lucida Bright" w:hAnsi="Lucida Bright" w:cs="Calibri"/>
                <w:color w:val="000000"/>
                <w:sz w:val="14"/>
                <w:szCs w:val="14"/>
                <w:lang w:val="es-ES"/>
              </w:rPr>
            </w:pPr>
            <w:r w:rsidRPr="005B1077">
              <w:rPr>
                <w:rFonts w:ascii="Lucida Bright" w:hAnsi="Lucida Bright" w:cs="Calibri"/>
                <w:color w:val="000000"/>
                <w:sz w:val="14"/>
                <w:szCs w:val="14"/>
                <w:lang w:val="es-ES"/>
              </w:rPr>
              <w:t>3. Otros pasivos financieros</w:t>
            </w:r>
          </w:p>
        </w:tc>
        <w:tc>
          <w:tcPr>
            <w:tcW w:w="1676" w:type="dxa"/>
            <w:gridSpan w:val="2"/>
            <w:tcBorders>
              <w:top w:val="nil"/>
              <w:left w:val="single" w:sz="4" w:space="0" w:color="auto"/>
              <w:bottom w:val="single" w:sz="4" w:space="0" w:color="auto"/>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sz w:val="14"/>
                <w:szCs w:val="14"/>
                <w:lang w:val="es-ES"/>
              </w:rPr>
            </w:pPr>
            <w:r w:rsidRPr="005B1077">
              <w:rPr>
                <w:rFonts w:ascii="Lucida Bright" w:hAnsi="Lucida Bright" w:cs="Calibri"/>
                <w:sz w:val="14"/>
                <w:szCs w:val="14"/>
                <w:lang w:val="es-ES"/>
              </w:rPr>
              <w:t xml:space="preserve">- </w:t>
            </w:r>
          </w:p>
        </w:tc>
        <w:tc>
          <w:tcPr>
            <w:tcW w:w="1676" w:type="dxa"/>
            <w:gridSpan w:val="2"/>
            <w:tcBorders>
              <w:top w:val="nil"/>
              <w:left w:val="nil"/>
              <w:bottom w:val="single" w:sz="4" w:space="0" w:color="auto"/>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sz w:val="14"/>
                <w:szCs w:val="14"/>
                <w:lang w:val="es-ES"/>
              </w:rPr>
            </w:pPr>
            <w:r w:rsidRPr="005B1077">
              <w:rPr>
                <w:rFonts w:ascii="Lucida Bright" w:hAnsi="Lucida Bright" w:cs="Calibri"/>
                <w:sz w:val="14"/>
                <w:szCs w:val="14"/>
                <w:lang w:val="es-ES"/>
              </w:rPr>
              <w:t xml:space="preserve">81.228,02 </w:t>
            </w:r>
          </w:p>
        </w:tc>
      </w:tr>
      <w:tr w:rsidR="005B1077" w:rsidRPr="005B1077" w:rsidTr="005B1077">
        <w:trPr>
          <w:gridAfter w:val="1"/>
          <w:wAfter w:w="48" w:type="dxa"/>
          <w:trHeight w:val="300"/>
        </w:trPr>
        <w:tc>
          <w:tcPr>
            <w:tcW w:w="7700" w:type="dxa"/>
            <w:gridSpan w:val="5"/>
            <w:vMerge w:val="restart"/>
            <w:tcBorders>
              <w:top w:val="nil"/>
              <w:left w:val="nil"/>
              <w:bottom w:val="single" w:sz="4" w:space="0" w:color="000000"/>
              <w:right w:val="nil"/>
            </w:tcBorders>
            <w:shd w:val="clear" w:color="000000" w:fill="FFFFFF"/>
            <w:vAlign w:val="bottom"/>
            <w:hideMark/>
          </w:tcPr>
          <w:p w:rsidR="005B1077" w:rsidRPr="005B1077" w:rsidRDefault="005B1077" w:rsidP="005B1077">
            <w:pPr>
              <w:rPr>
                <w:rFonts w:ascii="Lucida Bright" w:hAnsi="Lucida Bright" w:cs="Calibri"/>
                <w:b/>
                <w:bCs/>
                <w:sz w:val="18"/>
                <w:szCs w:val="18"/>
                <w:lang w:val="es-ES"/>
              </w:rPr>
            </w:pPr>
            <w:r w:rsidRPr="005B1077">
              <w:rPr>
                <w:rFonts w:ascii="Lucida Bright" w:hAnsi="Lucida Bright" w:cs="Calibri"/>
                <w:b/>
                <w:bCs/>
                <w:sz w:val="18"/>
                <w:szCs w:val="18"/>
                <w:lang w:val="es-ES"/>
              </w:rPr>
              <w:t xml:space="preserve">Cuenta de Pérdidas y Ganancias correspondiente al ejercicio terminado el 31-12-23  </w:t>
            </w:r>
            <w:r w:rsidRPr="005B1077">
              <w:rPr>
                <w:rFonts w:ascii="Lucida Bright" w:hAnsi="Lucida Bright" w:cs="Calibri"/>
                <w:sz w:val="18"/>
                <w:szCs w:val="18"/>
                <w:lang w:val="es-ES"/>
              </w:rPr>
              <w:t>(en euros)</w:t>
            </w:r>
          </w:p>
        </w:tc>
      </w:tr>
      <w:tr w:rsidR="005B1077" w:rsidRPr="005B1077" w:rsidTr="005B1077">
        <w:trPr>
          <w:gridAfter w:val="1"/>
          <w:wAfter w:w="48" w:type="dxa"/>
          <w:trHeight w:val="300"/>
        </w:trPr>
        <w:tc>
          <w:tcPr>
            <w:tcW w:w="7700" w:type="dxa"/>
            <w:gridSpan w:val="5"/>
            <w:vMerge/>
            <w:tcBorders>
              <w:top w:val="nil"/>
              <w:left w:val="nil"/>
              <w:bottom w:val="single" w:sz="4" w:space="0" w:color="000000"/>
              <w:right w:val="nil"/>
            </w:tcBorders>
            <w:vAlign w:val="center"/>
            <w:hideMark/>
          </w:tcPr>
          <w:p w:rsidR="005B1077" w:rsidRPr="005B1077" w:rsidRDefault="005B1077" w:rsidP="005B1077">
            <w:pPr>
              <w:rPr>
                <w:rFonts w:ascii="Lucida Bright" w:hAnsi="Lucida Bright" w:cs="Calibri"/>
                <w:b/>
                <w:bCs/>
                <w:sz w:val="18"/>
                <w:szCs w:val="18"/>
                <w:lang w:val="es-ES"/>
              </w:rPr>
            </w:pPr>
          </w:p>
        </w:tc>
      </w:tr>
      <w:tr w:rsidR="005B1077" w:rsidRPr="005B1077" w:rsidTr="005B1077">
        <w:trPr>
          <w:gridAfter w:val="1"/>
          <w:wAfter w:w="48" w:type="dxa"/>
          <w:trHeight w:val="300"/>
        </w:trPr>
        <w:tc>
          <w:tcPr>
            <w:tcW w:w="4380" w:type="dxa"/>
            <w:vMerge w:val="restart"/>
            <w:tcBorders>
              <w:top w:val="nil"/>
              <w:left w:val="single" w:sz="4" w:space="0" w:color="auto"/>
              <w:bottom w:val="single" w:sz="4" w:space="0" w:color="000000"/>
              <w:right w:val="single" w:sz="4" w:space="0" w:color="auto"/>
            </w:tcBorders>
            <w:shd w:val="clear" w:color="000000" w:fill="CCFFCC"/>
            <w:noWrap/>
            <w:vAlign w:val="center"/>
            <w:hideMark/>
          </w:tcPr>
          <w:p w:rsidR="005B1077" w:rsidRPr="005B1077" w:rsidRDefault="005B1077" w:rsidP="005B1077">
            <w:pPr>
              <w:jc w:val="center"/>
              <w:rPr>
                <w:rFonts w:ascii="Lucida Bright" w:hAnsi="Lucida Bright" w:cs="Calibri"/>
                <w:b/>
                <w:bCs/>
                <w:sz w:val="18"/>
                <w:szCs w:val="18"/>
                <w:lang w:val="es-ES"/>
              </w:rPr>
            </w:pPr>
            <w:r w:rsidRPr="005B1077">
              <w:rPr>
                <w:rFonts w:ascii="Lucida Bright" w:hAnsi="Lucida Bright" w:cs="Calibri"/>
                <w:b/>
                <w:bCs/>
                <w:sz w:val="18"/>
                <w:szCs w:val="18"/>
                <w:lang w:val="es-ES"/>
              </w:rPr>
              <w:t xml:space="preserve">CUENTA DE PÉRDIDAS Y GANANCIAS  </w:t>
            </w:r>
          </w:p>
        </w:tc>
        <w:tc>
          <w:tcPr>
            <w:tcW w:w="3320" w:type="dxa"/>
            <w:gridSpan w:val="4"/>
            <w:tcBorders>
              <w:top w:val="single" w:sz="4" w:space="0" w:color="auto"/>
              <w:left w:val="nil"/>
              <w:bottom w:val="single" w:sz="4" w:space="0" w:color="auto"/>
              <w:right w:val="single" w:sz="4" w:space="0" w:color="000000"/>
            </w:tcBorders>
            <w:shd w:val="clear" w:color="000000" w:fill="CCFFCC"/>
            <w:noWrap/>
            <w:vAlign w:val="center"/>
            <w:hideMark/>
          </w:tcPr>
          <w:p w:rsidR="005B1077" w:rsidRPr="005B1077" w:rsidRDefault="005B1077" w:rsidP="005B1077">
            <w:pPr>
              <w:jc w:val="center"/>
              <w:rPr>
                <w:rFonts w:ascii="Lucida Bright" w:hAnsi="Lucida Bright" w:cs="Calibri"/>
                <w:b/>
                <w:bCs/>
                <w:sz w:val="18"/>
                <w:szCs w:val="18"/>
                <w:lang w:val="es-ES"/>
              </w:rPr>
            </w:pPr>
            <w:r w:rsidRPr="005B1077">
              <w:rPr>
                <w:rFonts w:ascii="Lucida Bright" w:hAnsi="Lucida Bright" w:cs="Calibri"/>
                <w:b/>
                <w:bCs/>
                <w:sz w:val="18"/>
                <w:szCs w:val="18"/>
                <w:lang w:val="es-ES"/>
              </w:rPr>
              <w:t>(Debe) Haber</w:t>
            </w:r>
          </w:p>
        </w:tc>
      </w:tr>
      <w:tr w:rsidR="005B1077" w:rsidRPr="005B1077" w:rsidTr="005B1077">
        <w:trPr>
          <w:gridAfter w:val="1"/>
          <w:wAfter w:w="48" w:type="dxa"/>
          <w:trHeight w:val="300"/>
        </w:trPr>
        <w:tc>
          <w:tcPr>
            <w:tcW w:w="4380" w:type="dxa"/>
            <w:vMerge/>
            <w:tcBorders>
              <w:top w:val="nil"/>
              <w:left w:val="single" w:sz="4" w:space="0" w:color="auto"/>
              <w:bottom w:val="single" w:sz="4" w:space="0" w:color="000000"/>
              <w:right w:val="single" w:sz="4" w:space="0" w:color="auto"/>
            </w:tcBorders>
            <w:vAlign w:val="center"/>
            <w:hideMark/>
          </w:tcPr>
          <w:p w:rsidR="005B1077" w:rsidRPr="005B1077" w:rsidRDefault="005B1077" w:rsidP="005B1077">
            <w:pPr>
              <w:rPr>
                <w:rFonts w:ascii="Lucida Bright" w:hAnsi="Lucida Bright" w:cs="Calibri"/>
                <w:b/>
                <w:bCs/>
                <w:sz w:val="18"/>
                <w:szCs w:val="18"/>
                <w:lang w:val="es-ES"/>
              </w:rPr>
            </w:pPr>
          </w:p>
        </w:tc>
        <w:tc>
          <w:tcPr>
            <w:tcW w:w="1660" w:type="dxa"/>
            <w:gridSpan w:val="2"/>
            <w:tcBorders>
              <w:top w:val="nil"/>
              <w:left w:val="nil"/>
              <w:bottom w:val="single" w:sz="4" w:space="0" w:color="auto"/>
              <w:right w:val="single" w:sz="4" w:space="0" w:color="auto"/>
            </w:tcBorders>
            <w:shd w:val="clear" w:color="000000" w:fill="CCFFCC"/>
            <w:vAlign w:val="center"/>
            <w:hideMark/>
          </w:tcPr>
          <w:p w:rsidR="005B1077" w:rsidRPr="005B1077" w:rsidRDefault="005B1077" w:rsidP="005B1077">
            <w:pPr>
              <w:jc w:val="center"/>
              <w:rPr>
                <w:rFonts w:ascii="Lucida Bright" w:hAnsi="Lucida Bright" w:cs="Calibri"/>
                <w:b/>
                <w:bCs/>
                <w:sz w:val="16"/>
                <w:szCs w:val="16"/>
                <w:lang w:val="es-ES"/>
              </w:rPr>
            </w:pPr>
            <w:r w:rsidRPr="005B1077">
              <w:rPr>
                <w:rFonts w:ascii="Lucida Bright" w:hAnsi="Lucida Bright" w:cs="Calibri"/>
                <w:b/>
                <w:bCs/>
                <w:sz w:val="16"/>
                <w:szCs w:val="16"/>
                <w:lang w:val="es-ES"/>
              </w:rPr>
              <w:t>2023</w:t>
            </w:r>
          </w:p>
        </w:tc>
        <w:tc>
          <w:tcPr>
            <w:tcW w:w="1660" w:type="dxa"/>
            <w:gridSpan w:val="2"/>
            <w:tcBorders>
              <w:top w:val="nil"/>
              <w:left w:val="nil"/>
              <w:bottom w:val="single" w:sz="4" w:space="0" w:color="auto"/>
              <w:right w:val="single" w:sz="4" w:space="0" w:color="auto"/>
            </w:tcBorders>
            <w:shd w:val="clear" w:color="000000" w:fill="CCFFCC"/>
            <w:vAlign w:val="center"/>
            <w:hideMark/>
          </w:tcPr>
          <w:p w:rsidR="005B1077" w:rsidRPr="005B1077" w:rsidRDefault="005B1077" w:rsidP="005B1077">
            <w:pPr>
              <w:jc w:val="center"/>
              <w:rPr>
                <w:rFonts w:ascii="Lucida Bright" w:hAnsi="Lucida Bright" w:cs="Calibri"/>
                <w:b/>
                <w:bCs/>
                <w:sz w:val="16"/>
                <w:szCs w:val="16"/>
                <w:lang w:val="es-ES"/>
              </w:rPr>
            </w:pPr>
            <w:r w:rsidRPr="005B1077">
              <w:rPr>
                <w:rFonts w:ascii="Lucida Bright" w:hAnsi="Lucida Bright" w:cs="Calibri"/>
                <w:b/>
                <w:bCs/>
                <w:sz w:val="16"/>
                <w:szCs w:val="16"/>
                <w:lang w:val="es-ES"/>
              </w:rPr>
              <w:t>2022</w:t>
            </w:r>
          </w:p>
        </w:tc>
      </w:tr>
      <w:tr w:rsidR="005B1077" w:rsidRPr="005B1077" w:rsidTr="005B1077">
        <w:trPr>
          <w:gridAfter w:val="1"/>
          <w:wAfter w:w="48" w:type="dxa"/>
          <w:trHeight w:val="300"/>
        </w:trPr>
        <w:tc>
          <w:tcPr>
            <w:tcW w:w="4380" w:type="dxa"/>
            <w:tcBorders>
              <w:top w:val="nil"/>
              <w:left w:val="single" w:sz="4" w:space="0" w:color="auto"/>
              <w:bottom w:val="nil"/>
              <w:right w:val="single" w:sz="4" w:space="0" w:color="auto"/>
            </w:tcBorders>
            <w:shd w:val="clear" w:color="auto" w:fill="auto"/>
            <w:noWrap/>
            <w:vAlign w:val="center"/>
            <w:hideMark/>
          </w:tcPr>
          <w:p w:rsidR="005B1077" w:rsidRPr="005B1077" w:rsidRDefault="005B1077" w:rsidP="005B1077">
            <w:pPr>
              <w:ind w:firstLineChars="100" w:firstLine="141"/>
              <w:rPr>
                <w:rFonts w:ascii="Lucida Bright" w:hAnsi="Lucida Bright" w:cs="Calibri"/>
                <w:b/>
                <w:bCs/>
                <w:sz w:val="14"/>
                <w:szCs w:val="14"/>
                <w:lang w:val="es-ES"/>
              </w:rPr>
            </w:pPr>
            <w:r w:rsidRPr="005B1077">
              <w:rPr>
                <w:rFonts w:ascii="Lucida Bright" w:hAnsi="Lucida Bright" w:cs="Calibri"/>
                <w:b/>
                <w:bCs/>
                <w:sz w:val="14"/>
                <w:szCs w:val="14"/>
                <w:lang w:val="es-ES"/>
              </w:rPr>
              <w:t>5. Otros ingresos de explotación</w:t>
            </w:r>
          </w:p>
        </w:tc>
        <w:tc>
          <w:tcPr>
            <w:tcW w:w="1660" w:type="dxa"/>
            <w:gridSpan w:val="2"/>
            <w:tcBorders>
              <w:top w:val="nil"/>
              <w:left w:val="nil"/>
              <w:bottom w:val="nil"/>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  </w:t>
            </w:r>
          </w:p>
        </w:tc>
        <w:tc>
          <w:tcPr>
            <w:tcW w:w="1660" w:type="dxa"/>
            <w:gridSpan w:val="2"/>
            <w:tcBorders>
              <w:top w:val="nil"/>
              <w:left w:val="nil"/>
              <w:bottom w:val="nil"/>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3.812,07  </w:t>
            </w:r>
          </w:p>
        </w:tc>
      </w:tr>
      <w:tr w:rsidR="005B1077" w:rsidRPr="005B1077" w:rsidTr="005B1077">
        <w:trPr>
          <w:gridAfter w:val="1"/>
          <w:wAfter w:w="48" w:type="dxa"/>
          <w:trHeight w:val="300"/>
        </w:trPr>
        <w:tc>
          <w:tcPr>
            <w:tcW w:w="4380" w:type="dxa"/>
            <w:tcBorders>
              <w:top w:val="nil"/>
              <w:left w:val="single" w:sz="4" w:space="0" w:color="auto"/>
              <w:bottom w:val="nil"/>
              <w:right w:val="single" w:sz="4" w:space="0" w:color="auto"/>
            </w:tcBorders>
            <w:shd w:val="clear" w:color="auto" w:fill="auto"/>
            <w:noWrap/>
            <w:vAlign w:val="bottom"/>
            <w:hideMark/>
          </w:tcPr>
          <w:p w:rsidR="005B1077" w:rsidRPr="005B1077" w:rsidRDefault="005B1077" w:rsidP="005B1077">
            <w:pPr>
              <w:ind w:firstLineChars="200" w:firstLine="280"/>
              <w:rPr>
                <w:rFonts w:ascii="Lucida Bright" w:hAnsi="Lucida Bright" w:cs="Calibri"/>
                <w:sz w:val="14"/>
                <w:szCs w:val="14"/>
                <w:lang w:val="es-ES"/>
              </w:rPr>
            </w:pPr>
            <w:r w:rsidRPr="005B1077">
              <w:rPr>
                <w:rFonts w:ascii="Lucida Bright" w:hAnsi="Lucida Bright" w:cs="Calibri"/>
                <w:sz w:val="14"/>
                <w:szCs w:val="14"/>
                <w:lang w:val="es-ES"/>
              </w:rPr>
              <w:t>a) Ingresos accesorios y otros de gestión corriente</w:t>
            </w:r>
          </w:p>
        </w:tc>
        <w:tc>
          <w:tcPr>
            <w:tcW w:w="1660" w:type="dxa"/>
            <w:gridSpan w:val="2"/>
            <w:tcBorders>
              <w:top w:val="nil"/>
              <w:left w:val="nil"/>
              <w:bottom w:val="nil"/>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sz w:val="14"/>
                <w:szCs w:val="14"/>
                <w:lang w:val="es-ES"/>
              </w:rPr>
            </w:pPr>
            <w:r w:rsidRPr="005B1077">
              <w:rPr>
                <w:rFonts w:ascii="Lucida Bright" w:hAnsi="Lucida Bright" w:cs="Calibri"/>
                <w:sz w:val="14"/>
                <w:szCs w:val="14"/>
                <w:lang w:val="es-ES"/>
              </w:rPr>
              <w:t xml:space="preserve">-  </w:t>
            </w:r>
          </w:p>
        </w:tc>
        <w:tc>
          <w:tcPr>
            <w:tcW w:w="1660" w:type="dxa"/>
            <w:gridSpan w:val="2"/>
            <w:tcBorders>
              <w:top w:val="nil"/>
              <w:left w:val="nil"/>
              <w:bottom w:val="nil"/>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sz w:val="14"/>
                <w:szCs w:val="14"/>
                <w:lang w:val="es-ES"/>
              </w:rPr>
            </w:pPr>
            <w:r w:rsidRPr="005B1077">
              <w:rPr>
                <w:rFonts w:ascii="Lucida Bright" w:hAnsi="Lucida Bright" w:cs="Calibri"/>
                <w:sz w:val="14"/>
                <w:szCs w:val="14"/>
                <w:lang w:val="es-ES"/>
              </w:rPr>
              <w:t xml:space="preserve">3.812,07  </w:t>
            </w:r>
          </w:p>
        </w:tc>
      </w:tr>
      <w:tr w:rsidR="005B1077" w:rsidRPr="005B1077" w:rsidTr="005B1077">
        <w:trPr>
          <w:gridAfter w:val="1"/>
          <w:wAfter w:w="48" w:type="dxa"/>
          <w:trHeight w:val="300"/>
        </w:trPr>
        <w:tc>
          <w:tcPr>
            <w:tcW w:w="4380" w:type="dxa"/>
            <w:tcBorders>
              <w:top w:val="nil"/>
              <w:left w:val="single" w:sz="4" w:space="0" w:color="auto"/>
              <w:bottom w:val="nil"/>
              <w:right w:val="single" w:sz="4" w:space="0" w:color="auto"/>
            </w:tcBorders>
            <w:shd w:val="clear" w:color="auto" w:fill="auto"/>
            <w:noWrap/>
            <w:vAlign w:val="center"/>
            <w:hideMark/>
          </w:tcPr>
          <w:p w:rsidR="005B1077" w:rsidRPr="005B1077" w:rsidRDefault="005B1077" w:rsidP="005B1077">
            <w:pPr>
              <w:jc w:val="center"/>
              <w:rPr>
                <w:rFonts w:ascii="Lucida Bright" w:hAnsi="Lucida Bright" w:cs="Calibri"/>
                <w:b/>
                <w:bCs/>
                <w:sz w:val="18"/>
                <w:szCs w:val="18"/>
                <w:lang w:val="es-ES"/>
              </w:rPr>
            </w:pPr>
            <w:r w:rsidRPr="005B1077">
              <w:rPr>
                <w:rFonts w:ascii="Lucida Bright" w:hAnsi="Lucida Bright" w:cs="Calibri"/>
                <w:b/>
                <w:bCs/>
                <w:sz w:val="18"/>
                <w:szCs w:val="18"/>
                <w:lang w:val="es-ES"/>
              </w:rPr>
              <w:t> </w:t>
            </w:r>
          </w:p>
        </w:tc>
        <w:tc>
          <w:tcPr>
            <w:tcW w:w="1660" w:type="dxa"/>
            <w:gridSpan w:val="2"/>
            <w:tcBorders>
              <w:top w:val="nil"/>
              <w:left w:val="nil"/>
              <w:bottom w:val="nil"/>
              <w:right w:val="single" w:sz="4" w:space="0" w:color="auto"/>
            </w:tcBorders>
            <w:shd w:val="clear" w:color="auto" w:fill="auto"/>
            <w:vAlign w:val="center"/>
            <w:hideMark/>
          </w:tcPr>
          <w:p w:rsidR="005B1077" w:rsidRPr="005B1077" w:rsidRDefault="005B1077" w:rsidP="005B1077">
            <w:pPr>
              <w:jc w:val="center"/>
              <w:rPr>
                <w:rFonts w:ascii="Lucida Bright" w:hAnsi="Lucida Bright" w:cs="Calibri"/>
                <w:b/>
                <w:bCs/>
                <w:sz w:val="16"/>
                <w:szCs w:val="16"/>
                <w:lang w:val="es-ES"/>
              </w:rPr>
            </w:pPr>
            <w:r w:rsidRPr="005B1077">
              <w:rPr>
                <w:rFonts w:ascii="Lucida Bright" w:hAnsi="Lucida Bright" w:cs="Calibri"/>
                <w:b/>
                <w:bCs/>
                <w:sz w:val="16"/>
                <w:szCs w:val="16"/>
                <w:lang w:val="es-ES"/>
              </w:rPr>
              <w:t> </w:t>
            </w:r>
          </w:p>
        </w:tc>
        <w:tc>
          <w:tcPr>
            <w:tcW w:w="1660" w:type="dxa"/>
            <w:gridSpan w:val="2"/>
            <w:tcBorders>
              <w:top w:val="nil"/>
              <w:left w:val="nil"/>
              <w:bottom w:val="nil"/>
              <w:right w:val="single" w:sz="4" w:space="0" w:color="auto"/>
            </w:tcBorders>
            <w:shd w:val="clear" w:color="auto" w:fill="auto"/>
            <w:vAlign w:val="center"/>
            <w:hideMark/>
          </w:tcPr>
          <w:p w:rsidR="005B1077" w:rsidRPr="005B1077" w:rsidRDefault="005B1077" w:rsidP="005B1077">
            <w:pPr>
              <w:jc w:val="center"/>
              <w:rPr>
                <w:rFonts w:ascii="Lucida Bright" w:hAnsi="Lucida Bright" w:cs="Calibri"/>
                <w:b/>
                <w:bCs/>
                <w:sz w:val="16"/>
                <w:szCs w:val="16"/>
                <w:lang w:val="es-ES"/>
              </w:rPr>
            </w:pPr>
            <w:r w:rsidRPr="005B1077">
              <w:rPr>
                <w:rFonts w:ascii="Lucida Bright" w:hAnsi="Lucida Bright" w:cs="Calibri"/>
                <w:b/>
                <w:bCs/>
                <w:sz w:val="16"/>
                <w:szCs w:val="16"/>
                <w:lang w:val="es-ES"/>
              </w:rPr>
              <w:t> </w:t>
            </w:r>
          </w:p>
        </w:tc>
      </w:tr>
      <w:tr w:rsidR="005B1077" w:rsidRPr="005B1077" w:rsidTr="005B1077">
        <w:trPr>
          <w:gridAfter w:val="1"/>
          <w:wAfter w:w="48" w:type="dxa"/>
          <w:trHeight w:val="360"/>
        </w:trPr>
        <w:tc>
          <w:tcPr>
            <w:tcW w:w="4380" w:type="dxa"/>
            <w:tcBorders>
              <w:top w:val="nil"/>
              <w:left w:val="single" w:sz="4" w:space="0" w:color="auto"/>
              <w:bottom w:val="nil"/>
              <w:right w:val="single" w:sz="4" w:space="0" w:color="auto"/>
            </w:tcBorders>
            <w:shd w:val="clear" w:color="000000" w:fill="CCFFCC"/>
            <w:vAlign w:val="center"/>
            <w:hideMark/>
          </w:tcPr>
          <w:p w:rsidR="005B1077" w:rsidRPr="005B1077" w:rsidRDefault="005B1077" w:rsidP="005B1077">
            <w:pPr>
              <w:rPr>
                <w:rFonts w:ascii="Lucida Bright" w:hAnsi="Lucida Bright" w:cs="Calibri"/>
                <w:b/>
                <w:bCs/>
                <w:sz w:val="14"/>
                <w:szCs w:val="14"/>
                <w:lang w:val="es-ES"/>
              </w:rPr>
            </w:pPr>
            <w:r w:rsidRPr="005B1077">
              <w:rPr>
                <w:rFonts w:ascii="Lucida Bright" w:hAnsi="Lucida Bright" w:cs="Calibri"/>
                <w:b/>
                <w:bCs/>
                <w:sz w:val="14"/>
                <w:szCs w:val="14"/>
                <w:lang w:val="es-ES"/>
              </w:rPr>
              <w:t xml:space="preserve">  A.1. RESULTADO DE EXPLOTACIÓN (1+3+5+6+7+8+9+10+11+12)</w:t>
            </w:r>
          </w:p>
        </w:tc>
        <w:tc>
          <w:tcPr>
            <w:tcW w:w="1660" w:type="dxa"/>
            <w:gridSpan w:val="2"/>
            <w:tcBorders>
              <w:top w:val="nil"/>
              <w:left w:val="nil"/>
              <w:bottom w:val="nil"/>
              <w:right w:val="single" w:sz="4" w:space="0" w:color="auto"/>
            </w:tcBorders>
            <w:shd w:val="clear" w:color="000000" w:fill="CCFFCC"/>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  </w:t>
            </w:r>
          </w:p>
        </w:tc>
        <w:tc>
          <w:tcPr>
            <w:tcW w:w="1660" w:type="dxa"/>
            <w:gridSpan w:val="2"/>
            <w:tcBorders>
              <w:top w:val="nil"/>
              <w:left w:val="nil"/>
              <w:bottom w:val="nil"/>
              <w:right w:val="single" w:sz="4" w:space="0" w:color="auto"/>
            </w:tcBorders>
            <w:shd w:val="clear" w:color="000000" w:fill="CCFFCC"/>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3.812,07  </w:t>
            </w:r>
          </w:p>
        </w:tc>
      </w:tr>
      <w:tr w:rsidR="005B1077" w:rsidRPr="005B1077" w:rsidTr="005B1077">
        <w:trPr>
          <w:gridAfter w:val="1"/>
          <w:wAfter w:w="48" w:type="dxa"/>
          <w:trHeight w:val="300"/>
        </w:trPr>
        <w:tc>
          <w:tcPr>
            <w:tcW w:w="4380" w:type="dxa"/>
            <w:tcBorders>
              <w:top w:val="nil"/>
              <w:left w:val="single" w:sz="4" w:space="0" w:color="auto"/>
              <w:bottom w:val="nil"/>
              <w:right w:val="single" w:sz="4" w:space="0" w:color="auto"/>
            </w:tcBorders>
            <w:shd w:val="clear" w:color="auto" w:fill="auto"/>
            <w:noWrap/>
            <w:vAlign w:val="center"/>
            <w:hideMark/>
          </w:tcPr>
          <w:p w:rsidR="005B1077" w:rsidRPr="005B1077" w:rsidRDefault="005B1077" w:rsidP="005B1077">
            <w:pPr>
              <w:rPr>
                <w:rFonts w:ascii="Lucida Bright" w:hAnsi="Lucida Bright" w:cs="Calibri"/>
                <w:b/>
                <w:bCs/>
                <w:sz w:val="14"/>
                <w:szCs w:val="14"/>
                <w:lang w:val="es-ES"/>
              </w:rPr>
            </w:pPr>
            <w:r w:rsidRPr="005B1077">
              <w:rPr>
                <w:rFonts w:ascii="Lucida Bright" w:hAnsi="Lucida Bright" w:cs="Calibri"/>
                <w:b/>
                <w:bCs/>
                <w:sz w:val="14"/>
                <w:szCs w:val="14"/>
                <w:lang w:val="es-ES"/>
              </w:rPr>
              <w:t> </w:t>
            </w:r>
          </w:p>
        </w:tc>
        <w:tc>
          <w:tcPr>
            <w:tcW w:w="1660" w:type="dxa"/>
            <w:gridSpan w:val="2"/>
            <w:tcBorders>
              <w:top w:val="nil"/>
              <w:left w:val="nil"/>
              <w:bottom w:val="nil"/>
              <w:right w:val="single" w:sz="4" w:space="0" w:color="auto"/>
            </w:tcBorders>
            <w:shd w:val="clear" w:color="auto" w:fill="auto"/>
            <w:noWrap/>
            <w:vAlign w:val="center"/>
            <w:hideMark/>
          </w:tcPr>
          <w:p w:rsidR="005B1077" w:rsidRPr="005B1077" w:rsidRDefault="005B1077" w:rsidP="005B1077">
            <w:pPr>
              <w:rPr>
                <w:rFonts w:ascii="Lucida Bright" w:hAnsi="Lucida Bright" w:cs="Calibri"/>
                <w:b/>
                <w:bCs/>
                <w:sz w:val="14"/>
                <w:szCs w:val="14"/>
                <w:lang w:val="es-ES"/>
              </w:rPr>
            </w:pPr>
            <w:r w:rsidRPr="005B1077">
              <w:rPr>
                <w:rFonts w:ascii="Lucida Bright" w:hAnsi="Lucida Bright" w:cs="Calibri"/>
                <w:b/>
                <w:bCs/>
                <w:sz w:val="14"/>
                <w:szCs w:val="14"/>
                <w:lang w:val="es-ES"/>
              </w:rPr>
              <w:t> </w:t>
            </w:r>
          </w:p>
        </w:tc>
        <w:tc>
          <w:tcPr>
            <w:tcW w:w="1660" w:type="dxa"/>
            <w:gridSpan w:val="2"/>
            <w:tcBorders>
              <w:top w:val="nil"/>
              <w:left w:val="nil"/>
              <w:bottom w:val="nil"/>
              <w:right w:val="single" w:sz="4" w:space="0" w:color="auto"/>
            </w:tcBorders>
            <w:shd w:val="clear" w:color="auto" w:fill="auto"/>
            <w:noWrap/>
            <w:vAlign w:val="center"/>
            <w:hideMark/>
          </w:tcPr>
          <w:p w:rsidR="005B1077" w:rsidRPr="005B1077" w:rsidRDefault="005B1077" w:rsidP="005B1077">
            <w:pPr>
              <w:rPr>
                <w:rFonts w:ascii="Lucida Bright" w:hAnsi="Lucida Bright" w:cs="Calibri"/>
                <w:b/>
                <w:bCs/>
                <w:sz w:val="14"/>
                <w:szCs w:val="14"/>
                <w:lang w:val="es-ES"/>
              </w:rPr>
            </w:pPr>
            <w:r w:rsidRPr="005B1077">
              <w:rPr>
                <w:rFonts w:ascii="Lucida Bright" w:hAnsi="Lucida Bright" w:cs="Calibri"/>
                <w:b/>
                <w:bCs/>
                <w:sz w:val="14"/>
                <w:szCs w:val="14"/>
                <w:lang w:val="es-ES"/>
              </w:rPr>
              <w:t> </w:t>
            </w:r>
          </w:p>
        </w:tc>
      </w:tr>
      <w:tr w:rsidR="005B1077" w:rsidRPr="005B1077" w:rsidTr="005B1077">
        <w:trPr>
          <w:gridAfter w:val="1"/>
          <w:wAfter w:w="48" w:type="dxa"/>
          <w:trHeight w:val="300"/>
        </w:trPr>
        <w:tc>
          <w:tcPr>
            <w:tcW w:w="4380" w:type="dxa"/>
            <w:tcBorders>
              <w:top w:val="nil"/>
              <w:left w:val="single" w:sz="4" w:space="0" w:color="auto"/>
              <w:bottom w:val="nil"/>
              <w:right w:val="single" w:sz="4" w:space="0" w:color="auto"/>
            </w:tcBorders>
            <w:shd w:val="clear" w:color="000000" w:fill="CCFFCC"/>
            <w:noWrap/>
            <w:vAlign w:val="center"/>
            <w:hideMark/>
          </w:tcPr>
          <w:p w:rsidR="005B1077" w:rsidRPr="005B1077" w:rsidRDefault="005B1077" w:rsidP="005B1077">
            <w:pPr>
              <w:rPr>
                <w:rFonts w:ascii="Lucida Bright" w:hAnsi="Lucida Bright" w:cs="Calibri"/>
                <w:b/>
                <w:bCs/>
                <w:sz w:val="14"/>
                <w:szCs w:val="14"/>
                <w:lang w:val="es-ES"/>
              </w:rPr>
            </w:pPr>
            <w:r w:rsidRPr="005B1077">
              <w:rPr>
                <w:rFonts w:ascii="Lucida Bright" w:hAnsi="Lucida Bright" w:cs="Calibri"/>
                <w:b/>
                <w:bCs/>
                <w:sz w:val="14"/>
                <w:szCs w:val="14"/>
                <w:lang w:val="es-ES"/>
              </w:rPr>
              <w:t xml:space="preserve">  A.3. RESULTADO ANTES DE IMPUESTOS (A.1+A.2)</w:t>
            </w:r>
          </w:p>
        </w:tc>
        <w:tc>
          <w:tcPr>
            <w:tcW w:w="1660" w:type="dxa"/>
            <w:gridSpan w:val="2"/>
            <w:tcBorders>
              <w:top w:val="nil"/>
              <w:left w:val="nil"/>
              <w:bottom w:val="nil"/>
              <w:right w:val="single" w:sz="4" w:space="0" w:color="auto"/>
            </w:tcBorders>
            <w:shd w:val="clear" w:color="000000" w:fill="CCFFCC"/>
            <w:noWrap/>
            <w:vAlign w:val="bottom"/>
            <w:hideMark/>
          </w:tcPr>
          <w:p w:rsidR="005B1077" w:rsidRPr="005B1077" w:rsidRDefault="005B1077" w:rsidP="005B1077">
            <w:pPr>
              <w:jc w:val="right"/>
              <w:rPr>
                <w:rFonts w:ascii="Lucida Bright" w:hAnsi="Lucida Bright" w:cs="Calibri"/>
                <w:b/>
                <w:bCs/>
                <w:color w:val="000000"/>
                <w:sz w:val="14"/>
                <w:szCs w:val="14"/>
                <w:lang w:val="es-ES"/>
              </w:rPr>
            </w:pPr>
            <w:r w:rsidRPr="005B1077">
              <w:rPr>
                <w:rFonts w:ascii="Lucida Bright" w:hAnsi="Lucida Bright" w:cs="Calibri"/>
                <w:b/>
                <w:bCs/>
                <w:color w:val="000000"/>
                <w:sz w:val="14"/>
                <w:szCs w:val="14"/>
                <w:lang w:val="es-ES"/>
              </w:rPr>
              <w:t xml:space="preserve">-  </w:t>
            </w:r>
          </w:p>
        </w:tc>
        <w:tc>
          <w:tcPr>
            <w:tcW w:w="1660" w:type="dxa"/>
            <w:gridSpan w:val="2"/>
            <w:tcBorders>
              <w:top w:val="nil"/>
              <w:left w:val="nil"/>
              <w:bottom w:val="nil"/>
              <w:right w:val="single" w:sz="4" w:space="0" w:color="auto"/>
            </w:tcBorders>
            <w:shd w:val="clear" w:color="000000" w:fill="CCFFCC"/>
            <w:noWrap/>
            <w:vAlign w:val="bottom"/>
            <w:hideMark/>
          </w:tcPr>
          <w:p w:rsidR="005B1077" w:rsidRPr="005B1077" w:rsidRDefault="005B1077" w:rsidP="005B1077">
            <w:pPr>
              <w:jc w:val="right"/>
              <w:rPr>
                <w:rFonts w:ascii="Lucida Bright" w:hAnsi="Lucida Bright" w:cs="Calibri"/>
                <w:b/>
                <w:bCs/>
                <w:color w:val="000000"/>
                <w:sz w:val="14"/>
                <w:szCs w:val="14"/>
                <w:lang w:val="es-ES"/>
              </w:rPr>
            </w:pPr>
            <w:r w:rsidRPr="005B1077">
              <w:rPr>
                <w:rFonts w:ascii="Lucida Bright" w:hAnsi="Lucida Bright" w:cs="Calibri"/>
                <w:b/>
                <w:bCs/>
                <w:color w:val="000000"/>
                <w:sz w:val="14"/>
                <w:szCs w:val="14"/>
                <w:lang w:val="es-ES"/>
              </w:rPr>
              <w:t xml:space="preserve">3.812,07  </w:t>
            </w:r>
          </w:p>
        </w:tc>
      </w:tr>
      <w:tr w:rsidR="005B1077" w:rsidRPr="005B1077" w:rsidTr="005B1077">
        <w:trPr>
          <w:gridAfter w:val="1"/>
          <w:wAfter w:w="48" w:type="dxa"/>
          <w:trHeight w:val="300"/>
        </w:trPr>
        <w:tc>
          <w:tcPr>
            <w:tcW w:w="4380" w:type="dxa"/>
            <w:tcBorders>
              <w:top w:val="nil"/>
              <w:left w:val="single" w:sz="4" w:space="0" w:color="auto"/>
              <w:bottom w:val="nil"/>
              <w:right w:val="single" w:sz="4" w:space="0" w:color="auto"/>
            </w:tcBorders>
            <w:shd w:val="clear" w:color="auto" w:fill="auto"/>
            <w:noWrap/>
            <w:vAlign w:val="center"/>
            <w:hideMark/>
          </w:tcPr>
          <w:p w:rsidR="005B1077" w:rsidRPr="005B1077" w:rsidRDefault="005B1077" w:rsidP="005B1077">
            <w:pPr>
              <w:rPr>
                <w:rFonts w:ascii="Lucida Bright" w:hAnsi="Lucida Bright" w:cs="Calibri"/>
                <w:b/>
                <w:bCs/>
                <w:sz w:val="14"/>
                <w:szCs w:val="14"/>
                <w:lang w:val="es-ES"/>
              </w:rPr>
            </w:pPr>
            <w:r w:rsidRPr="005B1077">
              <w:rPr>
                <w:rFonts w:ascii="Lucida Bright" w:hAnsi="Lucida Bright" w:cs="Calibri"/>
                <w:b/>
                <w:bCs/>
                <w:sz w:val="14"/>
                <w:szCs w:val="14"/>
                <w:lang w:val="es-ES"/>
              </w:rPr>
              <w:t> </w:t>
            </w:r>
          </w:p>
        </w:tc>
        <w:tc>
          <w:tcPr>
            <w:tcW w:w="1660" w:type="dxa"/>
            <w:gridSpan w:val="2"/>
            <w:tcBorders>
              <w:top w:val="nil"/>
              <w:left w:val="nil"/>
              <w:bottom w:val="nil"/>
              <w:right w:val="single" w:sz="4" w:space="0" w:color="auto"/>
            </w:tcBorders>
            <w:shd w:val="clear" w:color="auto" w:fill="auto"/>
            <w:noWrap/>
            <w:vAlign w:val="center"/>
            <w:hideMark/>
          </w:tcPr>
          <w:p w:rsidR="005B1077" w:rsidRPr="005B1077" w:rsidRDefault="005B1077" w:rsidP="005B1077">
            <w:pPr>
              <w:rPr>
                <w:rFonts w:ascii="Lucida Bright" w:hAnsi="Lucida Bright" w:cs="Calibri"/>
                <w:b/>
                <w:bCs/>
                <w:sz w:val="14"/>
                <w:szCs w:val="14"/>
                <w:lang w:val="es-ES"/>
              </w:rPr>
            </w:pPr>
            <w:r w:rsidRPr="005B1077">
              <w:rPr>
                <w:rFonts w:ascii="Lucida Bright" w:hAnsi="Lucida Bright" w:cs="Calibri"/>
                <w:b/>
                <w:bCs/>
                <w:sz w:val="14"/>
                <w:szCs w:val="14"/>
                <w:lang w:val="es-ES"/>
              </w:rPr>
              <w:t> </w:t>
            </w:r>
          </w:p>
        </w:tc>
        <w:tc>
          <w:tcPr>
            <w:tcW w:w="1660" w:type="dxa"/>
            <w:gridSpan w:val="2"/>
            <w:tcBorders>
              <w:top w:val="nil"/>
              <w:left w:val="nil"/>
              <w:bottom w:val="nil"/>
              <w:right w:val="single" w:sz="4" w:space="0" w:color="auto"/>
            </w:tcBorders>
            <w:shd w:val="clear" w:color="auto" w:fill="auto"/>
            <w:noWrap/>
            <w:vAlign w:val="center"/>
            <w:hideMark/>
          </w:tcPr>
          <w:p w:rsidR="005B1077" w:rsidRPr="005B1077" w:rsidRDefault="005B1077" w:rsidP="005B1077">
            <w:pPr>
              <w:rPr>
                <w:rFonts w:ascii="Lucida Bright" w:hAnsi="Lucida Bright" w:cs="Calibri"/>
                <w:b/>
                <w:bCs/>
                <w:sz w:val="14"/>
                <w:szCs w:val="14"/>
                <w:lang w:val="es-ES"/>
              </w:rPr>
            </w:pPr>
            <w:r w:rsidRPr="005B1077">
              <w:rPr>
                <w:rFonts w:ascii="Lucida Bright" w:hAnsi="Lucida Bright" w:cs="Calibri"/>
                <w:b/>
                <w:bCs/>
                <w:sz w:val="14"/>
                <w:szCs w:val="14"/>
                <w:lang w:val="es-ES"/>
              </w:rPr>
              <w:t> </w:t>
            </w:r>
          </w:p>
        </w:tc>
      </w:tr>
      <w:tr w:rsidR="005B1077" w:rsidRPr="005B1077" w:rsidTr="005B1077">
        <w:trPr>
          <w:gridAfter w:val="1"/>
          <w:wAfter w:w="48" w:type="dxa"/>
          <w:trHeight w:val="300"/>
        </w:trPr>
        <w:tc>
          <w:tcPr>
            <w:tcW w:w="4380" w:type="dxa"/>
            <w:tcBorders>
              <w:top w:val="nil"/>
              <w:left w:val="single" w:sz="4" w:space="0" w:color="auto"/>
              <w:bottom w:val="single" w:sz="4" w:space="0" w:color="auto"/>
              <w:right w:val="single" w:sz="4" w:space="0" w:color="auto"/>
            </w:tcBorders>
            <w:shd w:val="clear" w:color="000000" w:fill="CCFFCC"/>
            <w:noWrap/>
            <w:vAlign w:val="bottom"/>
            <w:hideMark/>
          </w:tcPr>
          <w:p w:rsidR="005B1077" w:rsidRPr="005B1077" w:rsidRDefault="005B1077" w:rsidP="005B1077">
            <w:pPr>
              <w:rPr>
                <w:rFonts w:ascii="Lucida Bright" w:hAnsi="Lucida Bright" w:cs="Calibri"/>
                <w:b/>
                <w:bCs/>
                <w:color w:val="000000"/>
                <w:sz w:val="14"/>
                <w:szCs w:val="14"/>
                <w:lang w:val="es-ES"/>
              </w:rPr>
            </w:pPr>
            <w:r w:rsidRPr="005B1077">
              <w:rPr>
                <w:rFonts w:ascii="Lucida Bright" w:hAnsi="Lucida Bright" w:cs="Calibri"/>
                <w:b/>
                <w:bCs/>
                <w:color w:val="000000"/>
                <w:sz w:val="14"/>
                <w:szCs w:val="14"/>
                <w:lang w:val="es-ES"/>
              </w:rPr>
              <w:t xml:space="preserve">  A.4. RESULTADO DEL EJERCICIO (A.3+17)</w:t>
            </w:r>
          </w:p>
        </w:tc>
        <w:tc>
          <w:tcPr>
            <w:tcW w:w="1660" w:type="dxa"/>
            <w:gridSpan w:val="2"/>
            <w:tcBorders>
              <w:top w:val="nil"/>
              <w:left w:val="nil"/>
              <w:bottom w:val="single" w:sz="4" w:space="0" w:color="auto"/>
              <w:right w:val="single" w:sz="4" w:space="0" w:color="auto"/>
            </w:tcBorders>
            <w:shd w:val="clear" w:color="000000" w:fill="CCFFCC"/>
            <w:noWrap/>
            <w:vAlign w:val="bottom"/>
            <w:hideMark/>
          </w:tcPr>
          <w:p w:rsidR="005B1077" w:rsidRPr="005B1077" w:rsidRDefault="005B1077" w:rsidP="005B1077">
            <w:pPr>
              <w:jc w:val="right"/>
              <w:rPr>
                <w:rFonts w:ascii="Lucida Bright" w:hAnsi="Lucida Bright" w:cs="Calibri"/>
                <w:b/>
                <w:bCs/>
                <w:color w:val="000000"/>
                <w:sz w:val="14"/>
                <w:szCs w:val="14"/>
                <w:lang w:val="es-ES"/>
              </w:rPr>
            </w:pPr>
            <w:r w:rsidRPr="005B1077">
              <w:rPr>
                <w:rFonts w:ascii="Lucida Bright" w:hAnsi="Lucida Bright" w:cs="Calibri"/>
                <w:b/>
                <w:bCs/>
                <w:color w:val="000000"/>
                <w:sz w:val="14"/>
                <w:szCs w:val="14"/>
                <w:lang w:val="es-ES"/>
              </w:rPr>
              <w:t xml:space="preserve">-  </w:t>
            </w:r>
          </w:p>
        </w:tc>
        <w:tc>
          <w:tcPr>
            <w:tcW w:w="1660" w:type="dxa"/>
            <w:gridSpan w:val="2"/>
            <w:tcBorders>
              <w:top w:val="nil"/>
              <w:left w:val="nil"/>
              <w:bottom w:val="single" w:sz="4" w:space="0" w:color="auto"/>
              <w:right w:val="single" w:sz="4" w:space="0" w:color="auto"/>
            </w:tcBorders>
            <w:shd w:val="clear" w:color="000000" w:fill="CCFFCC"/>
            <w:noWrap/>
            <w:vAlign w:val="bottom"/>
            <w:hideMark/>
          </w:tcPr>
          <w:p w:rsidR="005B1077" w:rsidRPr="005B1077" w:rsidRDefault="005B1077" w:rsidP="005B1077">
            <w:pPr>
              <w:jc w:val="right"/>
              <w:rPr>
                <w:rFonts w:ascii="Lucida Bright" w:hAnsi="Lucida Bright" w:cs="Calibri"/>
                <w:b/>
                <w:bCs/>
                <w:color w:val="000000"/>
                <w:sz w:val="14"/>
                <w:szCs w:val="14"/>
                <w:lang w:val="es-ES"/>
              </w:rPr>
            </w:pPr>
            <w:r w:rsidRPr="005B1077">
              <w:rPr>
                <w:rFonts w:ascii="Lucida Bright" w:hAnsi="Lucida Bright" w:cs="Calibri"/>
                <w:b/>
                <w:bCs/>
                <w:color w:val="000000"/>
                <w:sz w:val="14"/>
                <w:szCs w:val="14"/>
                <w:lang w:val="es-ES"/>
              </w:rPr>
              <w:t xml:space="preserve">3.812,07  </w:t>
            </w:r>
          </w:p>
        </w:tc>
      </w:tr>
    </w:tbl>
    <w:p w:rsidR="005B1077" w:rsidRDefault="005B1077" w:rsidP="00F333F2">
      <w:pPr>
        <w:pStyle w:val="Prrafodelista"/>
        <w:spacing w:before="100" w:after="100"/>
        <w:ind w:left="646"/>
        <w:jc w:val="both"/>
        <w:rPr>
          <w:rFonts w:ascii="NewBaskerville" w:hAnsi="NewBaskerville"/>
        </w:rPr>
      </w:pPr>
    </w:p>
    <w:tbl>
      <w:tblPr>
        <w:tblW w:w="7700" w:type="dxa"/>
        <w:tblInd w:w="70" w:type="dxa"/>
        <w:tblCellMar>
          <w:left w:w="70" w:type="dxa"/>
          <w:right w:w="70" w:type="dxa"/>
        </w:tblCellMar>
        <w:tblLook w:val="04A0" w:firstRow="1" w:lastRow="0" w:firstColumn="1" w:lastColumn="0" w:noHBand="0" w:noVBand="1"/>
      </w:tblPr>
      <w:tblGrid>
        <w:gridCol w:w="4380"/>
        <w:gridCol w:w="1660"/>
        <w:gridCol w:w="1660"/>
      </w:tblGrid>
      <w:tr w:rsidR="005B1077" w:rsidRPr="005B1077" w:rsidTr="005B1077">
        <w:trPr>
          <w:trHeight w:val="300"/>
        </w:trPr>
        <w:tc>
          <w:tcPr>
            <w:tcW w:w="7700" w:type="dxa"/>
            <w:gridSpan w:val="3"/>
            <w:vMerge w:val="restart"/>
            <w:tcBorders>
              <w:top w:val="nil"/>
              <w:left w:val="nil"/>
              <w:bottom w:val="single" w:sz="4" w:space="0" w:color="000000"/>
              <w:right w:val="nil"/>
            </w:tcBorders>
            <w:shd w:val="clear" w:color="000000" w:fill="FFFFFF"/>
            <w:vAlign w:val="bottom"/>
            <w:hideMark/>
          </w:tcPr>
          <w:p w:rsidR="005B1077" w:rsidRPr="005B1077" w:rsidRDefault="005B1077" w:rsidP="005B1077">
            <w:pPr>
              <w:rPr>
                <w:rFonts w:ascii="Lucida Bright" w:hAnsi="Lucida Bright" w:cs="Calibri"/>
                <w:b/>
                <w:bCs/>
                <w:lang w:val="es-ES"/>
              </w:rPr>
            </w:pPr>
            <w:r w:rsidRPr="005B1077">
              <w:rPr>
                <w:rFonts w:ascii="Lucida Bright" w:hAnsi="Lucida Bright" w:cs="Calibri"/>
                <w:b/>
                <w:bCs/>
                <w:lang w:val="es-ES"/>
              </w:rPr>
              <w:t xml:space="preserve">Estado de flujos de efectivo correspondiente al ejercicio terminado el       31-12-23  </w:t>
            </w:r>
            <w:r w:rsidRPr="005B1077">
              <w:rPr>
                <w:rFonts w:ascii="Lucida Bright" w:hAnsi="Lucida Bright" w:cs="Calibri"/>
                <w:sz w:val="14"/>
                <w:szCs w:val="14"/>
                <w:lang w:val="es-ES"/>
              </w:rPr>
              <w:t>(en euros)</w:t>
            </w:r>
          </w:p>
        </w:tc>
      </w:tr>
      <w:tr w:rsidR="005B1077" w:rsidRPr="005B1077" w:rsidTr="005B1077">
        <w:trPr>
          <w:trHeight w:val="300"/>
        </w:trPr>
        <w:tc>
          <w:tcPr>
            <w:tcW w:w="7700" w:type="dxa"/>
            <w:gridSpan w:val="3"/>
            <w:vMerge/>
            <w:tcBorders>
              <w:top w:val="nil"/>
              <w:left w:val="nil"/>
              <w:bottom w:val="single" w:sz="4" w:space="0" w:color="000000"/>
              <w:right w:val="nil"/>
            </w:tcBorders>
            <w:vAlign w:val="center"/>
            <w:hideMark/>
          </w:tcPr>
          <w:p w:rsidR="005B1077" w:rsidRPr="005B1077" w:rsidRDefault="005B1077" w:rsidP="005B1077">
            <w:pPr>
              <w:rPr>
                <w:rFonts w:ascii="Lucida Bright" w:hAnsi="Lucida Bright" w:cs="Calibri"/>
                <w:b/>
                <w:bCs/>
                <w:lang w:val="es-ES"/>
              </w:rPr>
            </w:pPr>
          </w:p>
        </w:tc>
      </w:tr>
      <w:tr w:rsidR="005B1077" w:rsidRPr="005B1077" w:rsidTr="005B1077">
        <w:trPr>
          <w:trHeight w:val="300"/>
        </w:trPr>
        <w:tc>
          <w:tcPr>
            <w:tcW w:w="4380" w:type="dxa"/>
            <w:tcBorders>
              <w:top w:val="nil"/>
              <w:left w:val="single" w:sz="4" w:space="0" w:color="auto"/>
              <w:bottom w:val="single" w:sz="4" w:space="0" w:color="auto"/>
              <w:right w:val="nil"/>
            </w:tcBorders>
            <w:shd w:val="clear" w:color="000000" w:fill="CCFFCC"/>
            <w:noWrap/>
            <w:vAlign w:val="center"/>
            <w:hideMark/>
          </w:tcPr>
          <w:p w:rsidR="005B1077" w:rsidRPr="005B1077" w:rsidRDefault="005B1077" w:rsidP="005B1077">
            <w:pPr>
              <w:jc w:val="center"/>
              <w:rPr>
                <w:rFonts w:ascii="Lucida Bright" w:hAnsi="Lucida Bright" w:cs="Calibri"/>
                <w:b/>
                <w:bCs/>
                <w:sz w:val="14"/>
                <w:szCs w:val="14"/>
                <w:lang w:val="es-ES"/>
              </w:rPr>
            </w:pPr>
            <w:r w:rsidRPr="005B1077">
              <w:rPr>
                <w:rFonts w:ascii="Lucida Bright" w:hAnsi="Lucida Bright" w:cs="Calibri"/>
                <w:b/>
                <w:bCs/>
                <w:sz w:val="14"/>
                <w:szCs w:val="14"/>
                <w:lang w:val="es-ES"/>
              </w:rPr>
              <w:t>CONCEPTO</w:t>
            </w:r>
          </w:p>
        </w:tc>
        <w:tc>
          <w:tcPr>
            <w:tcW w:w="1660" w:type="dxa"/>
            <w:tcBorders>
              <w:top w:val="nil"/>
              <w:left w:val="single" w:sz="4" w:space="0" w:color="auto"/>
              <w:bottom w:val="single" w:sz="4" w:space="0" w:color="auto"/>
              <w:right w:val="single" w:sz="4" w:space="0" w:color="auto"/>
            </w:tcBorders>
            <w:shd w:val="clear" w:color="000000" w:fill="CCFFCC"/>
            <w:vAlign w:val="center"/>
            <w:hideMark/>
          </w:tcPr>
          <w:p w:rsidR="005B1077" w:rsidRPr="005B1077" w:rsidRDefault="005B1077" w:rsidP="005B1077">
            <w:pPr>
              <w:jc w:val="center"/>
              <w:rPr>
                <w:rFonts w:ascii="Lucida Bright" w:hAnsi="Lucida Bright" w:cs="Calibri"/>
                <w:b/>
                <w:bCs/>
                <w:sz w:val="16"/>
                <w:szCs w:val="16"/>
                <w:lang w:val="es-ES"/>
              </w:rPr>
            </w:pPr>
            <w:r w:rsidRPr="005B1077">
              <w:rPr>
                <w:rFonts w:ascii="Lucida Bright" w:hAnsi="Lucida Bright" w:cs="Calibri"/>
                <w:b/>
                <w:bCs/>
                <w:sz w:val="16"/>
                <w:szCs w:val="16"/>
                <w:lang w:val="es-ES"/>
              </w:rPr>
              <w:t>2023</w:t>
            </w:r>
          </w:p>
        </w:tc>
        <w:tc>
          <w:tcPr>
            <w:tcW w:w="1660" w:type="dxa"/>
            <w:tcBorders>
              <w:top w:val="nil"/>
              <w:left w:val="nil"/>
              <w:bottom w:val="single" w:sz="4" w:space="0" w:color="auto"/>
              <w:right w:val="single" w:sz="4" w:space="0" w:color="auto"/>
            </w:tcBorders>
            <w:shd w:val="clear" w:color="000000" w:fill="CCFFCC"/>
            <w:vAlign w:val="center"/>
            <w:hideMark/>
          </w:tcPr>
          <w:p w:rsidR="005B1077" w:rsidRPr="005B1077" w:rsidRDefault="005B1077" w:rsidP="005B1077">
            <w:pPr>
              <w:jc w:val="center"/>
              <w:rPr>
                <w:rFonts w:ascii="Lucida Bright" w:hAnsi="Lucida Bright" w:cs="Calibri"/>
                <w:b/>
                <w:bCs/>
                <w:sz w:val="16"/>
                <w:szCs w:val="16"/>
                <w:lang w:val="es-ES"/>
              </w:rPr>
            </w:pPr>
            <w:r w:rsidRPr="005B1077">
              <w:rPr>
                <w:rFonts w:ascii="Lucida Bright" w:hAnsi="Lucida Bright" w:cs="Calibri"/>
                <w:b/>
                <w:bCs/>
                <w:sz w:val="16"/>
                <w:szCs w:val="16"/>
                <w:lang w:val="es-ES"/>
              </w:rPr>
              <w:t>2022</w:t>
            </w:r>
          </w:p>
        </w:tc>
      </w:tr>
      <w:tr w:rsidR="005B1077" w:rsidRPr="005B1077" w:rsidTr="005B1077">
        <w:trPr>
          <w:trHeight w:val="360"/>
        </w:trPr>
        <w:tc>
          <w:tcPr>
            <w:tcW w:w="4380" w:type="dxa"/>
            <w:tcBorders>
              <w:top w:val="nil"/>
              <w:left w:val="single" w:sz="4" w:space="0" w:color="auto"/>
              <w:bottom w:val="nil"/>
              <w:right w:val="nil"/>
            </w:tcBorders>
            <w:shd w:val="clear" w:color="000000" w:fill="CCFFCC"/>
            <w:vAlign w:val="center"/>
            <w:hideMark/>
          </w:tcPr>
          <w:p w:rsidR="005B1077" w:rsidRPr="005B1077" w:rsidRDefault="005B1077" w:rsidP="005B1077">
            <w:pPr>
              <w:rPr>
                <w:rFonts w:ascii="Lucida Bright" w:hAnsi="Lucida Bright" w:cs="Calibri"/>
                <w:b/>
                <w:bCs/>
                <w:sz w:val="14"/>
                <w:szCs w:val="14"/>
                <w:lang w:val="es-ES"/>
              </w:rPr>
            </w:pPr>
            <w:r w:rsidRPr="005B1077">
              <w:rPr>
                <w:rFonts w:ascii="Lucida Bright" w:hAnsi="Lucida Bright" w:cs="Calibri"/>
                <w:b/>
                <w:bCs/>
                <w:sz w:val="14"/>
                <w:szCs w:val="14"/>
                <w:lang w:val="es-ES"/>
              </w:rPr>
              <w:t xml:space="preserve"> A) FLUJOS DE EFECTIVO DE LAS ACTIVIDADES DE EXPLOTACIÓN (+/-1+/-2+/-3+/-4)</w:t>
            </w:r>
          </w:p>
        </w:tc>
        <w:tc>
          <w:tcPr>
            <w:tcW w:w="1660" w:type="dxa"/>
            <w:tcBorders>
              <w:top w:val="nil"/>
              <w:left w:val="single" w:sz="4" w:space="0" w:color="auto"/>
              <w:bottom w:val="nil"/>
              <w:right w:val="single" w:sz="4" w:space="0" w:color="auto"/>
            </w:tcBorders>
            <w:shd w:val="clear" w:color="000000" w:fill="CCFFCC"/>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  </w:t>
            </w:r>
          </w:p>
        </w:tc>
        <w:tc>
          <w:tcPr>
            <w:tcW w:w="1660" w:type="dxa"/>
            <w:tcBorders>
              <w:top w:val="nil"/>
              <w:left w:val="nil"/>
              <w:bottom w:val="nil"/>
              <w:right w:val="single" w:sz="4" w:space="0" w:color="auto"/>
            </w:tcBorders>
            <w:shd w:val="clear" w:color="000000" w:fill="CCFFCC"/>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  </w:t>
            </w:r>
          </w:p>
        </w:tc>
      </w:tr>
      <w:tr w:rsidR="005B1077" w:rsidRPr="005B1077" w:rsidTr="005B1077">
        <w:trPr>
          <w:trHeight w:val="300"/>
        </w:trPr>
        <w:tc>
          <w:tcPr>
            <w:tcW w:w="4380" w:type="dxa"/>
            <w:tcBorders>
              <w:top w:val="nil"/>
              <w:left w:val="single" w:sz="4" w:space="0" w:color="auto"/>
              <w:bottom w:val="nil"/>
              <w:right w:val="nil"/>
            </w:tcBorders>
            <w:shd w:val="clear" w:color="auto" w:fill="auto"/>
            <w:noWrap/>
            <w:vAlign w:val="center"/>
            <w:hideMark/>
          </w:tcPr>
          <w:p w:rsidR="005B1077" w:rsidRPr="005B1077" w:rsidRDefault="005B1077" w:rsidP="005B1077">
            <w:pPr>
              <w:rPr>
                <w:rFonts w:ascii="Lucida Bright" w:hAnsi="Lucida Bright" w:cs="Calibri"/>
                <w:b/>
                <w:bCs/>
                <w:sz w:val="14"/>
                <w:szCs w:val="14"/>
                <w:lang w:val="es-ES"/>
              </w:rPr>
            </w:pPr>
            <w:r w:rsidRPr="005B1077">
              <w:rPr>
                <w:rFonts w:ascii="Lucida Bright" w:hAnsi="Lucida Bright" w:cs="Calibri"/>
                <w:b/>
                <w:bCs/>
                <w:sz w:val="14"/>
                <w:szCs w:val="14"/>
                <w:lang w:val="es-ES"/>
              </w:rPr>
              <w:t xml:space="preserve">      1. Resultado del ejercicio antes de impuestos</w:t>
            </w:r>
          </w:p>
        </w:tc>
        <w:tc>
          <w:tcPr>
            <w:tcW w:w="1660" w:type="dxa"/>
            <w:tcBorders>
              <w:top w:val="nil"/>
              <w:left w:val="single" w:sz="4" w:space="0" w:color="auto"/>
              <w:bottom w:val="nil"/>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  </w:t>
            </w:r>
          </w:p>
        </w:tc>
        <w:tc>
          <w:tcPr>
            <w:tcW w:w="1660" w:type="dxa"/>
            <w:tcBorders>
              <w:top w:val="nil"/>
              <w:left w:val="nil"/>
              <w:bottom w:val="nil"/>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3.812,07  </w:t>
            </w:r>
          </w:p>
        </w:tc>
      </w:tr>
      <w:tr w:rsidR="005B1077" w:rsidRPr="005B1077" w:rsidTr="005B1077">
        <w:trPr>
          <w:trHeight w:val="300"/>
        </w:trPr>
        <w:tc>
          <w:tcPr>
            <w:tcW w:w="4380" w:type="dxa"/>
            <w:tcBorders>
              <w:top w:val="nil"/>
              <w:left w:val="single" w:sz="4" w:space="0" w:color="auto"/>
              <w:bottom w:val="nil"/>
              <w:right w:val="nil"/>
            </w:tcBorders>
            <w:shd w:val="clear" w:color="auto" w:fill="auto"/>
            <w:noWrap/>
            <w:vAlign w:val="center"/>
            <w:hideMark/>
          </w:tcPr>
          <w:p w:rsidR="005B1077" w:rsidRPr="005B1077" w:rsidRDefault="005B1077" w:rsidP="005B1077">
            <w:pPr>
              <w:rPr>
                <w:rFonts w:ascii="Lucida Bright" w:hAnsi="Lucida Bright" w:cs="Calibri"/>
                <w:b/>
                <w:bCs/>
                <w:sz w:val="14"/>
                <w:szCs w:val="14"/>
                <w:lang w:val="es-ES"/>
              </w:rPr>
            </w:pPr>
            <w:r w:rsidRPr="005B1077">
              <w:rPr>
                <w:rFonts w:ascii="Lucida Bright" w:hAnsi="Lucida Bright" w:cs="Calibri"/>
                <w:b/>
                <w:bCs/>
                <w:sz w:val="14"/>
                <w:szCs w:val="14"/>
                <w:lang w:val="es-ES"/>
              </w:rPr>
              <w:t xml:space="preserve">      2. Ajustes del resultado</w:t>
            </w:r>
          </w:p>
        </w:tc>
        <w:tc>
          <w:tcPr>
            <w:tcW w:w="1660" w:type="dxa"/>
            <w:tcBorders>
              <w:top w:val="nil"/>
              <w:left w:val="single" w:sz="4" w:space="0" w:color="auto"/>
              <w:bottom w:val="nil"/>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  </w:t>
            </w:r>
          </w:p>
        </w:tc>
        <w:tc>
          <w:tcPr>
            <w:tcW w:w="1660" w:type="dxa"/>
            <w:tcBorders>
              <w:top w:val="nil"/>
              <w:left w:val="nil"/>
              <w:bottom w:val="nil"/>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(28.792,88)  </w:t>
            </w:r>
          </w:p>
        </w:tc>
      </w:tr>
      <w:tr w:rsidR="005B1077" w:rsidRPr="005B1077" w:rsidTr="005B1077">
        <w:trPr>
          <w:trHeight w:val="300"/>
        </w:trPr>
        <w:tc>
          <w:tcPr>
            <w:tcW w:w="4380" w:type="dxa"/>
            <w:tcBorders>
              <w:top w:val="nil"/>
              <w:left w:val="single" w:sz="4" w:space="0" w:color="auto"/>
              <w:bottom w:val="nil"/>
              <w:right w:val="nil"/>
            </w:tcBorders>
            <w:shd w:val="clear" w:color="auto" w:fill="auto"/>
            <w:noWrap/>
            <w:vAlign w:val="center"/>
            <w:hideMark/>
          </w:tcPr>
          <w:p w:rsidR="005B1077" w:rsidRPr="005B1077" w:rsidRDefault="005B1077" w:rsidP="005B1077">
            <w:pPr>
              <w:rPr>
                <w:rFonts w:ascii="Lucida Bright" w:hAnsi="Lucida Bright" w:cs="Calibri"/>
                <w:sz w:val="14"/>
                <w:szCs w:val="14"/>
                <w:lang w:val="es-ES"/>
              </w:rPr>
            </w:pPr>
            <w:r w:rsidRPr="005B1077">
              <w:rPr>
                <w:rFonts w:ascii="Lucida Bright" w:hAnsi="Lucida Bright" w:cs="Calibri"/>
                <w:sz w:val="14"/>
                <w:szCs w:val="14"/>
                <w:lang w:val="es-ES"/>
              </w:rPr>
              <w:t xml:space="preserve">         l) Otros ingresos y gastos (+/-)</w:t>
            </w:r>
          </w:p>
        </w:tc>
        <w:tc>
          <w:tcPr>
            <w:tcW w:w="1660" w:type="dxa"/>
            <w:tcBorders>
              <w:top w:val="nil"/>
              <w:left w:val="single" w:sz="4" w:space="0" w:color="auto"/>
              <w:bottom w:val="nil"/>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sz w:val="14"/>
                <w:szCs w:val="14"/>
                <w:lang w:val="es-ES"/>
              </w:rPr>
            </w:pPr>
            <w:r w:rsidRPr="005B1077">
              <w:rPr>
                <w:rFonts w:ascii="Lucida Bright" w:hAnsi="Lucida Bright" w:cs="Calibri"/>
                <w:sz w:val="14"/>
                <w:szCs w:val="14"/>
                <w:lang w:val="es-ES"/>
              </w:rPr>
              <w:t xml:space="preserve">-  </w:t>
            </w:r>
          </w:p>
        </w:tc>
        <w:tc>
          <w:tcPr>
            <w:tcW w:w="1660" w:type="dxa"/>
            <w:tcBorders>
              <w:top w:val="nil"/>
              <w:left w:val="nil"/>
              <w:bottom w:val="nil"/>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sz w:val="14"/>
                <w:szCs w:val="14"/>
                <w:lang w:val="es-ES"/>
              </w:rPr>
            </w:pPr>
            <w:r w:rsidRPr="005B1077">
              <w:rPr>
                <w:rFonts w:ascii="Lucida Bright" w:hAnsi="Lucida Bright" w:cs="Calibri"/>
                <w:sz w:val="14"/>
                <w:szCs w:val="14"/>
                <w:lang w:val="es-ES"/>
              </w:rPr>
              <w:t xml:space="preserve">(28.792,88)  </w:t>
            </w:r>
          </w:p>
        </w:tc>
      </w:tr>
      <w:tr w:rsidR="005B1077" w:rsidRPr="005B1077" w:rsidTr="005B1077">
        <w:trPr>
          <w:trHeight w:val="300"/>
        </w:trPr>
        <w:tc>
          <w:tcPr>
            <w:tcW w:w="4380" w:type="dxa"/>
            <w:tcBorders>
              <w:top w:val="nil"/>
              <w:left w:val="single" w:sz="4" w:space="0" w:color="auto"/>
              <w:bottom w:val="nil"/>
              <w:right w:val="nil"/>
            </w:tcBorders>
            <w:shd w:val="clear" w:color="auto" w:fill="auto"/>
            <w:noWrap/>
            <w:vAlign w:val="center"/>
            <w:hideMark/>
          </w:tcPr>
          <w:p w:rsidR="005B1077" w:rsidRPr="005B1077" w:rsidRDefault="005B1077" w:rsidP="005B1077">
            <w:pPr>
              <w:rPr>
                <w:rFonts w:ascii="Lucida Bright" w:hAnsi="Lucida Bright" w:cs="Calibri"/>
                <w:b/>
                <w:bCs/>
                <w:sz w:val="14"/>
                <w:szCs w:val="14"/>
                <w:lang w:val="es-ES"/>
              </w:rPr>
            </w:pPr>
            <w:r w:rsidRPr="005B1077">
              <w:rPr>
                <w:rFonts w:ascii="Lucida Bright" w:hAnsi="Lucida Bright" w:cs="Calibri"/>
                <w:b/>
                <w:bCs/>
                <w:sz w:val="14"/>
                <w:szCs w:val="14"/>
                <w:lang w:val="es-ES"/>
              </w:rPr>
              <w:t xml:space="preserve">      3. Cambios en el capital corriente</w:t>
            </w:r>
          </w:p>
        </w:tc>
        <w:tc>
          <w:tcPr>
            <w:tcW w:w="1660" w:type="dxa"/>
            <w:tcBorders>
              <w:top w:val="nil"/>
              <w:left w:val="single" w:sz="4" w:space="0" w:color="auto"/>
              <w:bottom w:val="nil"/>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  </w:t>
            </w:r>
          </w:p>
        </w:tc>
        <w:tc>
          <w:tcPr>
            <w:tcW w:w="1660" w:type="dxa"/>
            <w:tcBorders>
              <w:top w:val="nil"/>
              <w:left w:val="nil"/>
              <w:bottom w:val="nil"/>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(3.812,07)  </w:t>
            </w:r>
          </w:p>
        </w:tc>
      </w:tr>
      <w:tr w:rsidR="005B1077" w:rsidRPr="005B1077" w:rsidTr="005B1077">
        <w:trPr>
          <w:trHeight w:val="300"/>
        </w:trPr>
        <w:tc>
          <w:tcPr>
            <w:tcW w:w="4380" w:type="dxa"/>
            <w:tcBorders>
              <w:top w:val="nil"/>
              <w:left w:val="single" w:sz="4" w:space="0" w:color="auto"/>
              <w:bottom w:val="nil"/>
              <w:right w:val="nil"/>
            </w:tcBorders>
            <w:shd w:val="clear" w:color="auto" w:fill="auto"/>
            <w:noWrap/>
            <w:vAlign w:val="center"/>
            <w:hideMark/>
          </w:tcPr>
          <w:p w:rsidR="005B1077" w:rsidRPr="005B1077" w:rsidRDefault="005B1077" w:rsidP="005B1077">
            <w:pPr>
              <w:rPr>
                <w:rFonts w:ascii="Lucida Bright" w:hAnsi="Lucida Bright" w:cs="Calibri"/>
                <w:sz w:val="14"/>
                <w:szCs w:val="14"/>
                <w:lang w:val="es-ES"/>
              </w:rPr>
            </w:pPr>
            <w:r w:rsidRPr="005B1077">
              <w:rPr>
                <w:rFonts w:ascii="Lucida Bright" w:hAnsi="Lucida Bright" w:cs="Calibri"/>
                <w:sz w:val="14"/>
                <w:szCs w:val="14"/>
                <w:lang w:val="es-ES"/>
              </w:rPr>
              <w:t xml:space="preserve">         e) Otros pasivos corrientes (+/-)</w:t>
            </w:r>
          </w:p>
        </w:tc>
        <w:tc>
          <w:tcPr>
            <w:tcW w:w="1660" w:type="dxa"/>
            <w:tcBorders>
              <w:top w:val="nil"/>
              <w:left w:val="single" w:sz="4" w:space="0" w:color="auto"/>
              <w:bottom w:val="nil"/>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sz w:val="14"/>
                <w:szCs w:val="14"/>
                <w:lang w:val="es-ES"/>
              </w:rPr>
            </w:pPr>
            <w:r w:rsidRPr="005B1077">
              <w:rPr>
                <w:rFonts w:ascii="Lucida Bright" w:hAnsi="Lucida Bright" w:cs="Calibri"/>
                <w:sz w:val="14"/>
                <w:szCs w:val="14"/>
                <w:lang w:val="es-ES"/>
              </w:rPr>
              <w:t xml:space="preserve">-  </w:t>
            </w:r>
          </w:p>
        </w:tc>
        <w:tc>
          <w:tcPr>
            <w:tcW w:w="1660" w:type="dxa"/>
            <w:tcBorders>
              <w:top w:val="nil"/>
              <w:left w:val="nil"/>
              <w:bottom w:val="nil"/>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sz w:val="14"/>
                <w:szCs w:val="14"/>
                <w:lang w:val="es-ES"/>
              </w:rPr>
            </w:pPr>
            <w:r w:rsidRPr="005B1077">
              <w:rPr>
                <w:rFonts w:ascii="Lucida Bright" w:hAnsi="Lucida Bright" w:cs="Calibri"/>
                <w:sz w:val="14"/>
                <w:szCs w:val="14"/>
                <w:lang w:val="es-ES"/>
              </w:rPr>
              <w:t xml:space="preserve">(3.812,07)  </w:t>
            </w:r>
          </w:p>
        </w:tc>
      </w:tr>
      <w:tr w:rsidR="005B1077" w:rsidRPr="005B1077" w:rsidTr="005B1077">
        <w:trPr>
          <w:trHeight w:val="360"/>
        </w:trPr>
        <w:tc>
          <w:tcPr>
            <w:tcW w:w="4380" w:type="dxa"/>
            <w:tcBorders>
              <w:top w:val="nil"/>
              <w:left w:val="single" w:sz="4" w:space="0" w:color="auto"/>
              <w:bottom w:val="nil"/>
              <w:right w:val="nil"/>
            </w:tcBorders>
            <w:shd w:val="clear" w:color="auto" w:fill="auto"/>
            <w:vAlign w:val="center"/>
            <w:hideMark/>
          </w:tcPr>
          <w:p w:rsidR="005B1077" w:rsidRPr="005B1077" w:rsidRDefault="005B1077" w:rsidP="005B1077">
            <w:pPr>
              <w:rPr>
                <w:rFonts w:ascii="Lucida Bright" w:hAnsi="Lucida Bright" w:cs="Calibri"/>
                <w:b/>
                <w:bCs/>
                <w:sz w:val="14"/>
                <w:szCs w:val="14"/>
                <w:lang w:val="es-ES"/>
              </w:rPr>
            </w:pPr>
            <w:r w:rsidRPr="005B1077">
              <w:rPr>
                <w:rFonts w:ascii="Lucida Bright" w:hAnsi="Lucida Bright" w:cs="Calibri"/>
                <w:b/>
                <w:bCs/>
                <w:sz w:val="14"/>
                <w:szCs w:val="14"/>
                <w:lang w:val="es-ES"/>
              </w:rPr>
              <w:t xml:space="preserve">      4. Otros flujos de efectivo de las actividades de explotación</w:t>
            </w:r>
          </w:p>
        </w:tc>
        <w:tc>
          <w:tcPr>
            <w:tcW w:w="1660" w:type="dxa"/>
            <w:tcBorders>
              <w:top w:val="nil"/>
              <w:left w:val="single" w:sz="4" w:space="0" w:color="auto"/>
              <w:bottom w:val="nil"/>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  </w:t>
            </w:r>
          </w:p>
        </w:tc>
        <w:tc>
          <w:tcPr>
            <w:tcW w:w="1660" w:type="dxa"/>
            <w:tcBorders>
              <w:top w:val="nil"/>
              <w:left w:val="nil"/>
              <w:bottom w:val="nil"/>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28.792,88  </w:t>
            </w:r>
          </w:p>
        </w:tc>
      </w:tr>
      <w:tr w:rsidR="005B1077" w:rsidRPr="005B1077" w:rsidTr="005B1077">
        <w:trPr>
          <w:trHeight w:val="300"/>
        </w:trPr>
        <w:tc>
          <w:tcPr>
            <w:tcW w:w="4380" w:type="dxa"/>
            <w:tcBorders>
              <w:top w:val="nil"/>
              <w:left w:val="single" w:sz="4" w:space="0" w:color="auto"/>
              <w:bottom w:val="nil"/>
              <w:right w:val="nil"/>
            </w:tcBorders>
            <w:shd w:val="clear" w:color="auto" w:fill="auto"/>
            <w:noWrap/>
            <w:vAlign w:val="center"/>
            <w:hideMark/>
          </w:tcPr>
          <w:p w:rsidR="005B1077" w:rsidRPr="005B1077" w:rsidRDefault="005B1077" w:rsidP="005B1077">
            <w:pPr>
              <w:rPr>
                <w:rFonts w:ascii="Lucida Bright" w:hAnsi="Lucida Bright" w:cs="Calibri"/>
                <w:sz w:val="14"/>
                <w:szCs w:val="14"/>
                <w:lang w:val="es-ES"/>
              </w:rPr>
            </w:pPr>
            <w:r w:rsidRPr="005B1077">
              <w:rPr>
                <w:rFonts w:ascii="Lucida Bright" w:hAnsi="Lucida Bright" w:cs="Calibri"/>
                <w:sz w:val="14"/>
                <w:szCs w:val="14"/>
                <w:lang w:val="es-ES"/>
              </w:rPr>
              <w:t xml:space="preserve">         c) Cobros de intereses (+)</w:t>
            </w:r>
          </w:p>
        </w:tc>
        <w:tc>
          <w:tcPr>
            <w:tcW w:w="1660" w:type="dxa"/>
            <w:tcBorders>
              <w:top w:val="nil"/>
              <w:left w:val="single" w:sz="4" w:space="0" w:color="auto"/>
              <w:bottom w:val="nil"/>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sz w:val="14"/>
                <w:szCs w:val="14"/>
                <w:lang w:val="es-ES"/>
              </w:rPr>
            </w:pPr>
            <w:r w:rsidRPr="005B1077">
              <w:rPr>
                <w:rFonts w:ascii="Lucida Bright" w:hAnsi="Lucida Bright" w:cs="Calibri"/>
                <w:sz w:val="14"/>
                <w:szCs w:val="14"/>
                <w:lang w:val="es-ES"/>
              </w:rPr>
              <w:t xml:space="preserve">-  </w:t>
            </w:r>
          </w:p>
        </w:tc>
        <w:tc>
          <w:tcPr>
            <w:tcW w:w="1660" w:type="dxa"/>
            <w:tcBorders>
              <w:top w:val="nil"/>
              <w:left w:val="nil"/>
              <w:bottom w:val="nil"/>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sz w:val="14"/>
                <w:szCs w:val="14"/>
                <w:lang w:val="es-ES"/>
              </w:rPr>
            </w:pPr>
            <w:r w:rsidRPr="005B1077">
              <w:rPr>
                <w:rFonts w:ascii="Lucida Bright" w:hAnsi="Lucida Bright" w:cs="Calibri"/>
                <w:sz w:val="14"/>
                <w:szCs w:val="14"/>
                <w:lang w:val="es-ES"/>
              </w:rPr>
              <w:t xml:space="preserve">(126.910,77)  </w:t>
            </w:r>
          </w:p>
        </w:tc>
      </w:tr>
      <w:tr w:rsidR="005B1077" w:rsidRPr="005B1077" w:rsidTr="005B1077">
        <w:trPr>
          <w:trHeight w:val="360"/>
        </w:trPr>
        <w:tc>
          <w:tcPr>
            <w:tcW w:w="4380" w:type="dxa"/>
            <w:tcBorders>
              <w:top w:val="nil"/>
              <w:left w:val="single" w:sz="4" w:space="0" w:color="auto"/>
              <w:bottom w:val="nil"/>
              <w:right w:val="nil"/>
            </w:tcBorders>
            <w:shd w:val="clear" w:color="auto" w:fill="auto"/>
            <w:vAlign w:val="center"/>
            <w:hideMark/>
          </w:tcPr>
          <w:p w:rsidR="005B1077" w:rsidRPr="005B1077" w:rsidRDefault="005B1077" w:rsidP="005B1077">
            <w:pPr>
              <w:rPr>
                <w:rFonts w:ascii="Lucida Bright" w:hAnsi="Lucida Bright" w:cs="Calibri"/>
                <w:sz w:val="14"/>
                <w:szCs w:val="14"/>
                <w:lang w:val="es-ES"/>
              </w:rPr>
            </w:pPr>
            <w:r w:rsidRPr="005B1077">
              <w:rPr>
                <w:rFonts w:ascii="Lucida Bright" w:hAnsi="Lucida Bright" w:cs="Calibri"/>
                <w:sz w:val="14"/>
                <w:szCs w:val="14"/>
                <w:lang w:val="es-ES"/>
              </w:rPr>
              <w:t xml:space="preserve">         e) Cobros de OPPE para el pago de principales e intereses de demora por litigios </w:t>
            </w:r>
            <w:proofErr w:type="spellStart"/>
            <w:r w:rsidRPr="005B1077">
              <w:rPr>
                <w:rFonts w:ascii="Lucida Bright" w:hAnsi="Lucida Bright" w:cs="Calibri"/>
                <w:sz w:val="14"/>
                <w:szCs w:val="14"/>
                <w:lang w:val="es-ES"/>
              </w:rPr>
              <w:t>tarif</w:t>
            </w:r>
            <w:proofErr w:type="spellEnd"/>
            <w:r w:rsidRPr="005B1077">
              <w:rPr>
                <w:rFonts w:ascii="Lucida Bright" w:hAnsi="Lucida Bright" w:cs="Calibri"/>
                <w:sz w:val="14"/>
                <w:szCs w:val="14"/>
                <w:lang w:val="es-ES"/>
              </w:rPr>
              <w:t>. (+)</w:t>
            </w:r>
          </w:p>
        </w:tc>
        <w:tc>
          <w:tcPr>
            <w:tcW w:w="1660" w:type="dxa"/>
            <w:tcBorders>
              <w:top w:val="nil"/>
              <w:left w:val="single" w:sz="4" w:space="0" w:color="auto"/>
              <w:bottom w:val="nil"/>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sz w:val="14"/>
                <w:szCs w:val="14"/>
                <w:lang w:val="es-ES"/>
              </w:rPr>
            </w:pPr>
            <w:r w:rsidRPr="005B1077">
              <w:rPr>
                <w:rFonts w:ascii="Lucida Bright" w:hAnsi="Lucida Bright" w:cs="Calibri"/>
                <w:sz w:val="14"/>
                <w:szCs w:val="14"/>
                <w:lang w:val="es-ES"/>
              </w:rPr>
              <w:t xml:space="preserve">-  </w:t>
            </w:r>
          </w:p>
        </w:tc>
        <w:tc>
          <w:tcPr>
            <w:tcW w:w="1660" w:type="dxa"/>
            <w:tcBorders>
              <w:top w:val="nil"/>
              <w:left w:val="nil"/>
              <w:bottom w:val="nil"/>
              <w:right w:val="single" w:sz="4" w:space="0" w:color="auto"/>
            </w:tcBorders>
            <w:shd w:val="clear" w:color="auto" w:fill="auto"/>
            <w:noWrap/>
            <w:vAlign w:val="center"/>
            <w:hideMark/>
          </w:tcPr>
          <w:p w:rsidR="005B1077" w:rsidRPr="005B1077" w:rsidRDefault="005B1077" w:rsidP="005B1077">
            <w:pPr>
              <w:jc w:val="right"/>
              <w:rPr>
                <w:rFonts w:ascii="Lucida Bright" w:hAnsi="Lucida Bright" w:cs="Calibri"/>
                <w:sz w:val="14"/>
                <w:szCs w:val="14"/>
                <w:lang w:val="es-ES"/>
              </w:rPr>
            </w:pPr>
            <w:r w:rsidRPr="005B1077">
              <w:rPr>
                <w:rFonts w:ascii="Lucida Bright" w:hAnsi="Lucida Bright" w:cs="Calibri"/>
                <w:sz w:val="14"/>
                <w:szCs w:val="14"/>
                <w:lang w:val="es-ES"/>
              </w:rPr>
              <w:t xml:space="preserve">155.703,65  </w:t>
            </w:r>
          </w:p>
        </w:tc>
      </w:tr>
      <w:tr w:rsidR="005B1077" w:rsidRPr="005B1077" w:rsidTr="005B1077">
        <w:trPr>
          <w:trHeight w:val="300"/>
        </w:trPr>
        <w:tc>
          <w:tcPr>
            <w:tcW w:w="4380" w:type="dxa"/>
            <w:tcBorders>
              <w:top w:val="nil"/>
              <w:left w:val="single" w:sz="4" w:space="0" w:color="auto"/>
              <w:bottom w:val="nil"/>
              <w:right w:val="nil"/>
            </w:tcBorders>
            <w:shd w:val="clear" w:color="auto" w:fill="auto"/>
            <w:noWrap/>
            <w:vAlign w:val="bottom"/>
            <w:hideMark/>
          </w:tcPr>
          <w:p w:rsidR="005B1077" w:rsidRPr="005B1077" w:rsidRDefault="005B1077" w:rsidP="005B1077">
            <w:pPr>
              <w:rPr>
                <w:rFonts w:ascii="Calibri" w:hAnsi="Calibri" w:cs="Calibri"/>
                <w:color w:val="000000"/>
                <w:sz w:val="22"/>
                <w:szCs w:val="22"/>
                <w:lang w:val="es-ES"/>
              </w:rPr>
            </w:pPr>
            <w:r w:rsidRPr="005B1077">
              <w:rPr>
                <w:rFonts w:ascii="Calibri" w:hAnsi="Calibri" w:cs="Calibri"/>
                <w:color w:val="000000"/>
                <w:sz w:val="22"/>
                <w:szCs w:val="22"/>
                <w:lang w:val="es-ES"/>
              </w:rPr>
              <w:t> </w:t>
            </w:r>
          </w:p>
        </w:tc>
        <w:tc>
          <w:tcPr>
            <w:tcW w:w="1660" w:type="dxa"/>
            <w:tcBorders>
              <w:top w:val="nil"/>
              <w:left w:val="single" w:sz="4" w:space="0" w:color="auto"/>
              <w:bottom w:val="nil"/>
              <w:right w:val="single" w:sz="4" w:space="0" w:color="auto"/>
            </w:tcBorders>
            <w:shd w:val="clear" w:color="auto" w:fill="auto"/>
            <w:noWrap/>
            <w:vAlign w:val="bottom"/>
            <w:hideMark/>
          </w:tcPr>
          <w:p w:rsidR="005B1077" w:rsidRPr="005B1077" w:rsidRDefault="005B1077" w:rsidP="005B1077">
            <w:pPr>
              <w:rPr>
                <w:rFonts w:ascii="Calibri" w:hAnsi="Calibri" w:cs="Calibri"/>
                <w:color w:val="000000"/>
                <w:sz w:val="22"/>
                <w:szCs w:val="22"/>
                <w:lang w:val="es-ES"/>
              </w:rPr>
            </w:pPr>
            <w:r w:rsidRPr="005B1077">
              <w:rPr>
                <w:rFonts w:ascii="Calibri" w:hAnsi="Calibri" w:cs="Calibri"/>
                <w:color w:val="000000"/>
                <w:sz w:val="22"/>
                <w:szCs w:val="22"/>
                <w:lang w:val="es-ES"/>
              </w:rPr>
              <w:t> </w:t>
            </w:r>
          </w:p>
        </w:tc>
        <w:tc>
          <w:tcPr>
            <w:tcW w:w="1660" w:type="dxa"/>
            <w:tcBorders>
              <w:top w:val="nil"/>
              <w:left w:val="nil"/>
              <w:bottom w:val="nil"/>
              <w:right w:val="single" w:sz="4" w:space="0" w:color="auto"/>
            </w:tcBorders>
            <w:shd w:val="clear" w:color="auto" w:fill="auto"/>
            <w:noWrap/>
            <w:vAlign w:val="bottom"/>
            <w:hideMark/>
          </w:tcPr>
          <w:p w:rsidR="005B1077" w:rsidRPr="005B1077" w:rsidRDefault="005B1077" w:rsidP="005B1077">
            <w:pPr>
              <w:rPr>
                <w:rFonts w:ascii="Calibri" w:hAnsi="Calibri" w:cs="Calibri"/>
                <w:color w:val="000000"/>
                <w:sz w:val="22"/>
                <w:szCs w:val="22"/>
                <w:lang w:val="es-ES"/>
              </w:rPr>
            </w:pPr>
            <w:r w:rsidRPr="005B1077">
              <w:rPr>
                <w:rFonts w:ascii="Calibri" w:hAnsi="Calibri" w:cs="Calibri"/>
                <w:color w:val="000000"/>
                <w:sz w:val="22"/>
                <w:szCs w:val="22"/>
                <w:lang w:val="es-ES"/>
              </w:rPr>
              <w:t> </w:t>
            </w:r>
          </w:p>
        </w:tc>
      </w:tr>
      <w:tr w:rsidR="005B1077" w:rsidRPr="005B1077" w:rsidTr="005B1077">
        <w:trPr>
          <w:trHeight w:val="360"/>
        </w:trPr>
        <w:tc>
          <w:tcPr>
            <w:tcW w:w="4380" w:type="dxa"/>
            <w:tcBorders>
              <w:top w:val="nil"/>
              <w:left w:val="single" w:sz="4" w:space="0" w:color="auto"/>
              <w:bottom w:val="single" w:sz="4" w:space="0" w:color="auto"/>
              <w:right w:val="nil"/>
            </w:tcBorders>
            <w:shd w:val="clear" w:color="000000" w:fill="CCFFCC"/>
            <w:vAlign w:val="center"/>
            <w:hideMark/>
          </w:tcPr>
          <w:p w:rsidR="005B1077" w:rsidRPr="005B1077" w:rsidRDefault="005B1077" w:rsidP="005B1077">
            <w:pPr>
              <w:rPr>
                <w:rFonts w:ascii="Lucida Bright" w:hAnsi="Lucida Bright" w:cs="Calibri"/>
                <w:b/>
                <w:bCs/>
                <w:sz w:val="14"/>
                <w:szCs w:val="14"/>
                <w:lang w:val="es-ES"/>
              </w:rPr>
            </w:pPr>
            <w:r w:rsidRPr="005B1077">
              <w:rPr>
                <w:rFonts w:ascii="Lucida Bright" w:hAnsi="Lucida Bright" w:cs="Calibri"/>
                <w:b/>
                <w:bCs/>
                <w:sz w:val="14"/>
                <w:szCs w:val="14"/>
                <w:lang w:val="es-ES"/>
              </w:rPr>
              <w:t xml:space="preserve"> E) AUMENTO/DISMINUCIÓN NETA DEL EFECTIVO O EQUIVALENTES (+/-A+/-B+/-C)</w:t>
            </w:r>
          </w:p>
        </w:tc>
        <w:tc>
          <w:tcPr>
            <w:tcW w:w="1660" w:type="dxa"/>
            <w:tcBorders>
              <w:top w:val="nil"/>
              <w:left w:val="single" w:sz="4" w:space="0" w:color="auto"/>
              <w:bottom w:val="single" w:sz="4" w:space="0" w:color="auto"/>
              <w:right w:val="single" w:sz="4" w:space="0" w:color="auto"/>
            </w:tcBorders>
            <w:shd w:val="clear" w:color="000000" w:fill="CCFFCC"/>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  </w:t>
            </w:r>
          </w:p>
        </w:tc>
        <w:tc>
          <w:tcPr>
            <w:tcW w:w="1660" w:type="dxa"/>
            <w:tcBorders>
              <w:top w:val="nil"/>
              <w:left w:val="nil"/>
              <w:bottom w:val="single" w:sz="4" w:space="0" w:color="auto"/>
              <w:right w:val="single" w:sz="4" w:space="0" w:color="auto"/>
            </w:tcBorders>
            <w:shd w:val="clear" w:color="000000" w:fill="CCFFCC"/>
            <w:noWrap/>
            <w:vAlign w:val="center"/>
            <w:hideMark/>
          </w:tcPr>
          <w:p w:rsidR="005B1077" w:rsidRPr="005B1077" w:rsidRDefault="005B1077" w:rsidP="005B1077">
            <w:pPr>
              <w:jc w:val="right"/>
              <w:rPr>
                <w:rFonts w:ascii="Lucida Bright" w:hAnsi="Lucida Bright" w:cs="Calibri"/>
                <w:b/>
                <w:bCs/>
                <w:sz w:val="14"/>
                <w:szCs w:val="14"/>
                <w:lang w:val="es-ES"/>
              </w:rPr>
            </w:pPr>
            <w:r w:rsidRPr="005B1077">
              <w:rPr>
                <w:rFonts w:ascii="Lucida Bright" w:hAnsi="Lucida Bright" w:cs="Calibri"/>
                <w:b/>
                <w:bCs/>
                <w:sz w:val="14"/>
                <w:szCs w:val="14"/>
                <w:lang w:val="es-ES"/>
              </w:rPr>
              <w:t xml:space="preserve">-  </w:t>
            </w:r>
          </w:p>
        </w:tc>
      </w:tr>
    </w:tbl>
    <w:p w:rsidR="0030255B" w:rsidRDefault="0030255B" w:rsidP="00F333F2">
      <w:pPr>
        <w:pStyle w:val="Prrafodelista"/>
        <w:spacing w:before="100" w:after="100"/>
        <w:ind w:left="646"/>
        <w:jc w:val="both"/>
        <w:rPr>
          <w:rFonts w:ascii="NewBaskerville" w:hAnsi="NewBaskerville"/>
        </w:rPr>
      </w:pPr>
    </w:p>
    <w:p w:rsidR="005B1077" w:rsidRDefault="005B1077" w:rsidP="00F333F2">
      <w:pPr>
        <w:pStyle w:val="Prrafodelista"/>
        <w:spacing w:before="100" w:after="100"/>
        <w:ind w:left="646"/>
        <w:jc w:val="both"/>
        <w:rPr>
          <w:rFonts w:ascii="NewBaskerville" w:hAnsi="NewBaskerville"/>
        </w:rPr>
      </w:pPr>
      <w:r>
        <w:rPr>
          <w:rFonts w:ascii="NewBaskerville" w:hAnsi="NewBaskerville"/>
        </w:rPr>
        <w:t>Corrigiéndose, este último documento, en sus cifras comparadas del ejercicio 2022 a la necesaria homogeneidad de su es</w:t>
      </w:r>
      <w:r w:rsidR="0065131E">
        <w:rPr>
          <w:rFonts w:ascii="NewBaskerville" w:hAnsi="NewBaskerville"/>
        </w:rPr>
        <w:t>tructura de aplicación por las Autoridades Portuarias. En particular, en la cantidad percibida por Puertos del Estado para el pago de principales e intereses de demora por litigios tarifarios (155.703,65 euros), que deben figurar de manera independiente.</w:t>
      </w:r>
    </w:p>
    <w:p w:rsidR="005C2F51" w:rsidRDefault="005C2F51" w:rsidP="00F333F2">
      <w:pPr>
        <w:pStyle w:val="Prrafodelista"/>
        <w:spacing w:before="100" w:after="100"/>
        <w:ind w:left="646"/>
        <w:jc w:val="both"/>
        <w:rPr>
          <w:rFonts w:ascii="NewBaskerville" w:hAnsi="NewBaskerville"/>
        </w:rPr>
      </w:pPr>
    </w:p>
    <w:p w:rsidR="0030255B" w:rsidRDefault="0030255B" w:rsidP="00F333F2">
      <w:pPr>
        <w:pStyle w:val="Prrafodelista"/>
        <w:spacing w:before="100" w:after="100"/>
        <w:ind w:left="646"/>
        <w:jc w:val="both"/>
        <w:rPr>
          <w:rFonts w:ascii="NewBaskerville" w:hAnsi="NewBaskerville"/>
        </w:rPr>
      </w:pPr>
    </w:p>
    <w:p w:rsidR="0030255B" w:rsidRDefault="0030255B" w:rsidP="00F333F2">
      <w:pPr>
        <w:pStyle w:val="Prrafodelista"/>
        <w:spacing w:before="100" w:after="100"/>
        <w:ind w:left="646"/>
        <w:jc w:val="both"/>
        <w:rPr>
          <w:rFonts w:ascii="NewBaskerville" w:hAnsi="NewBaskerville"/>
        </w:rPr>
      </w:pPr>
    </w:p>
    <w:p w:rsidR="0030255B" w:rsidRDefault="0030255B" w:rsidP="00F333F2">
      <w:pPr>
        <w:pStyle w:val="Prrafodelista"/>
        <w:spacing w:before="100" w:after="100"/>
        <w:ind w:left="646"/>
        <w:jc w:val="both"/>
        <w:rPr>
          <w:rFonts w:ascii="NewBaskerville" w:hAnsi="NewBaskerville"/>
        </w:rPr>
      </w:pPr>
    </w:p>
    <w:p w:rsidR="0030255B" w:rsidRDefault="0030255B" w:rsidP="00F333F2">
      <w:pPr>
        <w:pStyle w:val="Prrafodelista"/>
        <w:spacing w:before="100" w:after="100"/>
        <w:ind w:left="646"/>
        <w:jc w:val="both"/>
        <w:rPr>
          <w:rFonts w:ascii="NewBaskerville" w:hAnsi="NewBaskerville"/>
        </w:rPr>
      </w:pPr>
    </w:p>
    <w:p w:rsidR="0030255B" w:rsidRDefault="0030255B" w:rsidP="00F333F2">
      <w:pPr>
        <w:pStyle w:val="Prrafodelista"/>
        <w:spacing w:before="100" w:after="100"/>
        <w:ind w:left="646"/>
        <w:jc w:val="both"/>
        <w:rPr>
          <w:rFonts w:ascii="NewBaskerville" w:hAnsi="NewBaskerville"/>
        </w:rPr>
      </w:pPr>
    </w:p>
    <w:p w:rsidR="0030255B" w:rsidRDefault="0030255B" w:rsidP="00F333F2">
      <w:pPr>
        <w:pStyle w:val="Prrafodelista"/>
        <w:spacing w:before="100" w:after="100"/>
        <w:ind w:left="646"/>
        <w:jc w:val="both"/>
        <w:rPr>
          <w:rFonts w:ascii="NewBaskerville" w:hAnsi="NewBaskerville"/>
        </w:rPr>
      </w:pPr>
    </w:p>
    <w:p w:rsidR="0030255B" w:rsidRDefault="0030255B" w:rsidP="00F333F2">
      <w:pPr>
        <w:pStyle w:val="Prrafodelista"/>
        <w:spacing w:before="100" w:after="100"/>
        <w:ind w:left="646"/>
        <w:jc w:val="both"/>
        <w:rPr>
          <w:rFonts w:ascii="NewBaskerville" w:hAnsi="NewBaskerville"/>
        </w:rPr>
      </w:pPr>
    </w:p>
    <w:p w:rsidR="0030255B" w:rsidRDefault="0030255B" w:rsidP="00F333F2">
      <w:pPr>
        <w:pStyle w:val="Prrafodelista"/>
        <w:spacing w:before="100" w:after="100"/>
        <w:ind w:left="646"/>
        <w:jc w:val="both"/>
        <w:rPr>
          <w:rFonts w:ascii="NewBaskerville" w:hAnsi="NewBaskerville"/>
        </w:rPr>
      </w:pPr>
    </w:p>
    <w:p w:rsidR="0030255B" w:rsidRPr="0030255B" w:rsidRDefault="0030255B" w:rsidP="0030255B">
      <w:pPr>
        <w:spacing w:before="100" w:after="100"/>
        <w:jc w:val="both"/>
        <w:rPr>
          <w:rFonts w:ascii="NewBaskerville" w:hAnsi="NewBaskerville"/>
        </w:rPr>
      </w:pPr>
    </w:p>
    <w:p w:rsidR="0030255B" w:rsidRDefault="0030255B" w:rsidP="00F333F2">
      <w:pPr>
        <w:pStyle w:val="Prrafodelista"/>
        <w:spacing w:before="100" w:after="100"/>
        <w:ind w:left="646"/>
        <w:jc w:val="both"/>
        <w:rPr>
          <w:rFonts w:ascii="NewBaskerville" w:hAnsi="NewBaskerville"/>
        </w:rPr>
      </w:pPr>
    </w:p>
    <w:p w:rsidR="00F333F2" w:rsidRPr="00714F3A" w:rsidRDefault="00490AF4" w:rsidP="00F333F2">
      <w:pPr>
        <w:pStyle w:val="Prrafodelista"/>
        <w:spacing w:before="100" w:after="100"/>
        <w:ind w:left="646"/>
        <w:jc w:val="both"/>
        <w:rPr>
          <w:rFonts w:ascii="NewBaskerville" w:hAnsi="NewBaskerville"/>
        </w:rPr>
      </w:pPr>
      <w:r>
        <w:rPr>
          <w:rFonts w:ascii="NewBaskerville" w:hAnsi="NewBaskerville"/>
        </w:rPr>
        <w:t xml:space="preserve"> </w:t>
      </w:r>
      <w:r w:rsidR="00714F3A">
        <w:rPr>
          <w:rFonts w:ascii="NewBaskerville" w:hAnsi="NewBaskerville"/>
        </w:rPr>
        <w:t xml:space="preserve"> </w:t>
      </w:r>
    </w:p>
    <w:p w:rsidR="00F333F2" w:rsidRPr="00F333F2" w:rsidRDefault="00F333F2" w:rsidP="00F333F2">
      <w:pPr>
        <w:jc w:val="both"/>
        <w:rPr>
          <w:rFonts w:ascii="NewBaskerville" w:hAnsi="NewBaskerville"/>
          <w:u w:val="single"/>
        </w:rPr>
      </w:pPr>
    </w:p>
    <w:p w:rsidR="0022171E" w:rsidRDefault="0022171E" w:rsidP="008607EA">
      <w:pPr>
        <w:pStyle w:val="Prrafodelista"/>
        <w:ind w:left="0" w:firstLine="644"/>
        <w:jc w:val="both"/>
        <w:rPr>
          <w:rFonts w:ascii="NewBaskerville" w:hAnsi="NewBaskerville"/>
          <w:u w:val="single"/>
        </w:rPr>
      </w:pPr>
    </w:p>
    <w:p w:rsidR="00AC1756" w:rsidRPr="00AC1756" w:rsidRDefault="00AC1756" w:rsidP="0022171E">
      <w:pPr>
        <w:pStyle w:val="Prrafodelista"/>
        <w:ind w:left="644"/>
        <w:jc w:val="both"/>
        <w:rPr>
          <w:rFonts w:ascii="NewBaskerville" w:hAnsi="NewBaskerville"/>
          <w:color w:val="000000" w:themeColor="text1"/>
        </w:rPr>
      </w:pPr>
    </w:p>
    <w:p w:rsidR="00AC1756" w:rsidRPr="00A05BE5" w:rsidRDefault="00AC1756" w:rsidP="00A05BE5">
      <w:pPr>
        <w:jc w:val="both"/>
        <w:rPr>
          <w:rFonts w:ascii="NewBaskerville" w:hAnsi="NewBaskerville"/>
        </w:rPr>
      </w:pPr>
    </w:p>
    <w:p w:rsidR="002C4355" w:rsidRPr="00817044" w:rsidRDefault="002C4355">
      <w:pPr>
        <w:jc w:val="both"/>
      </w:pPr>
    </w:p>
    <w:p w:rsidR="00102226" w:rsidRDefault="00102226">
      <w:pPr>
        <w:ind w:firstLine="568"/>
        <w:jc w:val="both"/>
        <w:rPr>
          <w:color w:val="000000"/>
          <w:lang w:eastAsia="en-US"/>
        </w:rPr>
      </w:pPr>
    </w:p>
    <w:p w:rsidR="00102226" w:rsidRPr="00817044" w:rsidRDefault="00102226">
      <w:pPr>
        <w:ind w:firstLine="568"/>
        <w:jc w:val="both"/>
        <w:rPr>
          <w:color w:val="000000"/>
          <w:lang w:eastAsia="en-US"/>
        </w:rPr>
      </w:pPr>
    </w:p>
    <w:p w:rsidR="002C4355" w:rsidRPr="008B3CE3" w:rsidRDefault="00B237A6" w:rsidP="00B237A6">
      <w:pPr>
        <w:spacing w:after="120"/>
        <w:jc w:val="both"/>
        <w:rPr>
          <w:rFonts w:ascii="NewBaskerville" w:hAnsi="NewBaskerville"/>
          <w:b/>
          <w:bCs/>
          <w:sz w:val="24"/>
          <w:szCs w:val="24"/>
        </w:rPr>
      </w:pPr>
      <w:r w:rsidRPr="008B3CE3">
        <w:rPr>
          <w:rFonts w:ascii="NewBaskerville" w:hAnsi="NewBaskerville"/>
          <w:b/>
          <w:bCs/>
          <w:sz w:val="24"/>
          <w:szCs w:val="24"/>
        </w:rPr>
        <w:lastRenderedPageBreak/>
        <w:t xml:space="preserve">3. </w:t>
      </w:r>
      <w:r w:rsidR="002C4355" w:rsidRPr="008B3CE3">
        <w:rPr>
          <w:rFonts w:ascii="NewBaskerville" w:hAnsi="NewBaskerville"/>
          <w:b/>
          <w:bCs/>
          <w:sz w:val="24"/>
          <w:szCs w:val="24"/>
        </w:rPr>
        <w:t>Aplicación de resultados</w:t>
      </w:r>
    </w:p>
    <w:p w:rsidR="002C4355" w:rsidRPr="008B3CE3" w:rsidRDefault="002C4355" w:rsidP="00AE2574">
      <w:pPr>
        <w:tabs>
          <w:tab w:val="right" w:pos="8364"/>
        </w:tabs>
        <w:spacing w:after="100"/>
        <w:ind w:firstLine="567"/>
        <w:jc w:val="both"/>
        <w:rPr>
          <w:rFonts w:ascii="NewBaskerville" w:hAnsi="NewBaskerville"/>
        </w:rPr>
      </w:pPr>
      <w:r w:rsidRPr="008B3CE3">
        <w:rPr>
          <w:rFonts w:ascii="NewBaskerville" w:hAnsi="NewBaskerville"/>
        </w:rPr>
        <w:t>La propuesta de distribución</w:t>
      </w:r>
      <w:r w:rsidR="000E5C11" w:rsidRPr="008B3CE3">
        <w:rPr>
          <w:rFonts w:ascii="NewBaskerville" w:hAnsi="NewBaskerville"/>
        </w:rPr>
        <w:t xml:space="preserve"> </w:t>
      </w:r>
      <w:r w:rsidR="0020324A" w:rsidRPr="008B3CE3">
        <w:rPr>
          <w:rFonts w:ascii="NewBaskerville" w:hAnsi="NewBaskerville"/>
        </w:rPr>
        <w:t>del resultado del ejercicio 202</w:t>
      </w:r>
      <w:r w:rsidR="00E531F4">
        <w:rPr>
          <w:rFonts w:ascii="NewBaskerville" w:hAnsi="NewBaskerville"/>
        </w:rPr>
        <w:t>3</w:t>
      </w:r>
      <w:r w:rsidRPr="008B3CE3">
        <w:rPr>
          <w:rFonts w:ascii="NewBaskerville" w:hAnsi="NewBaskerville"/>
        </w:rPr>
        <w:t xml:space="preserve"> formulada por el Presidente de</w:t>
      </w:r>
      <w:r w:rsidR="00E36D30">
        <w:rPr>
          <w:rFonts w:ascii="NewBaskerville" w:hAnsi="NewBaskerville"/>
        </w:rPr>
        <w:t xml:space="preserve"> </w:t>
      </w:r>
      <w:r w:rsidR="008B3CE3" w:rsidRPr="008B3CE3">
        <w:rPr>
          <w:rFonts w:ascii="NewBaskerville" w:hAnsi="NewBaskerville"/>
        </w:rPr>
        <w:t>l</w:t>
      </w:r>
      <w:r w:rsidR="00E36D30">
        <w:rPr>
          <w:rFonts w:ascii="NewBaskerville" w:hAnsi="NewBaskerville"/>
        </w:rPr>
        <w:t>a</w:t>
      </w:r>
      <w:r w:rsidR="008B3CE3" w:rsidRPr="008B3CE3">
        <w:rPr>
          <w:rFonts w:ascii="NewBaskerville" w:hAnsi="NewBaskerville"/>
        </w:rPr>
        <w:t xml:space="preserve"> </w:t>
      </w:r>
      <w:r w:rsidR="00E36D30">
        <w:rPr>
          <w:rFonts w:ascii="NewBaskerville" w:hAnsi="NewBaskerville"/>
        </w:rPr>
        <w:t>Entidad</w:t>
      </w:r>
      <w:r w:rsidRPr="008B3CE3">
        <w:rPr>
          <w:rFonts w:ascii="NewBaskerville" w:hAnsi="NewBaskerville"/>
        </w:rPr>
        <w:t xml:space="preserve"> y que se espera sea aprobada por el Consejo de Administración de la </w:t>
      </w:r>
      <w:r w:rsidR="008B3CE3" w:rsidRPr="008B3CE3">
        <w:rPr>
          <w:rFonts w:ascii="NewBaskerville" w:hAnsi="NewBaskerville"/>
        </w:rPr>
        <w:t>APB</w:t>
      </w:r>
      <w:r w:rsidRPr="008B3CE3">
        <w:rPr>
          <w:rFonts w:ascii="NewBaskerville" w:hAnsi="NewBaskerville"/>
        </w:rPr>
        <w:t xml:space="preserve">, es la siguiente: </w:t>
      </w:r>
    </w:p>
    <w:tbl>
      <w:tblPr>
        <w:tblW w:w="6380" w:type="dxa"/>
        <w:tblInd w:w="782" w:type="dxa"/>
        <w:tblCellMar>
          <w:left w:w="70" w:type="dxa"/>
          <w:right w:w="70" w:type="dxa"/>
        </w:tblCellMar>
        <w:tblLook w:val="04A0" w:firstRow="1" w:lastRow="0" w:firstColumn="1" w:lastColumn="0" w:noHBand="0" w:noVBand="1"/>
      </w:tblPr>
      <w:tblGrid>
        <w:gridCol w:w="4900"/>
        <w:gridCol w:w="1480"/>
      </w:tblGrid>
      <w:tr w:rsidR="00455341" w:rsidRPr="00455341" w:rsidTr="00455341">
        <w:trPr>
          <w:trHeight w:val="495"/>
        </w:trPr>
        <w:tc>
          <w:tcPr>
            <w:tcW w:w="4900" w:type="dxa"/>
            <w:tcBorders>
              <w:top w:val="single" w:sz="8" w:space="0" w:color="auto"/>
              <w:left w:val="single" w:sz="8" w:space="0" w:color="auto"/>
              <w:bottom w:val="single" w:sz="8" w:space="0" w:color="auto"/>
              <w:right w:val="single" w:sz="8" w:space="0" w:color="auto"/>
            </w:tcBorders>
            <w:shd w:val="clear" w:color="000000" w:fill="CCFFCC"/>
            <w:vAlign w:val="center"/>
            <w:hideMark/>
          </w:tcPr>
          <w:p w:rsidR="00455341" w:rsidRPr="00455341" w:rsidRDefault="00455341" w:rsidP="00455341">
            <w:pPr>
              <w:jc w:val="center"/>
              <w:rPr>
                <w:rFonts w:ascii="Lucida Bright" w:hAnsi="Lucida Bright" w:cs="Calibri"/>
                <w:b/>
                <w:bCs/>
                <w:color w:val="000000"/>
                <w:sz w:val="18"/>
                <w:szCs w:val="18"/>
                <w:lang w:val="es-ES"/>
              </w:rPr>
            </w:pPr>
            <w:r w:rsidRPr="00455341">
              <w:rPr>
                <w:rFonts w:ascii="Lucida Bright" w:hAnsi="Lucida Bright" w:cs="Calibri"/>
                <w:b/>
                <w:bCs/>
                <w:color w:val="000000"/>
                <w:sz w:val="18"/>
                <w:szCs w:val="18"/>
                <w:lang w:val="es-ES"/>
              </w:rPr>
              <w:t>Base de Reparto</w:t>
            </w:r>
          </w:p>
        </w:tc>
        <w:tc>
          <w:tcPr>
            <w:tcW w:w="1480" w:type="dxa"/>
            <w:tcBorders>
              <w:top w:val="single" w:sz="8" w:space="0" w:color="auto"/>
              <w:left w:val="nil"/>
              <w:bottom w:val="single" w:sz="8" w:space="0" w:color="000000"/>
              <w:right w:val="single" w:sz="8" w:space="0" w:color="auto"/>
            </w:tcBorders>
            <w:shd w:val="clear" w:color="000000" w:fill="CCFFCC"/>
            <w:vAlign w:val="center"/>
            <w:hideMark/>
          </w:tcPr>
          <w:p w:rsidR="00455341" w:rsidRPr="00455341" w:rsidRDefault="00455341" w:rsidP="00455341">
            <w:pPr>
              <w:jc w:val="center"/>
              <w:rPr>
                <w:rFonts w:ascii="Lucida Bright" w:hAnsi="Lucida Bright" w:cs="Calibri"/>
                <w:color w:val="000000"/>
                <w:sz w:val="18"/>
                <w:szCs w:val="18"/>
                <w:lang w:val="es-ES"/>
              </w:rPr>
            </w:pPr>
            <w:r w:rsidRPr="00455341">
              <w:rPr>
                <w:rFonts w:ascii="Lucida Bright" w:hAnsi="Lucida Bright" w:cs="Calibri"/>
                <w:color w:val="000000"/>
                <w:sz w:val="18"/>
                <w:szCs w:val="18"/>
                <w:lang w:val="es-ES"/>
              </w:rPr>
              <w:t>Importe en Euros</w:t>
            </w:r>
          </w:p>
        </w:tc>
      </w:tr>
      <w:tr w:rsidR="00455341" w:rsidRPr="00455341" w:rsidTr="00455341">
        <w:trPr>
          <w:trHeight w:val="300"/>
        </w:trPr>
        <w:tc>
          <w:tcPr>
            <w:tcW w:w="4900" w:type="dxa"/>
            <w:tcBorders>
              <w:top w:val="nil"/>
              <w:left w:val="single" w:sz="8" w:space="0" w:color="auto"/>
              <w:bottom w:val="nil"/>
              <w:right w:val="single" w:sz="8" w:space="0" w:color="000000"/>
            </w:tcBorders>
            <w:shd w:val="clear" w:color="000000" w:fill="FFFFFF"/>
            <w:vAlign w:val="center"/>
            <w:hideMark/>
          </w:tcPr>
          <w:p w:rsidR="00455341" w:rsidRPr="00455341" w:rsidRDefault="00455341" w:rsidP="00455341">
            <w:pPr>
              <w:rPr>
                <w:rFonts w:ascii="Lucida Bright" w:hAnsi="Lucida Bright" w:cs="Calibri"/>
                <w:color w:val="000000"/>
                <w:sz w:val="18"/>
                <w:szCs w:val="18"/>
                <w:lang w:val="es-ES"/>
              </w:rPr>
            </w:pPr>
            <w:r w:rsidRPr="00455341">
              <w:rPr>
                <w:rFonts w:ascii="Lucida Bright" w:hAnsi="Lucida Bright" w:cs="Calibri"/>
                <w:color w:val="000000"/>
                <w:sz w:val="18"/>
                <w:szCs w:val="18"/>
                <w:lang w:val="es-ES"/>
              </w:rPr>
              <w:t>Saldo de la cuenta de pérdidas y ganancias</w:t>
            </w:r>
          </w:p>
        </w:tc>
        <w:tc>
          <w:tcPr>
            <w:tcW w:w="1480" w:type="dxa"/>
            <w:tcBorders>
              <w:top w:val="nil"/>
              <w:left w:val="nil"/>
              <w:bottom w:val="nil"/>
              <w:right w:val="single" w:sz="8" w:space="0" w:color="auto"/>
            </w:tcBorders>
            <w:shd w:val="clear" w:color="000000" w:fill="FFFFFF"/>
            <w:noWrap/>
            <w:vAlign w:val="center"/>
            <w:hideMark/>
          </w:tcPr>
          <w:p w:rsidR="00455341" w:rsidRPr="00455341" w:rsidRDefault="00455341" w:rsidP="00455341">
            <w:pPr>
              <w:jc w:val="right"/>
              <w:rPr>
                <w:rFonts w:ascii="Lucida Bright" w:hAnsi="Lucida Bright" w:cs="Calibri"/>
                <w:color w:val="000000"/>
                <w:sz w:val="18"/>
                <w:szCs w:val="18"/>
                <w:lang w:val="es-ES"/>
              </w:rPr>
            </w:pPr>
            <w:r w:rsidRPr="00455341">
              <w:rPr>
                <w:rFonts w:ascii="Lucida Bright" w:hAnsi="Lucida Bright" w:cs="Calibri"/>
                <w:color w:val="000000"/>
                <w:sz w:val="18"/>
                <w:szCs w:val="18"/>
                <w:lang w:val="es-ES"/>
              </w:rPr>
              <w:t>47.012.107,02</w:t>
            </w:r>
          </w:p>
        </w:tc>
      </w:tr>
      <w:tr w:rsidR="00455341" w:rsidRPr="00455341" w:rsidTr="00455341">
        <w:trPr>
          <w:trHeight w:val="315"/>
        </w:trPr>
        <w:tc>
          <w:tcPr>
            <w:tcW w:w="4900" w:type="dxa"/>
            <w:tcBorders>
              <w:top w:val="single" w:sz="4" w:space="0" w:color="000000"/>
              <w:left w:val="single" w:sz="8" w:space="0" w:color="auto"/>
              <w:bottom w:val="single" w:sz="8" w:space="0" w:color="auto"/>
              <w:right w:val="single" w:sz="8" w:space="0" w:color="000000"/>
            </w:tcBorders>
            <w:shd w:val="clear" w:color="000000" w:fill="FFFFFF"/>
            <w:vAlign w:val="center"/>
            <w:hideMark/>
          </w:tcPr>
          <w:p w:rsidR="00455341" w:rsidRPr="00455341" w:rsidRDefault="00455341" w:rsidP="00455341">
            <w:pPr>
              <w:rPr>
                <w:rFonts w:ascii="Lucida Bright" w:hAnsi="Lucida Bright" w:cs="Calibri"/>
                <w:color w:val="000000"/>
                <w:sz w:val="18"/>
                <w:szCs w:val="18"/>
                <w:lang w:val="es-ES"/>
              </w:rPr>
            </w:pPr>
            <w:r w:rsidRPr="00455341">
              <w:rPr>
                <w:rFonts w:ascii="Lucida Bright" w:hAnsi="Lucida Bright" w:cs="Calibri"/>
                <w:color w:val="000000"/>
                <w:sz w:val="18"/>
                <w:szCs w:val="18"/>
                <w:lang w:val="es-ES"/>
              </w:rPr>
              <w:t>Total:</w:t>
            </w:r>
          </w:p>
        </w:tc>
        <w:tc>
          <w:tcPr>
            <w:tcW w:w="1480" w:type="dxa"/>
            <w:tcBorders>
              <w:top w:val="single" w:sz="4" w:space="0" w:color="000000"/>
              <w:left w:val="nil"/>
              <w:bottom w:val="single" w:sz="8" w:space="0" w:color="auto"/>
              <w:right w:val="single" w:sz="8" w:space="0" w:color="auto"/>
            </w:tcBorders>
            <w:shd w:val="clear" w:color="000000" w:fill="FFFFFF"/>
            <w:noWrap/>
            <w:vAlign w:val="center"/>
            <w:hideMark/>
          </w:tcPr>
          <w:p w:rsidR="00455341" w:rsidRPr="00455341" w:rsidRDefault="00455341" w:rsidP="00455341">
            <w:pPr>
              <w:jc w:val="right"/>
              <w:rPr>
                <w:rFonts w:ascii="Lucida Bright" w:hAnsi="Lucida Bright" w:cs="Calibri"/>
                <w:color w:val="000000"/>
                <w:sz w:val="18"/>
                <w:szCs w:val="18"/>
                <w:lang w:val="es-ES"/>
              </w:rPr>
            </w:pPr>
            <w:r w:rsidRPr="00455341">
              <w:rPr>
                <w:rFonts w:ascii="Lucida Bright" w:hAnsi="Lucida Bright" w:cs="Calibri"/>
                <w:color w:val="000000"/>
                <w:sz w:val="18"/>
                <w:szCs w:val="18"/>
                <w:lang w:val="es-ES"/>
              </w:rPr>
              <w:t>47.012.107,02</w:t>
            </w:r>
          </w:p>
        </w:tc>
      </w:tr>
      <w:tr w:rsidR="00455341" w:rsidRPr="00455341" w:rsidTr="00455341">
        <w:trPr>
          <w:trHeight w:val="495"/>
        </w:trPr>
        <w:tc>
          <w:tcPr>
            <w:tcW w:w="4900" w:type="dxa"/>
            <w:tcBorders>
              <w:top w:val="nil"/>
              <w:left w:val="single" w:sz="8" w:space="0" w:color="auto"/>
              <w:bottom w:val="single" w:sz="8" w:space="0" w:color="auto"/>
              <w:right w:val="single" w:sz="8" w:space="0" w:color="auto"/>
            </w:tcBorders>
            <w:shd w:val="clear" w:color="000000" w:fill="CCFFCC"/>
            <w:vAlign w:val="center"/>
            <w:hideMark/>
          </w:tcPr>
          <w:p w:rsidR="00455341" w:rsidRPr="00455341" w:rsidRDefault="00455341" w:rsidP="00455341">
            <w:pPr>
              <w:jc w:val="center"/>
              <w:rPr>
                <w:rFonts w:ascii="Lucida Bright" w:hAnsi="Lucida Bright" w:cs="Calibri"/>
                <w:b/>
                <w:bCs/>
                <w:color w:val="000000"/>
                <w:sz w:val="18"/>
                <w:szCs w:val="18"/>
                <w:lang w:val="es-ES"/>
              </w:rPr>
            </w:pPr>
            <w:r w:rsidRPr="00455341">
              <w:rPr>
                <w:rFonts w:ascii="Lucida Bright" w:hAnsi="Lucida Bright" w:cs="Calibri"/>
                <w:b/>
                <w:bCs/>
                <w:color w:val="000000"/>
                <w:sz w:val="18"/>
                <w:szCs w:val="18"/>
                <w:lang w:val="es-ES"/>
              </w:rPr>
              <w:t>Aplicación</w:t>
            </w:r>
          </w:p>
        </w:tc>
        <w:tc>
          <w:tcPr>
            <w:tcW w:w="1480" w:type="dxa"/>
            <w:tcBorders>
              <w:top w:val="nil"/>
              <w:left w:val="nil"/>
              <w:bottom w:val="single" w:sz="8" w:space="0" w:color="auto"/>
              <w:right w:val="single" w:sz="8" w:space="0" w:color="auto"/>
            </w:tcBorders>
            <w:shd w:val="clear" w:color="000000" w:fill="CCFFCC"/>
            <w:vAlign w:val="center"/>
            <w:hideMark/>
          </w:tcPr>
          <w:p w:rsidR="00455341" w:rsidRPr="00455341" w:rsidRDefault="00455341" w:rsidP="00455341">
            <w:pPr>
              <w:jc w:val="center"/>
              <w:rPr>
                <w:rFonts w:ascii="Lucida Bright" w:hAnsi="Lucida Bright" w:cs="Calibri"/>
                <w:color w:val="000000"/>
                <w:sz w:val="18"/>
                <w:szCs w:val="18"/>
                <w:lang w:val="es-ES"/>
              </w:rPr>
            </w:pPr>
            <w:r w:rsidRPr="00455341">
              <w:rPr>
                <w:rFonts w:ascii="Lucida Bright" w:hAnsi="Lucida Bright" w:cs="Calibri"/>
                <w:color w:val="000000"/>
                <w:sz w:val="18"/>
                <w:szCs w:val="18"/>
                <w:lang w:val="es-ES"/>
              </w:rPr>
              <w:t>Importe en Euros</w:t>
            </w:r>
          </w:p>
        </w:tc>
      </w:tr>
      <w:tr w:rsidR="00455341" w:rsidRPr="00455341" w:rsidTr="00455341">
        <w:trPr>
          <w:trHeight w:val="300"/>
        </w:trPr>
        <w:tc>
          <w:tcPr>
            <w:tcW w:w="4900" w:type="dxa"/>
            <w:tcBorders>
              <w:top w:val="nil"/>
              <w:left w:val="single" w:sz="8" w:space="0" w:color="auto"/>
              <w:bottom w:val="single" w:sz="4" w:space="0" w:color="000000"/>
              <w:right w:val="single" w:sz="8" w:space="0" w:color="000000"/>
            </w:tcBorders>
            <w:shd w:val="clear" w:color="000000" w:fill="FFFFFF"/>
            <w:vAlign w:val="center"/>
            <w:hideMark/>
          </w:tcPr>
          <w:p w:rsidR="00455341" w:rsidRPr="00455341" w:rsidRDefault="00455341" w:rsidP="00455341">
            <w:pPr>
              <w:rPr>
                <w:rFonts w:ascii="Lucida Bright" w:hAnsi="Lucida Bright" w:cs="Calibri"/>
                <w:color w:val="000000"/>
                <w:sz w:val="18"/>
                <w:szCs w:val="18"/>
                <w:lang w:val="es-ES"/>
              </w:rPr>
            </w:pPr>
            <w:r w:rsidRPr="00455341">
              <w:rPr>
                <w:rFonts w:ascii="Lucida Bright" w:hAnsi="Lucida Bright" w:cs="Calibri"/>
                <w:color w:val="000000"/>
                <w:sz w:val="18"/>
                <w:szCs w:val="18"/>
                <w:lang w:val="es-ES"/>
              </w:rPr>
              <w:t>A Resultados acumulados</w:t>
            </w:r>
          </w:p>
        </w:tc>
        <w:tc>
          <w:tcPr>
            <w:tcW w:w="1480" w:type="dxa"/>
            <w:tcBorders>
              <w:top w:val="nil"/>
              <w:left w:val="nil"/>
              <w:bottom w:val="nil"/>
              <w:right w:val="single" w:sz="8" w:space="0" w:color="auto"/>
            </w:tcBorders>
            <w:shd w:val="clear" w:color="000000" w:fill="FFFFFF"/>
            <w:noWrap/>
            <w:vAlign w:val="center"/>
            <w:hideMark/>
          </w:tcPr>
          <w:p w:rsidR="00455341" w:rsidRPr="00455341" w:rsidRDefault="00455341" w:rsidP="00455341">
            <w:pPr>
              <w:jc w:val="right"/>
              <w:rPr>
                <w:rFonts w:ascii="Lucida Bright" w:hAnsi="Lucida Bright" w:cs="Calibri"/>
                <w:color w:val="000000"/>
                <w:sz w:val="18"/>
                <w:szCs w:val="18"/>
                <w:lang w:val="es-ES"/>
              </w:rPr>
            </w:pPr>
            <w:r w:rsidRPr="00455341">
              <w:rPr>
                <w:rFonts w:ascii="Lucida Bright" w:hAnsi="Lucida Bright" w:cs="Calibri"/>
                <w:color w:val="000000"/>
                <w:sz w:val="18"/>
                <w:szCs w:val="18"/>
                <w:lang w:val="es-ES"/>
              </w:rPr>
              <w:t>43.726.500,41</w:t>
            </w:r>
          </w:p>
        </w:tc>
      </w:tr>
      <w:tr w:rsidR="00455341" w:rsidRPr="00455341" w:rsidTr="00455341">
        <w:trPr>
          <w:trHeight w:val="300"/>
        </w:trPr>
        <w:tc>
          <w:tcPr>
            <w:tcW w:w="4900" w:type="dxa"/>
            <w:tcBorders>
              <w:top w:val="nil"/>
              <w:left w:val="single" w:sz="8" w:space="0" w:color="auto"/>
              <w:bottom w:val="single" w:sz="4" w:space="0" w:color="000000"/>
              <w:right w:val="single" w:sz="8" w:space="0" w:color="000000"/>
            </w:tcBorders>
            <w:shd w:val="clear" w:color="auto" w:fill="auto"/>
            <w:noWrap/>
            <w:vAlign w:val="center"/>
            <w:hideMark/>
          </w:tcPr>
          <w:p w:rsidR="00455341" w:rsidRPr="00455341" w:rsidRDefault="00455341" w:rsidP="00455341">
            <w:pPr>
              <w:rPr>
                <w:rFonts w:ascii="Lucida Bright" w:hAnsi="Lucida Bright" w:cs="Calibri"/>
                <w:color w:val="000000"/>
                <w:sz w:val="18"/>
                <w:szCs w:val="18"/>
                <w:lang w:val="es-ES"/>
              </w:rPr>
            </w:pPr>
            <w:r w:rsidRPr="00455341">
              <w:rPr>
                <w:rFonts w:ascii="Lucida Bright" w:hAnsi="Lucida Bright" w:cs="Calibri"/>
                <w:color w:val="000000"/>
                <w:sz w:val="18"/>
                <w:szCs w:val="18"/>
                <w:lang w:val="es-ES"/>
              </w:rPr>
              <w:t xml:space="preserve">A Reserva de capitalización </w:t>
            </w:r>
          </w:p>
        </w:tc>
        <w:tc>
          <w:tcPr>
            <w:tcW w:w="1480" w:type="dxa"/>
            <w:tcBorders>
              <w:top w:val="single" w:sz="4" w:space="0" w:color="000000"/>
              <w:left w:val="nil"/>
              <w:bottom w:val="single" w:sz="4" w:space="0" w:color="000000"/>
              <w:right w:val="single" w:sz="8" w:space="0" w:color="auto"/>
            </w:tcBorders>
            <w:shd w:val="clear" w:color="auto" w:fill="auto"/>
            <w:noWrap/>
            <w:vAlign w:val="bottom"/>
            <w:hideMark/>
          </w:tcPr>
          <w:p w:rsidR="00455341" w:rsidRPr="00455341" w:rsidRDefault="00455341" w:rsidP="00455341">
            <w:pPr>
              <w:jc w:val="right"/>
              <w:rPr>
                <w:rFonts w:ascii="Lucida Bright" w:hAnsi="Lucida Bright" w:cs="Calibri"/>
                <w:color w:val="000000"/>
                <w:sz w:val="18"/>
                <w:szCs w:val="18"/>
                <w:lang w:val="es-ES"/>
              </w:rPr>
            </w:pPr>
            <w:r w:rsidRPr="00455341">
              <w:rPr>
                <w:rFonts w:ascii="Lucida Bright" w:hAnsi="Lucida Bright" w:cs="Calibri"/>
                <w:color w:val="000000"/>
                <w:sz w:val="18"/>
                <w:szCs w:val="18"/>
                <w:lang w:val="es-ES"/>
              </w:rPr>
              <w:t>3.285.606,61</w:t>
            </w:r>
          </w:p>
        </w:tc>
      </w:tr>
      <w:tr w:rsidR="00455341" w:rsidRPr="00455341" w:rsidTr="00455341">
        <w:trPr>
          <w:trHeight w:val="315"/>
        </w:trPr>
        <w:tc>
          <w:tcPr>
            <w:tcW w:w="4900" w:type="dxa"/>
            <w:tcBorders>
              <w:top w:val="nil"/>
              <w:left w:val="single" w:sz="8" w:space="0" w:color="auto"/>
              <w:bottom w:val="single" w:sz="8" w:space="0" w:color="auto"/>
              <w:right w:val="single" w:sz="8" w:space="0" w:color="000000"/>
            </w:tcBorders>
            <w:shd w:val="clear" w:color="auto" w:fill="auto"/>
            <w:noWrap/>
            <w:vAlign w:val="center"/>
            <w:hideMark/>
          </w:tcPr>
          <w:p w:rsidR="00455341" w:rsidRPr="00455341" w:rsidRDefault="00455341" w:rsidP="00455341">
            <w:pPr>
              <w:rPr>
                <w:rFonts w:ascii="Lucida Bright" w:hAnsi="Lucida Bright" w:cs="Calibri"/>
                <w:color w:val="000000"/>
                <w:sz w:val="18"/>
                <w:szCs w:val="18"/>
                <w:lang w:val="es-ES"/>
              </w:rPr>
            </w:pPr>
            <w:r w:rsidRPr="00455341">
              <w:rPr>
                <w:rFonts w:ascii="Lucida Bright" w:hAnsi="Lucida Bright" w:cs="Calibri"/>
                <w:color w:val="000000"/>
                <w:sz w:val="18"/>
                <w:szCs w:val="18"/>
                <w:lang w:val="es-ES"/>
              </w:rPr>
              <w:t>Total:</w:t>
            </w:r>
          </w:p>
        </w:tc>
        <w:tc>
          <w:tcPr>
            <w:tcW w:w="1480" w:type="dxa"/>
            <w:tcBorders>
              <w:top w:val="nil"/>
              <w:left w:val="nil"/>
              <w:bottom w:val="single" w:sz="8" w:space="0" w:color="auto"/>
              <w:right w:val="single" w:sz="8" w:space="0" w:color="auto"/>
            </w:tcBorders>
            <w:shd w:val="clear" w:color="auto" w:fill="auto"/>
            <w:noWrap/>
            <w:vAlign w:val="bottom"/>
            <w:hideMark/>
          </w:tcPr>
          <w:p w:rsidR="00455341" w:rsidRPr="00455341" w:rsidRDefault="00455341" w:rsidP="00455341">
            <w:pPr>
              <w:jc w:val="right"/>
              <w:rPr>
                <w:rFonts w:ascii="Lucida Bright" w:hAnsi="Lucida Bright" w:cs="Calibri"/>
                <w:color w:val="000000"/>
                <w:sz w:val="18"/>
                <w:szCs w:val="18"/>
                <w:lang w:val="es-ES"/>
              </w:rPr>
            </w:pPr>
            <w:r w:rsidRPr="00455341">
              <w:rPr>
                <w:rFonts w:ascii="Lucida Bright" w:hAnsi="Lucida Bright" w:cs="Calibri"/>
                <w:color w:val="000000"/>
                <w:sz w:val="18"/>
                <w:szCs w:val="18"/>
                <w:lang w:val="es-ES"/>
              </w:rPr>
              <w:t>47.012.107,02</w:t>
            </w:r>
          </w:p>
        </w:tc>
      </w:tr>
    </w:tbl>
    <w:p w:rsidR="00072D1A" w:rsidRPr="00072D1A" w:rsidRDefault="00072D1A" w:rsidP="00072D1A">
      <w:pPr>
        <w:jc w:val="both"/>
      </w:pPr>
    </w:p>
    <w:p w:rsidR="002C4355" w:rsidRDefault="002C4355" w:rsidP="00E775E1">
      <w:pPr>
        <w:pStyle w:val="Default"/>
        <w:ind w:firstLine="567"/>
        <w:jc w:val="both"/>
        <w:rPr>
          <w:rFonts w:ascii="NewBaskerville" w:hAnsi="NewBaskerville"/>
          <w:sz w:val="20"/>
          <w:szCs w:val="20"/>
        </w:rPr>
      </w:pPr>
      <w:r w:rsidRPr="00E775E1">
        <w:rPr>
          <w:rFonts w:ascii="NewBaskerville" w:hAnsi="NewBaskerville"/>
          <w:sz w:val="20"/>
          <w:szCs w:val="20"/>
        </w:rPr>
        <w:t xml:space="preserve">De acuerdo con el artículo </w:t>
      </w:r>
      <w:r w:rsidR="006867D0" w:rsidRPr="00E775E1">
        <w:rPr>
          <w:rFonts w:ascii="NewBaskerville" w:hAnsi="NewBaskerville"/>
          <w:sz w:val="20"/>
          <w:szCs w:val="20"/>
        </w:rPr>
        <w:t xml:space="preserve">39.3 </w:t>
      </w:r>
      <w:r w:rsidR="006F0FC2" w:rsidRPr="00E775E1">
        <w:rPr>
          <w:rFonts w:ascii="NewBaskerville" w:hAnsi="NewBaskerville"/>
          <w:sz w:val="20"/>
          <w:szCs w:val="20"/>
        </w:rPr>
        <w:t>del TRLPEMM</w:t>
      </w:r>
      <w:r w:rsidRPr="00E775E1">
        <w:rPr>
          <w:rFonts w:ascii="NewBaskerville" w:hAnsi="NewBaskerville"/>
          <w:sz w:val="20"/>
          <w:szCs w:val="20"/>
        </w:rPr>
        <w:t>, la propuesta de distribución del resultado d</w:t>
      </w:r>
      <w:r w:rsidR="0020324A" w:rsidRPr="00E775E1">
        <w:rPr>
          <w:rFonts w:ascii="NewBaskerville" w:hAnsi="NewBaskerville"/>
          <w:sz w:val="20"/>
          <w:szCs w:val="20"/>
        </w:rPr>
        <w:t>el ejercicio 202</w:t>
      </w:r>
      <w:r w:rsidR="00E531F4">
        <w:rPr>
          <w:rFonts w:ascii="NewBaskerville" w:hAnsi="NewBaskerville"/>
          <w:sz w:val="20"/>
          <w:szCs w:val="20"/>
        </w:rPr>
        <w:t>2</w:t>
      </w:r>
      <w:r w:rsidR="00F45BF6">
        <w:rPr>
          <w:rFonts w:ascii="NewBaskerville" w:hAnsi="NewBaskerville"/>
          <w:sz w:val="20"/>
          <w:szCs w:val="20"/>
        </w:rPr>
        <w:t>, que ascendió a 3</w:t>
      </w:r>
      <w:r w:rsidR="00E531F4">
        <w:rPr>
          <w:rFonts w:ascii="NewBaskerville" w:hAnsi="NewBaskerville"/>
          <w:sz w:val="20"/>
          <w:szCs w:val="20"/>
        </w:rPr>
        <w:t>2</w:t>
      </w:r>
      <w:r w:rsidR="00F45BF6">
        <w:rPr>
          <w:rFonts w:ascii="NewBaskerville" w:hAnsi="NewBaskerville"/>
          <w:sz w:val="20"/>
          <w:szCs w:val="20"/>
        </w:rPr>
        <w:t>.</w:t>
      </w:r>
      <w:r w:rsidR="00E531F4">
        <w:rPr>
          <w:rFonts w:ascii="NewBaskerville" w:hAnsi="NewBaskerville"/>
          <w:sz w:val="20"/>
          <w:szCs w:val="20"/>
        </w:rPr>
        <w:t>937</w:t>
      </w:r>
      <w:r w:rsidR="00F45BF6">
        <w:rPr>
          <w:rFonts w:ascii="NewBaskerville" w:hAnsi="NewBaskerville"/>
          <w:sz w:val="20"/>
          <w:szCs w:val="20"/>
        </w:rPr>
        <w:t>.</w:t>
      </w:r>
      <w:r w:rsidR="00E531F4">
        <w:rPr>
          <w:rFonts w:ascii="NewBaskerville" w:hAnsi="NewBaskerville"/>
          <w:sz w:val="20"/>
          <w:szCs w:val="20"/>
        </w:rPr>
        <w:t>294</w:t>
      </w:r>
      <w:r w:rsidR="00F45BF6">
        <w:rPr>
          <w:rFonts w:ascii="NewBaskerville" w:hAnsi="NewBaskerville"/>
          <w:sz w:val="20"/>
          <w:szCs w:val="20"/>
        </w:rPr>
        <w:t>,</w:t>
      </w:r>
      <w:r w:rsidR="00E531F4">
        <w:rPr>
          <w:rFonts w:ascii="NewBaskerville" w:hAnsi="NewBaskerville"/>
          <w:sz w:val="20"/>
          <w:szCs w:val="20"/>
        </w:rPr>
        <w:t>09</w:t>
      </w:r>
      <w:r w:rsidR="00F45BF6">
        <w:rPr>
          <w:rFonts w:ascii="NewBaskerville" w:hAnsi="NewBaskerville"/>
          <w:sz w:val="20"/>
          <w:szCs w:val="20"/>
        </w:rPr>
        <w:t xml:space="preserve"> euros,</w:t>
      </w:r>
      <w:r w:rsidRPr="00E775E1">
        <w:rPr>
          <w:rFonts w:ascii="NewBaskerville" w:hAnsi="NewBaskerville"/>
          <w:sz w:val="20"/>
          <w:szCs w:val="20"/>
        </w:rPr>
        <w:t xml:space="preserve"> </w:t>
      </w:r>
      <w:r w:rsidR="007D34B3">
        <w:rPr>
          <w:rFonts w:ascii="NewBaskerville" w:hAnsi="NewBaskerville"/>
          <w:sz w:val="20"/>
          <w:szCs w:val="20"/>
        </w:rPr>
        <w:t>aprobada por el Consejo de Administración de la AP</w:t>
      </w:r>
      <w:r w:rsidR="00F45BF6">
        <w:rPr>
          <w:rFonts w:ascii="NewBaskerville" w:hAnsi="NewBaskerville"/>
          <w:sz w:val="20"/>
          <w:szCs w:val="20"/>
        </w:rPr>
        <w:t>B</w:t>
      </w:r>
      <w:r w:rsidR="007D34B3">
        <w:rPr>
          <w:rFonts w:ascii="NewBaskerville" w:hAnsi="NewBaskerville"/>
          <w:sz w:val="20"/>
          <w:szCs w:val="20"/>
        </w:rPr>
        <w:t xml:space="preserve"> en fecha de 2</w:t>
      </w:r>
      <w:r w:rsidR="00E531F4">
        <w:rPr>
          <w:rFonts w:ascii="NewBaskerville" w:hAnsi="NewBaskerville"/>
          <w:sz w:val="20"/>
          <w:szCs w:val="20"/>
        </w:rPr>
        <w:t>8</w:t>
      </w:r>
      <w:r w:rsidR="007D34B3">
        <w:rPr>
          <w:rFonts w:ascii="NewBaskerville" w:hAnsi="NewBaskerville"/>
          <w:sz w:val="20"/>
          <w:szCs w:val="20"/>
        </w:rPr>
        <w:t>/06/202</w:t>
      </w:r>
      <w:r w:rsidR="00E531F4">
        <w:rPr>
          <w:rFonts w:ascii="NewBaskerville" w:hAnsi="NewBaskerville"/>
          <w:sz w:val="20"/>
          <w:szCs w:val="20"/>
        </w:rPr>
        <w:t>3</w:t>
      </w:r>
      <w:r w:rsidR="00F45BF6">
        <w:rPr>
          <w:rFonts w:ascii="NewBaskerville" w:hAnsi="NewBaskerville"/>
          <w:sz w:val="20"/>
          <w:szCs w:val="20"/>
        </w:rPr>
        <w:t>, s</w:t>
      </w:r>
      <w:r w:rsidR="00442E66" w:rsidRPr="00E775E1">
        <w:rPr>
          <w:rFonts w:ascii="NewBaskerville" w:hAnsi="NewBaskerville"/>
          <w:sz w:val="20"/>
          <w:szCs w:val="20"/>
        </w:rPr>
        <w:t>e integró</w:t>
      </w:r>
      <w:r w:rsidRPr="00E775E1">
        <w:rPr>
          <w:rFonts w:ascii="NewBaskerville" w:hAnsi="NewBaskerville"/>
          <w:sz w:val="20"/>
          <w:szCs w:val="20"/>
        </w:rPr>
        <w:t xml:space="preserve"> en la partida “Resultados acumulados” de los fondos propios de </w:t>
      </w:r>
      <w:r w:rsidR="006867D0" w:rsidRPr="00E775E1">
        <w:rPr>
          <w:rFonts w:ascii="NewBaskerville" w:hAnsi="NewBaskerville"/>
          <w:sz w:val="20"/>
          <w:szCs w:val="20"/>
        </w:rPr>
        <w:t xml:space="preserve">esta Autoridad </w:t>
      </w:r>
      <w:r w:rsidR="008155BC" w:rsidRPr="00E775E1">
        <w:rPr>
          <w:rFonts w:ascii="NewBaskerville" w:hAnsi="NewBaskerville"/>
          <w:sz w:val="20"/>
          <w:szCs w:val="20"/>
        </w:rPr>
        <w:t>Portuaria</w:t>
      </w:r>
      <w:r w:rsidR="00442E66" w:rsidRPr="00E775E1">
        <w:rPr>
          <w:rFonts w:ascii="NewBaskerville" w:hAnsi="NewBaskerville"/>
          <w:sz w:val="20"/>
          <w:szCs w:val="20"/>
        </w:rPr>
        <w:t xml:space="preserve"> por importe de </w:t>
      </w:r>
      <w:r w:rsidR="00E775E1">
        <w:rPr>
          <w:rFonts w:ascii="NewBaskerville" w:hAnsi="NewBaskerville"/>
          <w:sz w:val="20"/>
          <w:szCs w:val="20"/>
        </w:rPr>
        <w:t>2</w:t>
      </w:r>
      <w:r w:rsidR="00E531F4">
        <w:rPr>
          <w:rFonts w:ascii="NewBaskerville" w:hAnsi="NewBaskerville"/>
          <w:sz w:val="20"/>
          <w:szCs w:val="20"/>
        </w:rPr>
        <w:t>9</w:t>
      </w:r>
      <w:r w:rsidR="0020324A" w:rsidRPr="00E775E1">
        <w:rPr>
          <w:rFonts w:ascii="NewBaskerville" w:hAnsi="NewBaskerville"/>
          <w:sz w:val="20"/>
          <w:szCs w:val="20"/>
        </w:rPr>
        <w:t>.</w:t>
      </w:r>
      <w:r w:rsidR="00E531F4">
        <w:rPr>
          <w:rFonts w:ascii="NewBaskerville" w:hAnsi="NewBaskerville"/>
          <w:sz w:val="20"/>
          <w:szCs w:val="20"/>
        </w:rPr>
        <w:t>918</w:t>
      </w:r>
      <w:r w:rsidR="0020324A" w:rsidRPr="00E775E1">
        <w:rPr>
          <w:rFonts w:ascii="NewBaskerville" w:hAnsi="NewBaskerville"/>
          <w:sz w:val="20"/>
          <w:szCs w:val="20"/>
        </w:rPr>
        <w:t>.</w:t>
      </w:r>
      <w:r w:rsidR="00E531F4">
        <w:rPr>
          <w:rFonts w:ascii="NewBaskerville" w:hAnsi="NewBaskerville"/>
          <w:sz w:val="20"/>
          <w:szCs w:val="20"/>
        </w:rPr>
        <w:t>431</w:t>
      </w:r>
      <w:r w:rsidR="00E775E1">
        <w:rPr>
          <w:rFonts w:ascii="NewBaskerville" w:hAnsi="NewBaskerville"/>
          <w:sz w:val="20"/>
          <w:szCs w:val="20"/>
        </w:rPr>
        <w:t>,</w:t>
      </w:r>
      <w:r w:rsidR="00E531F4">
        <w:rPr>
          <w:rFonts w:ascii="NewBaskerville" w:hAnsi="NewBaskerville"/>
          <w:sz w:val="20"/>
          <w:szCs w:val="20"/>
        </w:rPr>
        <w:t>48</w:t>
      </w:r>
      <w:r w:rsidR="00442E66" w:rsidRPr="00E775E1">
        <w:rPr>
          <w:rFonts w:ascii="NewBaskerville" w:hAnsi="NewBaskerville"/>
          <w:sz w:val="20"/>
          <w:szCs w:val="20"/>
        </w:rPr>
        <w:t xml:space="preserve"> euros</w:t>
      </w:r>
      <w:r w:rsidR="00E775E1">
        <w:rPr>
          <w:rFonts w:ascii="NewBaskerville" w:hAnsi="NewBaskerville"/>
          <w:sz w:val="20"/>
          <w:szCs w:val="20"/>
        </w:rPr>
        <w:t xml:space="preserve">, y se dotó la Reserva de Capitalización por importe de </w:t>
      </w:r>
      <w:r w:rsidR="00E531F4">
        <w:rPr>
          <w:rFonts w:ascii="NewBaskerville" w:hAnsi="NewBaskerville"/>
          <w:sz w:val="20"/>
          <w:szCs w:val="20"/>
        </w:rPr>
        <w:t>3</w:t>
      </w:r>
      <w:r w:rsidR="00E775E1">
        <w:rPr>
          <w:rFonts w:ascii="NewBaskerville" w:hAnsi="NewBaskerville"/>
          <w:sz w:val="20"/>
          <w:szCs w:val="20"/>
        </w:rPr>
        <w:t>.</w:t>
      </w:r>
      <w:r w:rsidR="00E531F4">
        <w:rPr>
          <w:rFonts w:ascii="NewBaskerville" w:hAnsi="NewBaskerville"/>
          <w:sz w:val="20"/>
          <w:szCs w:val="20"/>
        </w:rPr>
        <w:t>018</w:t>
      </w:r>
      <w:r w:rsidR="00E775E1">
        <w:rPr>
          <w:rFonts w:ascii="NewBaskerville" w:hAnsi="NewBaskerville"/>
          <w:sz w:val="20"/>
          <w:szCs w:val="20"/>
        </w:rPr>
        <w:t>.</w:t>
      </w:r>
      <w:r w:rsidR="00E531F4">
        <w:rPr>
          <w:rFonts w:ascii="NewBaskerville" w:hAnsi="NewBaskerville"/>
          <w:sz w:val="20"/>
          <w:szCs w:val="20"/>
        </w:rPr>
        <w:t>862</w:t>
      </w:r>
      <w:r w:rsidR="00E775E1">
        <w:rPr>
          <w:rFonts w:ascii="NewBaskerville" w:hAnsi="NewBaskerville"/>
          <w:sz w:val="20"/>
          <w:szCs w:val="20"/>
        </w:rPr>
        <w:t>,</w:t>
      </w:r>
      <w:r w:rsidR="00E531F4">
        <w:rPr>
          <w:rFonts w:ascii="NewBaskerville" w:hAnsi="NewBaskerville"/>
          <w:sz w:val="20"/>
          <w:szCs w:val="20"/>
        </w:rPr>
        <w:t>61</w:t>
      </w:r>
      <w:r w:rsidR="00E775E1">
        <w:rPr>
          <w:rFonts w:ascii="NewBaskerville" w:hAnsi="NewBaskerville"/>
          <w:sz w:val="20"/>
          <w:szCs w:val="20"/>
        </w:rPr>
        <w:t xml:space="preserve"> euros.</w:t>
      </w:r>
    </w:p>
    <w:p w:rsidR="00AD400D" w:rsidRDefault="00AD400D" w:rsidP="00E775E1">
      <w:pPr>
        <w:pStyle w:val="Default"/>
        <w:ind w:firstLine="567"/>
        <w:jc w:val="both"/>
        <w:rPr>
          <w:rFonts w:ascii="NewBaskerville" w:hAnsi="NewBaskerville"/>
          <w:sz w:val="20"/>
          <w:szCs w:val="20"/>
        </w:rPr>
      </w:pPr>
    </w:p>
    <w:p w:rsidR="00AD400D" w:rsidRPr="00E775E1" w:rsidRDefault="00AD400D" w:rsidP="00E775E1">
      <w:pPr>
        <w:pStyle w:val="Default"/>
        <w:ind w:firstLine="567"/>
        <w:jc w:val="both"/>
        <w:rPr>
          <w:rFonts w:ascii="NewBaskerville" w:hAnsi="NewBaskerville"/>
          <w:sz w:val="20"/>
          <w:szCs w:val="20"/>
        </w:rPr>
      </w:pPr>
    </w:p>
    <w:p w:rsidR="00385F74" w:rsidRPr="00072D1A" w:rsidRDefault="00385F74">
      <w:pPr>
        <w:ind w:firstLine="568"/>
        <w:jc w:val="both"/>
      </w:pPr>
    </w:p>
    <w:p w:rsidR="002C4355" w:rsidRPr="002D6A11" w:rsidRDefault="00B237A6" w:rsidP="00385F74">
      <w:pPr>
        <w:pStyle w:val="ListParagraph1"/>
        <w:ind w:left="0"/>
        <w:rPr>
          <w:rFonts w:ascii="NewBaskerville" w:hAnsi="NewBaskerville"/>
          <w:b/>
          <w:bCs/>
          <w:sz w:val="24"/>
          <w:szCs w:val="24"/>
        </w:rPr>
      </w:pPr>
      <w:r w:rsidRPr="002D6A11">
        <w:rPr>
          <w:rFonts w:ascii="NewBaskerville" w:hAnsi="NewBaskerville"/>
          <w:b/>
          <w:bCs/>
          <w:sz w:val="24"/>
          <w:szCs w:val="24"/>
        </w:rPr>
        <w:t>4</w:t>
      </w:r>
      <w:r w:rsidR="00385F74" w:rsidRPr="002D6A11">
        <w:rPr>
          <w:rFonts w:ascii="NewBaskerville" w:hAnsi="NewBaskerville"/>
          <w:b/>
          <w:bCs/>
          <w:sz w:val="24"/>
          <w:szCs w:val="24"/>
        </w:rPr>
        <w:t xml:space="preserve">. </w:t>
      </w:r>
      <w:r w:rsidR="002C4355" w:rsidRPr="002D6A11">
        <w:rPr>
          <w:rFonts w:ascii="NewBaskerville" w:hAnsi="NewBaskerville"/>
          <w:b/>
          <w:bCs/>
          <w:sz w:val="24"/>
          <w:szCs w:val="24"/>
        </w:rPr>
        <w:t>Normas de</w:t>
      </w:r>
      <w:r w:rsidR="006F0FC2" w:rsidRPr="002D6A11">
        <w:rPr>
          <w:rFonts w:ascii="NewBaskerville" w:hAnsi="NewBaskerville"/>
          <w:b/>
          <w:bCs/>
          <w:sz w:val="24"/>
          <w:szCs w:val="24"/>
        </w:rPr>
        <w:t xml:space="preserve"> registro y</w:t>
      </w:r>
      <w:r w:rsidR="002C4355" w:rsidRPr="002D6A11">
        <w:rPr>
          <w:rFonts w:ascii="NewBaskerville" w:hAnsi="NewBaskerville"/>
          <w:b/>
          <w:bCs/>
          <w:sz w:val="24"/>
          <w:szCs w:val="24"/>
        </w:rPr>
        <w:t xml:space="preserve"> valoración</w:t>
      </w:r>
    </w:p>
    <w:p w:rsidR="002C4355" w:rsidRPr="00072D1A" w:rsidRDefault="002C4355">
      <w:pPr>
        <w:ind w:firstLine="567"/>
        <w:jc w:val="both"/>
        <w:rPr>
          <w:b/>
          <w:u w:val="single"/>
        </w:rPr>
      </w:pPr>
    </w:p>
    <w:p w:rsidR="002C4355" w:rsidRPr="002D6A11" w:rsidRDefault="002C4355">
      <w:pPr>
        <w:ind w:firstLine="567"/>
        <w:jc w:val="both"/>
        <w:rPr>
          <w:rFonts w:ascii="NewBaskerville" w:hAnsi="NewBaskerville"/>
        </w:rPr>
      </w:pPr>
      <w:r w:rsidRPr="002D6A11">
        <w:rPr>
          <w:rFonts w:ascii="NewBaskerville" w:hAnsi="NewBaskerville"/>
        </w:rPr>
        <w:t>Los criterios contables aplicados en relación con las partidas que se detallan son los siguientes:</w:t>
      </w:r>
    </w:p>
    <w:p w:rsidR="002C4355" w:rsidRPr="00072D1A" w:rsidRDefault="002C4355">
      <w:pPr>
        <w:ind w:firstLine="567"/>
        <w:jc w:val="both"/>
        <w:rPr>
          <w:bCs/>
        </w:rPr>
      </w:pPr>
    </w:p>
    <w:p w:rsidR="002C4355" w:rsidRPr="002D6A11" w:rsidRDefault="002C4355" w:rsidP="00385F74">
      <w:pPr>
        <w:numPr>
          <w:ilvl w:val="0"/>
          <w:numId w:val="3"/>
        </w:numPr>
        <w:tabs>
          <w:tab w:val="clear" w:pos="927"/>
        </w:tabs>
        <w:spacing w:after="120"/>
        <w:ind w:left="567" w:hanging="283"/>
        <w:jc w:val="both"/>
        <w:rPr>
          <w:rFonts w:ascii="NewBaskerville" w:hAnsi="NewBaskerville"/>
          <w:bCs/>
        </w:rPr>
      </w:pPr>
      <w:r w:rsidRPr="002D6A11">
        <w:rPr>
          <w:rFonts w:ascii="NewBaskerville" w:hAnsi="NewBaskerville"/>
          <w:bCs/>
        </w:rPr>
        <w:t>Inmovilizado Intangible</w:t>
      </w:r>
    </w:p>
    <w:p w:rsidR="002C4355" w:rsidRPr="002D6A11" w:rsidRDefault="002C4355">
      <w:pPr>
        <w:pStyle w:val="Sangradetextonormal"/>
        <w:rPr>
          <w:rFonts w:ascii="NewBaskerville" w:hAnsi="NewBaskerville"/>
          <w:sz w:val="20"/>
        </w:rPr>
      </w:pPr>
      <w:r w:rsidRPr="002D6A11">
        <w:rPr>
          <w:rFonts w:ascii="NewBaskerville" w:hAnsi="NewBaskerville"/>
          <w:sz w:val="20"/>
        </w:rPr>
        <w:t>El inmovilizado intangible se valora inicialmente por su coste, ya sea éste el precio de adquisición o el coste de producción.</w:t>
      </w:r>
    </w:p>
    <w:p w:rsidR="002C4355" w:rsidRPr="002D6A11" w:rsidRDefault="002C4355">
      <w:pPr>
        <w:pStyle w:val="Sangradetextonormal"/>
        <w:rPr>
          <w:rFonts w:ascii="NewBaskerville" w:hAnsi="NewBaskerville"/>
          <w:sz w:val="20"/>
        </w:rPr>
      </w:pPr>
    </w:p>
    <w:p w:rsidR="002C4355" w:rsidRPr="002D6A11" w:rsidRDefault="002C4355" w:rsidP="007F140C">
      <w:pPr>
        <w:pStyle w:val="Sangradetextonormal"/>
        <w:rPr>
          <w:rFonts w:ascii="NewBaskerville" w:hAnsi="NewBaskerville"/>
          <w:sz w:val="20"/>
        </w:rPr>
      </w:pPr>
      <w:r w:rsidRPr="002D6A11">
        <w:rPr>
          <w:rFonts w:ascii="NewBaskerville" w:hAnsi="NewBaskerville"/>
          <w:sz w:val="20"/>
        </w:rPr>
        <w:t>Después del reconocimiento inicial, el inmovilizado intangible se valora por su coste, menos la amortización acumulada y, en su caso, el importe acumulado de las correccio</w:t>
      </w:r>
      <w:r w:rsidR="007F140C" w:rsidRPr="002D6A11">
        <w:rPr>
          <w:rFonts w:ascii="NewBaskerville" w:hAnsi="NewBaskerville"/>
          <w:sz w:val="20"/>
        </w:rPr>
        <w:t xml:space="preserve">nes por deterioro registradas. </w:t>
      </w:r>
    </w:p>
    <w:p w:rsidR="002C4355" w:rsidRPr="002D6A11" w:rsidRDefault="002C4355" w:rsidP="005D0B44">
      <w:pPr>
        <w:numPr>
          <w:ilvl w:val="0"/>
          <w:numId w:val="2"/>
        </w:numPr>
        <w:spacing w:before="120"/>
        <w:jc w:val="both"/>
        <w:rPr>
          <w:rFonts w:ascii="NewBaskerville" w:hAnsi="NewBaskerville"/>
        </w:rPr>
      </w:pPr>
      <w:r w:rsidRPr="002D6A11">
        <w:rPr>
          <w:rFonts w:ascii="NewBaskerville" w:hAnsi="NewBaskerville"/>
        </w:rPr>
        <w:t>Aplicaciones informáticas: se encuentran valoradas a su coste de adquisición. Se amortizan por el método lineal en función de la vida útil estimada que será de cinco años desde su puesta en servicio.</w:t>
      </w:r>
    </w:p>
    <w:p w:rsidR="002C4355" w:rsidRPr="002D6A11" w:rsidRDefault="002C4355" w:rsidP="005D0B44">
      <w:pPr>
        <w:numPr>
          <w:ilvl w:val="0"/>
          <w:numId w:val="2"/>
        </w:numPr>
        <w:spacing w:before="120"/>
        <w:jc w:val="both"/>
        <w:rPr>
          <w:rFonts w:ascii="NewBaskerville" w:hAnsi="NewBaskerville"/>
        </w:rPr>
      </w:pPr>
      <w:r w:rsidRPr="002D6A11">
        <w:rPr>
          <w:rFonts w:ascii="NewBaskerville" w:hAnsi="NewBaskerville"/>
        </w:rPr>
        <w:t>Propiedad intelectual: se valora al precio de adquisición y se amortiza por el método lineal en el plazo de diez años desde su adquisición.</w:t>
      </w:r>
    </w:p>
    <w:p w:rsidR="002C4355" w:rsidRDefault="002C4355">
      <w:pPr>
        <w:ind w:firstLine="568"/>
        <w:jc w:val="both"/>
      </w:pPr>
    </w:p>
    <w:p w:rsidR="002C4355" w:rsidRPr="002D6A11" w:rsidRDefault="002C4355" w:rsidP="00385F74">
      <w:pPr>
        <w:numPr>
          <w:ilvl w:val="0"/>
          <w:numId w:val="3"/>
        </w:numPr>
        <w:tabs>
          <w:tab w:val="clear" w:pos="927"/>
        </w:tabs>
        <w:spacing w:after="120"/>
        <w:ind w:left="567" w:hanging="283"/>
        <w:jc w:val="both"/>
        <w:rPr>
          <w:rFonts w:ascii="NewBaskerville" w:hAnsi="NewBaskerville"/>
          <w:bCs/>
        </w:rPr>
      </w:pPr>
      <w:r w:rsidRPr="002D6A11">
        <w:rPr>
          <w:rFonts w:ascii="NewBaskerville" w:hAnsi="NewBaskerville"/>
          <w:bCs/>
        </w:rPr>
        <w:t>Inmovilizado Material</w:t>
      </w:r>
    </w:p>
    <w:p w:rsidR="002C4355" w:rsidRDefault="002C4355">
      <w:pPr>
        <w:pStyle w:val="Sangradetextonormal"/>
        <w:rPr>
          <w:rFonts w:ascii="NewBaskerville" w:hAnsi="NewBaskerville"/>
          <w:sz w:val="20"/>
        </w:rPr>
      </w:pPr>
      <w:r w:rsidRPr="002D6A11">
        <w:rPr>
          <w:rFonts w:ascii="NewBaskerville" w:hAnsi="NewBaskerville"/>
          <w:sz w:val="20"/>
        </w:rPr>
        <w:t>El inmoviliz</w:t>
      </w:r>
      <w:r w:rsidR="00981950" w:rsidRPr="002D6A11">
        <w:rPr>
          <w:rFonts w:ascii="NewBaskerville" w:hAnsi="NewBaskerville"/>
          <w:sz w:val="20"/>
        </w:rPr>
        <w:t>ado material se valora</w:t>
      </w:r>
      <w:r w:rsidRPr="002D6A11">
        <w:rPr>
          <w:rFonts w:ascii="NewBaskerville" w:hAnsi="NewBaskerville"/>
          <w:sz w:val="20"/>
        </w:rPr>
        <w:t xml:space="preserve"> por su coste, ya sea éste el precio de adquisición o el coste de producción. El coste del inmovilizado material adquirido es su valor razonable en la fecha de adquisición.</w:t>
      </w:r>
      <w:r w:rsidR="001D5391">
        <w:rPr>
          <w:rFonts w:ascii="NewBaskerville" w:hAnsi="NewBaskerville"/>
          <w:sz w:val="20"/>
        </w:rPr>
        <w:t xml:space="preserve"> El inmovilizado material adquirido a título gratuito, o sin </w:t>
      </w:r>
      <w:r w:rsidR="003F24D6">
        <w:rPr>
          <w:rFonts w:ascii="NewBaskerville" w:hAnsi="NewBaskerville"/>
          <w:sz w:val="20"/>
        </w:rPr>
        <w:t>contraprestación</w:t>
      </w:r>
      <w:r w:rsidR="001D5391">
        <w:rPr>
          <w:rFonts w:ascii="NewBaskerville" w:hAnsi="NewBaskerville"/>
          <w:sz w:val="20"/>
        </w:rPr>
        <w:t>, se reconocerá por su valor razonable, de acuerdo con lo previsto en la norma de registro y valoración sobre subvenciones, donaciones y legados recibidos del Plan General Contable.</w:t>
      </w:r>
    </w:p>
    <w:p w:rsidR="00FF6FC8" w:rsidRPr="002D6A11" w:rsidRDefault="00FF6FC8">
      <w:pPr>
        <w:pStyle w:val="Sangradetextonormal"/>
        <w:rPr>
          <w:rFonts w:ascii="NewBaskerville" w:hAnsi="NewBaskerville"/>
          <w:sz w:val="20"/>
        </w:rPr>
      </w:pPr>
      <w:r>
        <w:rPr>
          <w:rFonts w:ascii="NewBaskerville" w:hAnsi="NewBaskerville"/>
          <w:sz w:val="20"/>
        </w:rPr>
        <w:lastRenderedPageBreak/>
        <w:t>Cesiones gratuitas de otras Administraciones: Las aportaciones patrimoniales de bienes del inmovilizado material realizadas mediante el cambio de la afectación de bienes de dominio público a favor de los Organismos Públicos Portuarios, o mediante la adscripción a los mismos de bienes patrimoniales del Estado, se asimila contablemente a las aportaciones de capital no dinerarias, valorándose los bienes de inmovilizado recibido por su va</w:t>
      </w:r>
      <w:r w:rsidR="004E395C">
        <w:rPr>
          <w:rFonts w:ascii="NewBaskerville" w:hAnsi="NewBaskerville"/>
          <w:sz w:val="20"/>
        </w:rPr>
        <w:t>lor razonable en el momento de la aportación, teniendo como contrapartida la cuenta de “</w:t>
      </w:r>
      <w:r w:rsidR="002F3F15">
        <w:rPr>
          <w:rFonts w:ascii="NewBaskerville" w:hAnsi="NewBaskerville"/>
          <w:sz w:val="20"/>
        </w:rPr>
        <w:t>P</w:t>
      </w:r>
      <w:r w:rsidR="004E395C">
        <w:rPr>
          <w:rFonts w:ascii="NewBaskerville" w:hAnsi="NewBaskerville"/>
          <w:sz w:val="20"/>
        </w:rPr>
        <w:t>atrimonio”.</w:t>
      </w:r>
    </w:p>
    <w:p w:rsidR="002C4355" w:rsidRPr="002D6A11" w:rsidRDefault="002C4355">
      <w:pPr>
        <w:pStyle w:val="Sangradetextonormal"/>
        <w:rPr>
          <w:rFonts w:ascii="NewBaskerville" w:hAnsi="NewBaskerville"/>
          <w:sz w:val="20"/>
        </w:rPr>
      </w:pPr>
    </w:p>
    <w:p w:rsidR="002C4355" w:rsidRPr="002D6A11" w:rsidRDefault="002C4355">
      <w:pPr>
        <w:pStyle w:val="Sangradetextonormal"/>
        <w:rPr>
          <w:rFonts w:ascii="NewBaskerville" w:hAnsi="NewBaskerville"/>
          <w:sz w:val="20"/>
        </w:rPr>
      </w:pPr>
      <w:r w:rsidRPr="002D6A11">
        <w:rPr>
          <w:rFonts w:ascii="NewBaskerville" w:hAnsi="NewBaskerville"/>
          <w:sz w:val="20"/>
        </w:rPr>
        <w:t>Después del reconocimiento inicial, el inmovilizado material se valora por su coste, menos la amortización acumulada y, en su caso, el importe acumulado de las correcciones por deterioro registradas.</w:t>
      </w:r>
    </w:p>
    <w:p w:rsidR="002C4355" w:rsidRPr="002D6A11" w:rsidRDefault="002C4355">
      <w:pPr>
        <w:ind w:firstLine="567"/>
        <w:jc w:val="both"/>
        <w:rPr>
          <w:rFonts w:ascii="NewBaskerville" w:hAnsi="NewBaskerville"/>
        </w:rPr>
      </w:pPr>
    </w:p>
    <w:p w:rsidR="002C4355" w:rsidRPr="002D6A11" w:rsidRDefault="002C4355">
      <w:pPr>
        <w:ind w:firstLine="567"/>
        <w:jc w:val="both"/>
        <w:rPr>
          <w:rFonts w:ascii="NewBaskerville" w:hAnsi="NewBaskerville"/>
        </w:rPr>
      </w:pPr>
      <w:r w:rsidRPr="002D6A11">
        <w:rPr>
          <w:rFonts w:ascii="NewBaskerville" w:hAnsi="NewBaskerville"/>
        </w:rPr>
        <w:t xml:space="preserve">La mayor parte de los bienes del activo son bienes de dominio público no correspondiendo a esta Autoridad Portuaria ni la titularidad de dichos bienes ni la facultad de enajenación o gravamen de los mismos. No obstante el dominio público adscrito a esta Autoridad Portuaria es uno de los elementos básicos de su </w:t>
      </w:r>
      <w:r w:rsidR="00394D72" w:rsidRPr="002D6A11">
        <w:rPr>
          <w:rFonts w:ascii="NewBaskerville" w:hAnsi="NewBaskerville"/>
        </w:rPr>
        <w:t>actividad y por ello se dispone</w:t>
      </w:r>
      <w:r w:rsidRPr="002D6A11">
        <w:rPr>
          <w:rFonts w:ascii="NewBaskerville" w:hAnsi="NewBaskerville"/>
        </w:rPr>
        <w:t xml:space="preserve"> de amplios poderes de administración y gestión sobre el mismo y se perciben como propios los ingresos que se derivan de su gestión. Dado que de acuerdo con el </w:t>
      </w:r>
      <w:r w:rsidR="003D4191">
        <w:rPr>
          <w:rFonts w:ascii="NewBaskerville" w:hAnsi="NewBaskerville"/>
        </w:rPr>
        <w:t>P</w:t>
      </w:r>
      <w:r w:rsidRPr="002D6A11">
        <w:rPr>
          <w:rFonts w:ascii="NewBaskerville" w:hAnsi="NewBaskerville"/>
        </w:rPr>
        <w:t xml:space="preserve">lan </w:t>
      </w:r>
      <w:r w:rsidR="003D4191">
        <w:rPr>
          <w:rFonts w:ascii="NewBaskerville" w:hAnsi="NewBaskerville"/>
        </w:rPr>
        <w:t>General C</w:t>
      </w:r>
      <w:r w:rsidRPr="002D6A11">
        <w:rPr>
          <w:rFonts w:ascii="NewBaskerville" w:hAnsi="NewBaskerville"/>
        </w:rPr>
        <w:t>ontable en la contabilización de las operaciones debe atenderse a su realidad económica y no sólo a su forma jurídica, los bienes de dominio público adscritos por tiempo indefinido a esta Autoridad Portuaria para el cumplimiento de sus fines se registran como inmovilizado material o inversiones inmobiliarias.</w:t>
      </w:r>
    </w:p>
    <w:p w:rsidR="002C4355" w:rsidRPr="002D6A11" w:rsidRDefault="002C4355">
      <w:pPr>
        <w:ind w:left="567"/>
        <w:jc w:val="both"/>
        <w:rPr>
          <w:rFonts w:ascii="NewBaskerville" w:hAnsi="NewBaskerville"/>
        </w:rPr>
      </w:pPr>
    </w:p>
    <w:p w:rsidR="002C4355" w:rsidRPr="002D6A11" w:rsidRDefault="002C4355">
      <w:pPr>
        <w:ind w:left="567"/>
        <w:jc w:val="both"/>
        <w:rPr>
          <w:rFonts w:ascii="NewBaskerville" w:hAnsi="NewBaskerville"/>
        </w:rPr>
      </w:pPr>
      <w:r w:rsidRPr="002D6A11">
        <w:rPr>
          <w:rFonts w:ascii="NewBaskerville" w:hAnsi="NewBaskerville"/>
        </w:rPr>
        <w:t>Las adiciones al inmovilizado material corresponden a:</w:t>
      </w:r>
    </w:p>
    <w:p w:rsidR="002C4355" w:rsidRPr="002D6A11" w:rsidRDefault="002C4355">
      <w:pPr>
        <w:ind w:left="567"/>
        <w:jc w:val="both"/>
        <w:rPr>
          <w:rFonts w:ascii="NewBaskerville" w:hAnsi="NewBaskerville"/>
        </w:rPr>
      </w:pPr>
    </w:p>
    <w:p w:rsidR="002C4355" w:rsidRDefault="002C4355" w:rsidP="005D0B44">
      <w:pPr>
        <w:numPr>
          <w:ilvl w:val="0"/>
          <w:numId w:val="6"/>
        </w:numPr>
        <w:jc w:val="both"/>
        <w:rPr>
          <w:rFonts w:ascii="NewBaskerville" w:hAnsi="NewBaskerville"/>
        </w:rPr>
      </w:pPr>
      <w:r w:rsidRPr="002D6A11">
        <w:rPr>
          <w:rFonts w:ascii="NewBaskerville" w:hAnsi="NewBaskerville"/>
        </w:rPr>
        <w:t>Terrenos y bienes adquiridos mediante un título jurídico</w:t>
      </w:r>
      <w:r w:rsidR="002B0831">
        <w:rPr>
          <w:rFonts w:ascii="NewBaskerville" w:hAnsi="NewBaskerville"/>
        </w:rPr>
        <w:t>.</w:t>
      </w:r>
    </w:p>
    <w:p w:rsidR="002B0831" w:rsidRPr="002D6A11" w:rsidRDefault="002B0831" w:rsidP="005D0B44">
      <w:pPr>
        <w:numPr>
          <w:ilvl w:val="0"/>
          <w:numId w:val="6"/>
        </w:numPr>
        <w:jc w:val="both"/>
        <w:rPr>
          <w:rFonts w:ascii="NewBaskerville" w:hAnsi="NewBaskerville"/>
        </w:rPr>
      </w:pPr>
      <w:r>
        <w:rPr>
          <w:rFonts w:ascii="NewBaskerville" w:hAnsi="NewBaskerville"/>
        </w:rPr>
        <w:t>La afectación de bienes mediante la transferencia desde otras Administraciones.</w:t>
      </w:r>
    </w:p>
    <w:p w:rsidR="002C4355" w:rsidRPr="002D6A11" w:rsidRDefault="00981950" w:rsidP="005D0B44">
      <w:pPr>
        <w:numPr>
          <w:ilvl w:val="0"/>
          <w:numId w:val="6"/>
        </w:numPr>
        <w:jc w:val="both"/>
        <w:rPr>
          <w:rFonts w:ascii="NewBaskerville" w:hAnsi="NewBaskerville"/>
        </w:rPr>
      </w:pPr>
      <w:r w:rsidRPr="002D6A11">
        <w:rPr>
          <w:rFonts w:ascii="NewBaskerville" w:hAnsi="NewBaskerville"/>
        </w:rPr>
        <w:t>O</w:t>
      </w:r>
      <w:r w:rsidR="002C4355" w:rsidRPr="002D6A11">
        <w:rPr>
          <w:rFonts w:ascii="NewBaskerville" w:hAnsi="NewBaskerville"/>
        </w:rPr>
        <w:t>bras realizadas sobre el dominio público portuario</w:t>
      </w:r>
      <w:r w:rsidR="008E090B">
        <w:rPr>
          <w:rFonts w:ascii="NewBaskerville" w:hAnsi="NewBaskerville"/>
        </w:rPr>
        <w:t>.</w:t>
      </w:r>
    </w:p>
    <w:p w:rsidR="002C4355" w:rsidRPr="002D6A11" w:rsidRDefault="002C4355" w:rsidP="00981950">
      <w:pPr>
        <w:ind w:left="1287"/>
        <w:jc w:val="both"/>
        <w:rPr>
          <w:rFonts w:ascii="NewBaskerville" w:hAnsi="NewBaskerville"/>
        </w:rPr>
      </w:pPr>
    </w:p>
    <w:p w:rsidR="002C4355" w:rsidRPr="002D6A11" w:rsidRDefault="002C4355">
      <w:pPr>
        <w:pStyle w:val="Sangra3detindependiente"/>
        <w:tabs>
          <w:tab w:val="clear" w:pos="5671"/>
          <w:tab w:val="clear" w:pos="7797"/>
        </w:tabs>
        <w:rPr>
          <w:rFonts w:ascii="NewBaskerville" w:hAnsi="NewBaskerville"/>
          <w:sz w:val="20"/>
          <w:szCs w:val="20"/>
        </w:rPr>
      </w:pPr>
      <w:r w:rsidRPr="002D6A11">
        <w:rPr>
          <w:rFonts w:ascii="NewBaskerville" w:hAnsi="NewBaskerville"/>
          <w:sz w:val="20"/>
          <w:szCs w:val="20"/>
        </w:rPr>
        <w:t>En cuanto a los espacios de agua incluidos en la zona de servicio de los puertos se considera que no deben ser objeto de valoración contable por la dificultad de estimar su valor razonable inicial careciendo igualmente de precio de adquisición, coste de producción o de cualquier tipo de mercado.</w:t>
      </w:r>
    </w:p>
    <w:p w:rsidR="002C4355" w:rsidRPr="002D6A11" w:rsidRDefault="002C4355">
      <w:pPr>
        <w:ind w:firstLine="540"/>
        <w:jc w:val="both"/>
        <w:rPr>
          <w:rFonts w:ascii="NewBaskerville" w:hAnsi="NewBaskerville"/>
        </w:rPr>
      </w:pPr>
    </w:p>
    <w:p w:rsidR="002C4355" w:rsidRPr="002D6A11" w:rsidRDefault="002C4355">
      <w:pPr>
        <w:ind w:firstLine="568"/>
        <w:jc w:val="both"/>
        <w:rPr>
          <w:rFonts w:ascii="NewBaskerville" w:hAnsi="NewBaskerville"/>
        </w:rPr>
      </w:pPr>
      <w:r w:rsidRPr="002D6A11">
        <w:rPr>
          <w:rFonts w:ascii="NewBaskerville" w:hAnsi="NewBaskerville"/>
        </w:rPr>
        <w:t xml:space="preserve">Las reparaciones que no representan una ampliación de la vida útil y los gastos de mantenimiento y conservación son cargados a la </w:t>
      </w:r>
      <w:r w:rsidR="003D4191">
        <w:rPr>
          <w:rFonts w:ascii="NewBaskerville" w:hAnsi="NewBaskerville"/>
        </w:rPr>
        <w:t>c</w:t>
      </w:r>
      <w:r w:rsidRPr="002D6A11">
        <w:rPr>
          <w:rFonts w:ascii="NewBaskerville" w:hAnsi="NewBaskerville"/>
        </w:rPr>
        <w:t xml:space="preserve">uenta de </w:t>
      </w:r>
      <w:r w:rsidR="003D4191">
        <w:rPr>
          <w:rFonts w:ascii="NewBaskerville" w:hAnsi="NewBaskerville"/>
        </w:rPr>
        <w:t>p</w:t>
      </w:r>
      <w:r w:rsidRPr="002D6A11">
        <w:rPr>
          <w:rFonts w:ascii="NewBaskerville" w:hAnsi="NewBaskerville"/>
        </w:rPr>
        <w:t xml:space="preserve">érdidas y </w:t>
      </w:r>
      <w:r w:rsidR="003D4191">
        <w:rPr>
          <w:rFonts w:ascii="NewBaskerville" w:hAnsi="NewBaskerville"/>
        </w:rPr>
        <w:t>g</w:t>
      </w:r>
      <w:r w:rsidRPr="002D6A11">
        <w:rPr>
          <w:rFonts w:ascii="NewBaskerville" w:hAnsi="NewBaskerville"/>
        </w:rPr>
        <w:t>anancias del ejercicio en que se incurren. Los gastos de ampliación, renovación o mejora que dan lugar a un alargamiento de la vida útil del bien o un aumento de su capacidad son capitalizados como un mayor coste del mismo.</w:t>
      </w:r>
    </w:p>
    <w:p w:rsidR="002C4355" w:rsidRPr="002D6A11" w:rsidRDefault="002C4355">
      <w:pPr>
        <w:ind w:firstLine="568"/>
        <w:jc w:val="both"/>
        <w:rPr>
          <w:rFonts w:ascii="NewBaskerville" w:hAnsi="NewBaskerville"/>
        </w:rPr>
      </w:pPr>
    </w:p>
    <w:p w:rsidR="002C4355" w:rsidRPr="002D6A11" w:rsidRDefault="002C4355">
      <w:pPr>
        <w:ind w:firstLine="568"/>
        <w:jc w:val="both"/>
        <w:rPr>
          <w:rFonts w:ascii="NewBaskerville" w:hAnsi="NewBaskerville"/>
        </w:rPr>
      </w:pPr>
      <w:r w:rsidRPr="002D6A11">
        <w:rPr>
          <w:rFonts w:ascii="NewBaskerville" w:hAnsi="NewBaskerville"/>
        </w:rPr>
        <w:t>El inmovilizado material en curso se presenta a su coste de adquisición y no se amortiza hasta que se procede a su incorporación al inmovilizado. Las obras se incorporan cuando se realiza su recepción provisional y los bienes adquiridos en el momento de su puesta en funcionamiento.</w:t>
      </w:r>
    </w:p>
    <w:p w:rsidR="002C4355" w:rsidRPr="002D6A11" w:rsidRDefault="002C4355">
      <w:pPr>
        <w:ind w:firstLine="567"/>
        <w:jc w:val="both"/>
        <w:rPr>
          <w:rFonts w:ascii="NewBaskerville" w:hAnsi="NewBaskerville"/>
        </w:rPr>
      </w:pPr>
    </w:p>
    <w:p w:rsidR="002C4355" w:rsidRPr="002D6A11" w:rsidRDefault="002C4355">
      <w:pPr>
        <w:ind w:firstLine="568"/>
        <w:jc w:val="both"/>
        <w:rPr>
          <w:rFonts w:ascii="NewBaskerville" w:hAnsi="NewBaskerville"/>
        </w:rPr>
      </w:pPr>
      <w:r w:rsidRPr="002D6A11">
        <w:rPr>
          <w:rFonts w:ascii="NewBaskerville" w:hAnsi="NewBaskerville"/>
        </w:rPr>
        <w:t>La dotación anual a la amortización se calcula por el método lineal en función de la vida útil estimada de los diferentes bienes, distribuyéndose los costes de amortización linealmente a lo largo de la vida útil del bien.</w:t>
      </w:r>
    </w:p>
    <w:p w:rsidR="002C4355" w:rsidRPr="002D6A11" w:rsidRDefault="002C4355">
      <w:pPr>
        <w:jc w:val="both"/>
        <w:rPr>
          <w:rFonts w:ascii="NewBaskerville" w:hAnsi="NewBaskerville"/>
        </w:rPr>
      </w:pPr>
    </w:p>
    <w:p w:rsidR="007D42E0" w:rsidRDefault="002C4355" w:rsidP="00D3476A">
      <w:pPr>
        <w:spacing w:after="100"/>
        <w:ind w:firstLine="568"/>
        <w:jc w:val="both"/>
        <w:rPr>
          <w:rFonts w:ascii="NewBaskerville" w:hAnsi="NewBaskerville"/>
        </w:rPr>
      </w:pPr>
      <w:r w:rsidRPr="002D6A11">
        <w:rPr>
          <w:rFonts w:ascii="NewBaskerville" w:hAnsi="NewBaskerville"/>
        </w:rPr>
        <w:t>La vida útil estimada</w:t>
      </w:r>
      <w:r w:rsidR="00234116">
        <w:rPr>
          <w:rFonts w:ascii="NewBaskerville" w:hAnsi="NewBaskerville"/>
        </w:rPr>
        <w:t xml:space="preserve"> y </w:t>
      </w:r>
      <w:r w:rsidR="003E2475">
        <w:rPr>
          <w:rFonts w:ascii="NewBaskerville" w:hAnsi="NewBaskerville"/>
        </w:rPr>
        <w:t>los coeficientes de amortización</w:t>
      </w:r>
      <w:r w:rsidRPr="002D6A11">
        <w:rPr>
          <w:rFonts w:ascii="NewBaskerville" w:hAnsi="NewBaskerville"/>
        </w:rPr>
        <w:t xml:space="preserve"> de los diferentes bienes del inmovilizado material </w:t>
      </w:r>
      <w:r w:rsidR="00234116">
        <w:rPr>
          <w:rFonts w:ascii="NewBaskerville" w:hAnsi="NewBaskerville"/>
        </w:rPr>
        <w:t>aplicados</w:t>
      </w:r>
      <w:r w:rsidRPr="002D6A11">
        <w:rPr>
          <w:rFonts w:ascii="NewBaskerville" w:hAnsi="NewBaskerville"/>
        </w:rPr>
        <w:t>, según el manual de tratamiento contable de los activos materiales e</w:t>
      </w:r>
      <w:r w:rsidR="00234116">
        <w:rPr>
          <w:rFonts w:ascii="NewBaskerville" w:hAnsi="NewBaskerville"/>
        </w:rPr>
        <w:t>laborado por Puertos del Estado, son:</w:t>
      </w:r>
    </w:p>
    <w:p w:rsidR="00A32003" w:rsidRDefault="00A32003" w:rsidP="00D3476A">
      <w:pPr>
        <w:spacing w:after="100"/>
        <w:ind w:firstLine="568"/>
        <w:jc w:val="both"/>
        <w:rPr>
          <w:rFonts w:ascii="NewBaskerville" w:hAnsi="NewBaskerville"/>
        </w:rPr>
      </w:pPr>
    </w:p>
    <w:p w:rsidR="00A32003" w:rsidRDefault="00A32003" w:rsidP="00D3476A">
      <w:pPr>
        <w:spacing w:after="100"/>
        <w:ind w:firstLine="568"/>
        <w:jc w:val="both"/>
        <w:rPr>
          <w:rFonts w:ascii="NewBaskerville" w:hAnsi="NewBaskerville"/>
        </w:rPr>
      </w:pPr>
    </w:p>
    <w:tbl>
      <w:tblPr>
        <w:tblW w:w="8920" w:type="dxa"/>
        <w:tblInd w:w="55" w:type="dxa"/>
        <w:tblCellMar>
          <w:left w:w="70" w:type="dxa"/>
          <w:right w:w="70" w:type="dxa"/>
        </w:tblCellMar>
        <w:tblLook w:val="04A0" w:firstRow="1" w:lastRow="0" w:firstColumn="1" w:lastColumn="0" w:noHBand="0" w:noVBand="1"/>
      </w:tblPr>
      <w:tblGrid>
        <w:gridCol w:w="1460"/>
        <w:gridCol w:w="5140"/>
        <w:gridCol w:w="860"/>
        <w:gridCol w:w="1460"/>
      </w:tblGrid>
      <w:tr w:rsidR="00D3476A" w:rsidRPr="00D3476A" w:rsidTr="00D3476A">
        <w:trPr>
          <w:trHeight w:val="330"/>
        </w:trPr>
        <w:tc>
          <w:tcPr>
            <w:tcW w:w="6600" w:type="dxa"/>
            <w:gridSpan w:val="2"/>
            <w:tcBorders>
              <w:top w:val="single" w:sz="12" w:space="0" w:color="auto"/>
              <w:left w:val="single" w:sz="12" w:space="0" w:color="auto"/>
              <w:bottom w:val="single" w:sz="8" w:space="0" w:color="auto"/>
              <w:right w:val="single" w:sz="8" w:space="0" w:color="000000"/>
            </w:tcBorders>
            <w:shd w:val="clear" w:color="000000" w:fill="CCFFCC"/>
            <w:noWrap/>
            <w:vAlign w:val="center"/>
            <w:hideMark/>
          </w:tcPr>
          <w:p w:rsidR="00D3476A" w:rsidRPr="00D3476A" w:rsidRDefault="00D3476A" w:rsidP="00D3476A">
            <w:pPr>
              <w:jc w:val="center"/>
              <w:rPr>
                <w:rFonts w:ascii="Lucida Bright" w:hAnsi="Lucida Bright" w:cs="Calibri"/>
                <w:b/>
                <w:bCs/>
                <w:sz w:val="18"/>
                <w:szCs w:val="18"/>
                <w:lang w:val="es-ES"/>
              </w:rPr>
            </w:pPr>
            <w:r w:rsidRPr="00D3476A">
              <w:rPr>
                <w:rFonts w:ascii="Lucida Bright" w:hAnsi="Lucida Bright" w:cs="Calibri"/>
                <w:b/>
                <w:bCs/>
                <w:sz w:val="18"/>
                <w:szCs w:val="18"/>
                <w:lang w:val="es-ES"/>
              </w:rPr>
              <w:t>BIENES</w:t>
            </w:r>
          </w:p>
        </w:tc>
        <w:tc>
          <w:tcPr>
            <w:tcW w:w="860" w:type="dxa"/>
            <w:vMerge w:val="restart"/>
            <w:tcBorders>
              <w:top w:val="single" w:sz="12" w:space="0" w:color="auto"/>
              <w:left w:val="single" w:sz="8" w:space="0" w:color="auto"/>
              <w:bottom w:val="single" w:sz="8" w:space="0" w:color="000000"/>
              <w:right w:val="single" w:sz="8" w:space="0" w:color="auto"/>
            </w:tcBorders>
            <w:shd w:val="clear" w:color="000000" w:fill="CCFFCC"/>
            <w:vAlign w:val="center"/>
            <w:hideMark/>
          </w:tcPr>
          <w:p w:rsidR="00D3476A" w:rsidRPr="00D3476A" w:rsidRDefault="00D3476A" w:rsidP="00D3476A">
            <w:pPr>
              <w:jc w:val="center"/>
              <w:rPr>
                <w:rFonts w:ascii="Lucida Bright" w:hAnsi="Lucida Bright" w:cs="Calibri"/>
                <w:b/>
                <w:bCs/>
                <w:sz w:val="18"/>
                <w:szCs w:val="18"/>
                <w:lang w:val="es-ES"/>
              </w:rPr>
            </w:pPr>
            <w:r w:rsidRPr="00D3476A">
              <w:rPr>
                <w:rFonts w:ascii="Lucida Bright" w:hAnsi="Lucida Bright" w:cs="Calibri"/>
                <w:b/>
                <w:bCs/>
                <w:sz w:val="18"/>
                <w:szCs w:val="18"/>
                <w:lang w:val="es-ES"/>
              </w:rPr>
              <w:t>Años de</w:t>
            </w:r>
            <w:r w:rsidRPr="00D3476A">
              <w:rPr>
                <w:rFonts w:ascii="Lucida Bright" w:hAnsi="Lucida Bright" w:cs="Calibri"/>
                <w:b/>
                <w:bCs/>
                <w:sz w:val="18"/>
                <w:szCs w:val="18"/>
                <w:lang w:val="es-ES"/>
              </w:rPr>
              <w:br/>
              <w:t>Vida</w:t>
            </w:r>
            <w:r w:rsidRPr="00D3476A">
              <w:rPr>
                <w:rFonts w:ascii="Lucida Bright" w:hAnsi="Lucida Bright" w:cs="Calibri"/>
                <w:b/>
                <w:bCs/>
                <w:sz w:val="18"/>
                <w:szCs w:val="18"/>
                <w:lang w:val="es-ES"/>
              </w:rPr>
              <w:br/>
              <w:t>Útil</w:t>
            </w:r>
          </w:p>
        </w:tc>
        <w:tc>
          <w:tcPr>
            <w:tcW w:w="1460" w:type="dxa"/>
            <w:vMerge w:val="restart"/>
            <w:tcBorders>
              <w:top w:val="single" w:sz="12" w:space="0" w:color="auto"/>
              <w:left w:val="single" w:sz="8" w:space="0" w:color="auto"/>
              <w:bottom w:val="single" w:sz="8" w:space="0" w:color="000000"/>
              <w:right w:val="single" w:sz="12" w:space="0" w:color="auto"/>
            </w:tcBorders>
            <w:shd w:val="clear" w:color="000000" w:fill="CCFFCC"/>
            <w:vAlign w:val="center"/>
            <w:hideMark/>
          </w:tcPr>
          <w:p w:rsidR="00D3476A" w:rsidRPr="00D3476A" w:rsidRDefault="00D3476A" w:rsidP="00D3476A">
            <w:pPr>
              <w:jc w:val="center"/>
              <w:rPr>
                <w:rFonts w:ascii="Lucida Bright" w:hAnsi="Lucida Bright" w:cs="Calibri"/>
                <w:b/>
                <w:bCs/>
                <w:sz w:val="18"/>
                <w:szCs w:val="18"/>
                <w:lang w:val="es-ES"/>
              </w:rPr>
            </w:pPr>
            <w:r w:rsidRPr="00D3476A">
              <w:rPr>
                <w:rFonts w:ascii="Lucida Bright" w:hAnsi="Lucida Bright" w:cs="Calibri"/>
                <w:b/>
                <w:bCs/>
                <w:sz w:val="18"/>
                <w:szCs w:val="18"/>
                <w:lang w:val="es-ES"/>
              </w:rPr>
              <w:t>%</w:t>
            </w:r>
            <w:r w:rsidRPr="00D3476A">
              <w:rPr>
                <w:rFonts w:ascii="Lucida Bright" w:hAnsi="Lucida Bright" w:cs="Calibri"/>
                <w:b/>
                <w:bCs/>
                <w:sz w:val="18"/>
                <w:szCs w:val="18"/>
                <w:lang w:val="es-ES"/>
              </w:rPr>
              <w:br/>
              <w:t>Amortización</w:t>
            </w:r>
            <w:r w:rsidRPr="00D3476A">
              <w:rPr>
                <w:rFonts w:ascii="Lucida Bright" w:hAnsi="Lucida Bright" w:cs="Calibri"/>
                <w:b/>
                <w:bCs/>
                <w:sz w:val="18"/>
                <w:szCs w:val="18"/>
                <w:lang w:val="es-ES"/>
              </w:rPr>
              <w:br/>
              <w:t>Anual</w:t>
            </w:r>
          </w:p>
        </w:tc>
      </w:tr>
      <w:tr w:rsidR="00D3476A" w:rsidRPr="00D3476A" w:rsidTr="00D3476A">
        <w:trPr>
          <w:trHeight w:val="735"/>
        </w:trPr>
        <w:tc>
          <w:tcPr>
            <w:tcW w:w="1460" w:type="dxa"/>
            <w:tcBorders>
              <w:top w:val="nil"/>
              <w:left w:val="single" w:sz="12" w:space="0" w:color="auto"/>
              <w:bottom w:val="single" w:sz="8" w:space="0" w:color="auto"/>
              <w:right w:val="single" w:sz="8" w:space="0" w:color="auto"/>
            </w:tcBorders>
            <w:shd w:val="clear" w:color="000000" w:fill="CCFFCC"/>
            <w:vAlign w:val="center"/>
            <w:hideMark/>
          </w:tcPr>
          <w:p w:rsidR="00D3476A" w:rsidRPr="00D3476A" w:rsidRDefault="00D3476A" w:rsidP="00D3476A">
            <w:pPr>
              <w:jc w:val="center"/>
              <w:rPr>
                <w:rFonts w:ascii="Lucida Bright" w:hAnsi="Lucida Bright" w:cs="Calibri"/>
                <w:b/>
                <w:bCs/>
                <w:sz w:val="18"/>
                <w:szCs w:val="18"/>
                <w:lang w:val="es-ES"/>
              </w:rPr>
            </w:pPr>
            <w:r w:rsidRPr="00D3476A">
              <w:rPr>
                <w:rFonts w:ascii="Lucida Bright" w:hAnsi="Lucida Bright" w:cs="Calibri"/>
                <w:b/>
                <w:bCs/>
                <w:sz w:val="18"/>
                <w:szCs w:val="18"/>
                <w:lang w:val="es-ES"/>
              </w:rPr>
              <w:t>Clasificación</w:t>
            </w:r>
            <w:r w:rsidRPr="00D3476A">
              <w:rPr>
                <w:rFonts w:ascii="Lucida Bright" w:hAnsi="Lucida Bright" w:cs="Calibri"/>
                <w:b/>
                <w:bCs/>
                <w:sz w:val="18"/>
                <w:szCs w:val="18"/>
                <w:lang w:val="es-ES"/>
              </w:rPr>
              <w:br/>
              <w:t>Funcional</w:t>
            </w:r>
          </w:p>
        </w:tc>
        <w:tc>
          <w:tcPr>
            <w:tcW w:w="5140" w:type="dxa"/>
            <w:tcBorders>
              <w:top w:val="nil"/>
              <w:left w:val="nil"/>
              <w:bottom w:val="single" w:sz="8" w:space="0" w:color="auto"/>
              <w:right w:val="single" w:sz="8" w:space="0" w:color="auto"/>
            </w:tcBorders>
            <w:shd w:val="clear" w:color="000000" w:fill="CCFFCC"/>
            <w:noWrap/>
            <w:vAlign w:val="center"/>
            <w:hideMark/>
          </w:tcPr>
          <w:p w:rsidR="00D3476A" w:rsidRPr="00D3476A" w:rsidRDefault="00D3476A" w:rsidP="00D3476A">
            <w:pPr>
              <w:jc w:val="center"/>
              <w:rPr>
                <w:rFonts w:ascii="Lucida Bright" w:hAnsi="Lucida Bright" w:cs="Calibri"/>
                <w:b/>
                <w:bCs/>
                <w:sz w:val="18"/>
                <w:szCs w:val="18"/>
                <w:lang w:val="es-ES"/>
              </w:rPr>
            </w:pPr>
            <w:r w:rsidRPr="00D3476A">
              <w:rPr>
                <w:rFonts w:ascii="Lucida Bright" w:hAnsi="Lucida Bright" w:cs="Calibri"/>
                <w:b/>
                <w:bCs/>
                <w:sz w:val="18"/>
                <w:szCs w:val="18"/>
                <w:lang w:val="es-ES"/>
              </w:rPr>
              <w:t>Descripción</w:t>
            </w:r>
          </w:p>
        </w:tc>
        <w:tc>
          <w:tcPr>
            <w:tcW w:w="860" w:type="dxa"/>
            <w:vMerge/>
            <w:tcBorders>
              <w:top w:val="single" w:sz="12" w:space="0" w:color="auto"/>
              <w:left w:val="single" w:sz="8" w:space="0" w:color="auto"/>
              <w:bottom w:val="single" w:sz="8" w:space="0" w:color="000000"/>
              <w:right w:val="single" w:sz="8" w:space="0" w:color="auto"/>
            </w:tcBorders>
            <w:vAlign w:val="center"/>
            <w:hideMark/>
          </w:tcPr>
          <w:p w:rsidR="00D3476A" w:rsidRPr="00D3476A" w:rsidRDefault="00D3476A" w:rsidP="00D3476A">
            <w:pPr>
              <w:rPr>
                <w:rFonts w:ascii="Lucida Bright" w:hAnsi="Lucida Bright" w:cs="Calibri"/>
                <w:b/>
                <w:bCs/>
                <w:sz w:val="18"/>
                <w:szCs w:val="18"/>
                <w:lang w:val="es-ES"/>
              </w:rPr>
            </w:pPr>
          </w:p>
        </w:tc>
        <w:tc>
          <w:tcPr>
            <w:tcW w:w="1460" w:type="dxa"/>
            <w:vMerge/>
            <w:tcBorders>
              <w:top w:val="single" w:sz="12" w:space="0" w:color="auto"/>
              <w:left w:val="single" w:sz="8" w:space="0" w:color="auto"/>
              <w:bottom w:val="single" w:sz="8" w:space="0" w:color="000000"/>
              <w:right w:val="single" w:sz="12" w:space="0" w:color="auto"/>
            </w:tcBorders>
            <w:vAlign w:val="center"/>
            <w:hideMark/>
          </w:tcPr>
          <w:p w:rsidR="00D3476A" w:rsidRPr="00D3476A" w:rsidRDefault="00D3476A" w:rsidP="00D3476A">
            <w:pPr>
              <w:rPr>
                <w:rFonts w:ascii="Lucida Bright" w:hAnsi="Lucida Bright" w:cs="Calibri"/>
                <w:b/>
                <w:bCs/>
                <w:sz w:val="18"/>
                <w:szCs w:val="18"/>
                <w:lang w:val="es-ES"/>
              </w:rPr>
            </w:pP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b/>
                <w:bCs/>
                <w:sz w:val="18"/>
                <w:szCs w:val="18"/>
                <w:lang w:val="es-ES"/>
              </w:rPr>
            </w:pPr>
            <w:r w:rsidRPr="00D3476A">
              <w:rPr>
                <w:rFonts w:ascii="Lucida Bright" w:hAnsi="Lucida Bright" w:cs="Calibri"/>
                <w:b/>
                <w:bCs/>
                <w:sz w:val="18"/>
                <w:szCs w:val="18"/>
                <w:lang w:val="es-ES"/>
              </w:rPr>
              <w:t>01</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b/>
                <w:bCs/>
                <w:sz w:val="18"/>
                <w:szCs w:val="18"/>
                <w:lang w:val="es-ES"/>
              </w:rPr>
            </w:pPr>
            <w:r w:rsidRPr="00D3476A">
              <w:rPr>
                <w:rFonts w:ascii="Lucida Bright" w:hAnsi="Lucida Bright" w:cs="Calibri"/>
                <w:b/>
                <w:bCs/>
                <w:sz w:val="18"/>
                <w:szCs w:val="18"/>
                <w:lang w:val="es-ES"/>
              </w:rPr>
              <w:t>Instalaciones de ayudas a la navegación</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0104</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Instalaciones de ayudas visuales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10</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10%</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0105</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Instalaciones de ayudas radioeléctricas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20%</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0106</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Instalaciones de gestión y explotación</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20%</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b/>
                <w:bCs/>
                <w:sz w:val="18"/>
                <w:szCs w:val="18"/>
                <w:lang w:val="es-ES"/>
              </w:rPr>
            </w:pPr>
            <w:r w:rsidRPr="00D3476A">
              <w:rPr>
                <w:rFonts w:ascii="Lucida Bright" w:hAnsi="Lucida Bright" w:cs="Calibri"/>
                <w:b/>
                <w:bCs/>
                <w:sz w:val="18"/>
                <w:szCs w:val="18"/>
                <w:lang w:val="es-ES"/>
              </w:rPr>
              <w:t>02</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b/>
                <w:bCs/>
                <w:sz w:val="18"/>
                <w:szCs w:val="18"/>
                <w:lang w:val="es-ES"/>
              </w:rPr>
            </w:pPr>
            <w:r w:rsidRPr="00D3476A">
              <w:rPr>
                <w:rFonts w:ascii="Lucida Bright" w:hAnsi="Lucida Bright" w:cs="Calibri"/>
                <w:b/>
                <w:bCs/>
                <w:sz w:val="18"/>
                <w:szCs w:val="18"/>
                <w:lang w:val="es-ES"/>
              </w:rPr>
              <w:t>Accesos marítimos: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0201</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Dragados de primer establecimiento</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50</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0203</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Esclusas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75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1,33%</w:t>
            </w:r>
          </w:p>
        </w:tc>
      </w:tr>
      <w:tr w:rsidR="00D3476A" w:rsidRPr="00D3476A" w:rsidTr="00D3476A">
        <w:trPr>
          <w:trHeight w:val="48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0205</w:t>
            </w:r>
          </w:p>
        </w:tc>
        <w:tc>
          <w:tcPr>
            <w:tcW w:w="5140" w:type="dxa"/>
            <w:tcBorders>
              <w:top w:val="nil"/>
              <w:left w:val="nil"/>
              <w:bottom w:val="nil"/>
              <w:right w:val="single" w:sz="4" w:space="0" w:color="auto"/>
            </w:tcBorders>
            <w:shd w:val="clear" w:color="auto" w:fill="auto"/>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Obras permanentes de encauzamiento y defensa de</w:t>
            </w:r>
            <w:r w:rsidRPr="00D3476A">
              <w:rPr>
                <w:rFonts w:ascii="Lucida Bright" w:hAnsi="Lucida Bright" w:cs="Calibri"/>
                <w:sz w:val="18"/>
                <w:szCs w:val="18"/>
                <w:lang w:val="es-ES"/>
              </w:rPr>
              <w:br/>
              <w:t>márgenes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35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2,86%</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b/>
                <w:bCs/>
                <w:sz w:val="18"/>
                <w:szCs w:val="18"/>
                <w:lang w:val="es-ES"/>
              </w:rPr>
            </w:pPr>
            <w:r w:rsidRPr="00D3476A">
              <w:rPr>
                <w:rFonts w:ascii="Lucida Bright" w:hAnsi="Lucida Bright" w:cs="Calibri"/>
                <w:b/>
                <w:bCs/>
                <w:sz w:val="18"/>
                <w:szCs w:val="18"/>
                <w:lang w:val="es-ES"/>
              </w:rPr>
              <w:t>03</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b/>
                <w:bCs/>
                <w:sz w:val="18"/>
                <w:szCs w:val="18"/>
                <w:lang w:val="es-ES"/>
              </w:rPr>
            </w:pPr>
            <w:r w:rsidRPr="00D3476A">
              <w:rPr>
                <w:rFonts w:ascii="Lucida Bright" w:hAnsi="Lucida Bright" w:cs="Calibri"/>
                <w:b/>
                <w:bCs/>
                <w:sz w:val="18"/>
                <w:szCs w:val="18"/>
                <w:lang w:val="es-ES"/>
              </w:rPr>
              <w:t>Obras de abrigo y defensa:</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0301</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Diques y obras de abrigo</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50</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0303</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Escollera de protección de recintos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40</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2,50%</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b/>
                <w:bCs/>
                <w:sz w:val="18"/>
                <w:szCs w:val="18"/>
                <w:lang w:val="es-ES"/>
              </w:rPr>
            </w:pPr>
            <w:r w:rsidRPr="00D3476A">
              <w:rPr>
                <w:rFonts w:ascii="Lucida Bright" w:hAnsi="Lucida Bright" w:cs="Calibri"/>
                <w:b/>
                <w:bCs/>
                <w:sz w:val="18"/>
                <w:szCs w:val="18"/>
                <w:lang w:val="es-ES"/>
              </w:rPr>
              <w:t>04</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b/>
                <w:bCs/>
                <w:sz w:val="18"/>
                <w:szCs w:val="18"/>
                <w:lang w:val="es-ES"/>
              </w:rPr>
            </w:pPr>
            <w:r w:rsidRPr="00D3476A">
              <w:rPr>
                <w:rFonts w:ascii="Lucida Bright" w:hAnsi="Lucida Bright" w:cs="Calibri"/>
                <w:b/>
                <w:bCs/>
                <w:sz w:val="18"/>
                <w:szCs w:val="18"/>
                <w:lang w:val="es-ES"/>
              </w:rPr>
              <w:t>Obras de atraque:</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0401</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Muelles de fábrica</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40</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2,50%</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0402</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 xml:space="preserve">Muelles de </w:t>
            </w:r>
            <w:r w:rsidR="003F24D6" w:rsidRPr="00D3476A">
              <w:rPr>
                <w:rFonts w:ascii="Lucida Bright" w:hAnsi="Lucida Bright" w:cs="Calibri"/>
                <w:sz w:val="18"/>
                <w:szCs w:val="18"/>
                <w:lang w:val="es-ES"/>
              </w:rPr>
              <w:t>hormigón</w:t>
            </w:r>
            <w:r w:rsidRPr="00D3476A">
              <w:rPr>
                <w:rFonts w:ascii="Lucida Bright" w:hAnsi="Lucida Bright" w:cs="Calibri"/>
                <w:sz w:val="18"/>
                <w:szCs w:val="18"/>
                <w:lang w:val="es-ES"/>
              </w:rPr>
              <w:t xml:space="preserve"> armado y metálicos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30</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3,33%</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0403</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Defensas y elementos de amarre</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20%</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0404</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Obras complementarias para atraque</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6,70%</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0405</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Pantalanes flotantes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10</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10%</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0406</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Boyas de amarre</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6,70%</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b/>
                <w:bCs/>
                <w:sz w:val="18"/>
                <w:szCs w:val="18"/>
                <w:lang w:val="es-ES"/>
              </w:rPr>
            </w:pPr>
            <w:r w:rsidRPr="00D3476A">
              <w:rPr>
                <w:rFonts w:ascii="Lucida Bright" w:hAnsi="Lucida Bright" w:cs="Calibri"/>
                <w:b/>
                <w:bCs/>
                <w:sz w:val="18"/>
                <w:szCs w:val="18"/>
                <w:lang w:val="es-ES"/>
              </w:rPr>
              <w:t>05</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b/>
                <w:bCs/>
                <w:sz w:val="18"/>
                <w:szCs w:val="18"/>
                <w:lang w:val="es-ES"/>
              </w:rPr>
            </w:pPr>
            <w:r w:rsidRPr="00D3476A">
              <w:rPr>
                <w:rFonts w:ascii="Lucida Bright" w:hAnsi="Lucida Bright" w:cs="Calibri"/>
                <w:b/>
                <w:bCs/>
                <w:sz w:val="18"/>
                <w:szCs w:val="18"/>
                <w:lang w:val="es-ES"/>
              </w:rPr>
              <w:t>Instalaciones para reparación de barcos: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0501</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Diques secos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40</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2,50%</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0502</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Varaderos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30</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3,33%</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0503</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Diques flotantes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4%</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b/>
                <w:bCs/>
                <w:sz w:val="18"/>
                <w:szCs w:val="18"/>
                <w:lang w:val="es-ES"/>
              </w:rPr>
            </w:pPr>
            <w:r w:rsidRPr="00D3476A">
              <w:rPr>
                <w:rFonts w:ascii="Lucida Bright" w:hAnsi="Lucida Bright" w:cs="Calibri"/>
                <w:b/>
                <w:bCs/>
                <w:sz w:val="18"/>
                <w:szCs w:val="18"/>
                <w:lang w:val="es-ES"/>
              </w:rPr>
              <w:t>06</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b/>
                <w:bCs/>
                <w:sz w:val="18"/>
                <w:szCs w:val="18"/>
                <w:lang w:val="es-ES"/>
              </w:rPr>
            </w:pPr>
            <w:r w:rsidRPr="00D3476A">
              <w:rPr>
                <w:rFonts w:ascii="Lucida Bright" w:hAnsi="Lucida Bright" w:cs="Calibri"/>
                <w:b/>
                <w:bCs/>
                <w:sz w:val="18"/>
                <w:szCs w:val="18"/>
                <w:lang w:val="es-ES"/>
              </w:rPr>
              <w:t>Edificaciones: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0601</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Tinglados, almacenes y depósitos para mercancías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35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2,86%</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0602</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Estaciones marítimas, naves y lonjas de pesca</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35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2,86%</w:t>
            </w:r>
          </w:p>
        </w:tc>
      </w:tr>
      <w:tr w:rsidR="00D3476A" w:rsidRPr="00D3476A" w:rsidTr="00D3476A">
        <w:trPr>
          <w:trHeight w:val="48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0603</w:t>
            </w:r>
          </w:p>
        </w:tc>
        <w:tc>
          <w:tcPr>
            <w:tcW w:w="5140" w:type="dxa"/>
            <w:tcBorders>
              <w:top w:val="nil"/>
              <w:left w:val="nil"/>
              <w:bottom w:val="nil"/>
              <w:right w:val="single" w:sz="4" w:space="0" w:color="auto"/>
            </w:tcBorders>
            <w:shd w:val="clear" w:color="auto" w:fill="auto"/>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Almacenes, talleres, garajes y oficinas, y casetas de pesca, armadores y similares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50</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0604</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Viviendas y otros edificios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50</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0605</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Edificaciones menores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50</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0606</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Módulos y pequeñas construcciones prefabricadas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17</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5,88%</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0607</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Elementos fijos de soporte de ayudas a la navegación</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35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2,86%</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b/>
                <w:bCs/>
                <w:sz w:val="18"/>
                <w:szCs w:val="18"/>
                <w:lang w:val="es-ES"/>
              </w:rPr>
            </w:pPr>
            <w:r w:rsidRPr="00D3476A">
              <w:rPr>
                <w:rFonts w:ascii="Lucida Bright" w:hAnsi="Lucida Bright" w:cs="Calibri"/>
                <w:b/>
                <w:bCs/>
                <w:sz w:val="18"/>
                <w:szCs w:val="18"/>
                <w:lang w:val="es-ES"/>
              </w:rPr>
              <w:lastRenderedPageBreak/>
              <w:t>07</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b/>
                <w:bCs/>
                <w:sz w:val="18"/>
                <w:szCs w:val="18"/>
                <w:lang w:val="es-ES"/>
              </w:rPr>
            </w:pPr>
            <w:r w:rsidRPr="00D3476A">
              <w:rPr>
                <w:rFonts w:ascii="Lucida Bright" w:hAnsi="Lucida Bright" w:cs="Calibri"/>
                <w:b/>
                <w:bCs/>
                <w:sz w:val="18"/>
                <w:szCs w:val="18"/>
                <w:lang w:val="es-ES"/>
              </w:rPr>
              <w:t>Instalaciones generales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0701</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Instalaciones, conducciones y alumbrado exterior:</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48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vAlign w:val="center"/>
            <w:hideMark/>
          </w:tcPr>
          <w:p w:rsidR="00D3476A" w:rsidRPr="00D3476A" w:rsidRDefault="00D3476A" w:rsidP="00D3476A">
            <w:pPr>
              <w:ind w:firstLineChars="100" w:firstLine="180"/>
              <w:rPr>
                <w:rFonts w:ascii="Lucida Bright" w:hAnsi="Lucida Bright" w:cs="Calibri"/>
                <w:sz w:val="18"/>
                <w:szCs w:val="18"/>
                <w:lang w:val="es-ES"/>
              </w:rPr>
            </w:pPr>
            <w:r w:rsidRPr="00D3476A">
              <w:rPr>
                <w:rFonts w:ascii="Lucida Bright" w:hAnsi="Lucida Bright" w:cs="Calibri"/>
                <w:sz w:val="18"/>
                <w:szCs w:val="18"/>
                <w:lang w:val="es-ES"/>
              </w:rPr>
              <w:t>&gt; Subestaciones e instalaciones eléctricas, redes de distribución de energía eléctrica</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17</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5,88%</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ind w:firstLineChars="100" w:firstLine="180"/>
              <w:rPr>
                <w:rFonts w:ascii="Lucida Bright" w:hAnsi="Lucida Bright" w:cs="Calibri"/>
                <w:sz w:val="18"/>
                <w:szCs w:val="18"/>
                <w:lang w:val="es-ES"/>
              </w:rPr>
            </w:pPr>
            <w:r w:rsidRPr="00D3476A">
              <w:rPr>
                <w:rFonts w:ascii="Lucida Bright" w:hAnsi="Lucida Bright" w:cs="Calibri"/>
                <w:sz w:val="18"/>
                <w:szCs w:val="18"/>
                <w:lang w:val="es-ES"/>
              </w:rPr>
              <w:t>&gt; Resto de elementos del epígrafe 0701</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17</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5,88%</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0702</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Cerramientos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17</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5,88%</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0703</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Otras instalaciones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17</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5,88%</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b/>
                <w:bCs/>
                <w:sz w:val="18"/>
                <w:szCs w:val="18"/>
                <w:lang w:val="es-ES"/>
              </w:rPr>
            </w:pPr>
            <w:r w:rsidRPr="00D3476A">
              <w:rPr>
                <w:rFonts w:ascii="Lucida Bright" w:hAnsi="Lucida Bright" w:cs="Calibri"/>
                <w:b/>
                <w:bCs/>
                <w:sz w:val="18"/>
                <w:szCs w:val="18"/>
                <w:lang w:val="es-ES"/>
              </w:rPr>
              <w:t>08</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b/>
                <w:bCs/>
                <w:sz w:val="18"/>
                <w:szCs w:val="18"/>
                <w:lang w:val="es-ES"/>
              </w:rPr>
            </w:pPr>
            <w:r w:rsidRPr="00D3476A">
              <w:rPr>
                <w:rFonts w:ascii="Lucida Bright" w:hAnsi="Lucida Bright" w:cs="Calibri"/>
                <w:b/>
                <w:bCs/>
                <w:sz w:val="18"/>
                <w:szCs w:val="18"/>
                <w:lang w:val="es-ES"/>
              </w:rPr>
              <w:t>Pavimentos, calzadas y vías de circulación</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0801</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Vías férreas y estaciones de clasificación</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4%</w:t>
            </w:r>
          </w:p>
        </w:tc>
      </w:tr>
      <w:tr w:rsidR="00D3476A" w:rsidRPr="00D3476A" w:rsidTr="00D3476A">
        <w:trPr>
          <w:trHeight w:val="48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0802</w:t>
            </w:r>
          </w:p>
        </w:tc>
        <w:tc>
          <w:tcPr>
            <w:tcW w:w="5140" w:type="dxa"/>
            <w:tcBorders>
              <w:top w:val="nil"/>
              <w:left w:val="nil"/>
              <w:bottom w:val="nil"/>
              <w:right w:val="single" w:sz="4" w:space="0" w:color="auto"/>
            </w:tcBorders>
            <w:shd w:val="clear" w:color="auto" w:fill="auto"/>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Pavimentos en muelles y zonas de manipulación y depósito</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6,70%</w:t>
            </w:r>
          </w:p>
        </w:tc>
      </w:tr>
      <w:tr w:rsidR="00D3476A" w:rsidRPr="00D3476A" w:rsidTr="00D3476A">
        <w:trPr>
          <w:trHeight w:val="48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0803</w:t>
            </w:r>
          </w:p>
        </w:tc>
        <w:tc>
          <w:tcPr>
            <w:tcW w:w="5140" w:type="dxa"/>
            <w:tcBorders>
              <w:top w:val="nil"/>
              <w:left w:val="nil"/>
              <w:bottom w:val="nil"/>
              <w:right w:val="single" w:sz="4" w:space="0" w:color="auto"/>
            </w:tcBorders>
            <w:shd w:val="clear" w:color="auto" w:fill="auto"/>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Caminos, zonas de circulación y aparcamiento,</w:t>
            </w:r>
            <w:r w:rsidRPr="00D3476A">
              <w:rPr>
                <w:rFonts w:ascii="Lucida Bright" w:hAnsi="Lucida Bright" w:cs="Calibri"/>
                <w:sz w:val="18"/>
                <w:szCs w:val="18"/>
                <w:lang w:val="es-ES"/>
              </w:rPr>
              <w:br/>
              <w:t>depósitos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6,50%</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0804</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Puentes de fábrica</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45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2,22%</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0805</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Puentes metálicos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35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2,86%</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0806</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Túneles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35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2,86%</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b/>
                <w:bCs/>
                <w:sz w:val="18"/>
                <w:szCs w:val="18"/>
                <w:lang w:val="es-ES"/>
              </w:rPr>
            </w:pPr>
            <w:r w:rsidRPr="00D3476A">
              <w:rPr>
                <w:rFonts w:ascii="Lucida Bright" w:hAnsi="Lucida Bright" w:cs="Calibri"/>
                <w:b/>
                <w:bCs/>
                <w:sz w:val="18"/>
                <w:szCs w:val="18"/>
                <w:lang w:val="es-ES"/>
              </w:rPr>
              <w:t>09</w:t>
            </w:r>
          </w:p>
        </w:tc>
        <w:tc>
          <w:tcPr>
            <w:tcW w:w="5140" w:type="dxa"/>
            <w:tcBorders>
              <w:top w:val="nil"/>
              <w:left w:val="nil"/>
              <w:bottom w:val="nil"/>
              <w:right w:val="single" w:sz="4" w:space="0" w:color="auto"/>
            </w:tcBorders>
            <w:shd w:val="clear" w:color="auto" w:fill="auto"/>
            <w:vAlign w:val="center"/>
            <w:hideMark/>
          </w:tcPr>
          <w:p w:rsidR="00D3476A" w:rsidRPr="00D3476A" w:rsidRDefault="00D3476A" w:rsidP="00D3476A">
            <w:pPr>
              <w:rPr>
                <w:rFonts w:ascii="Lucida Bright" w:hAnsi="Lucida Bright" w:cs="Calibri"/>
                <w:b/>
                <w:bCs/>
                <w:sz w:val="18"/>
                <w:szCs w:val="18"/>
                <w:lang w:val="es-ES"/>
              </w:rPr>
            </w:pPr>
            <w:r w:rsidRPr="00D3476A">
              <w:rPr>
                <w:rFonts w:ascii="Lucida Bright" w:hAnsi="Lucida Bright" w:cs="Calibri"/>
                <w:b/>
                <w:bCs/>
                <w:sz w:val="18"/>
                <w:szCs w:val="18"/>
                <w:lang w:val="es-ES"/>
              </w:rPr>
              <w:t>Equipos de manipulación de mercancías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0901</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Cargaderos e instalaciones especiales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20</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5%</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0902</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Grúas de pórtico y porta contenedores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20</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5%</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0903</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Grúas automóviles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10</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10%</w:t>
            </w:r>
          </w:p>
        </w:tc>
      </w:tr>
      <w:tr w:rsidR="00D3476A" w:rsidRPr="00D3476A" w:rsidTr="00D3476A">
        <w:trPr>
          <w:trHeight w:val="48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0904</w:t>
            </w:r>
          </w:p>
        </w:tc>
        <w:tc>
          <w:tcPr>
            <w:tcW w:w="5140" w:type="dxa"/>
            <w:tcBorders>
              <w:top w:val="nil"/>
              <w:left w:val="nil"/>
              <w:bottom w:val="nil"/>
              <w:right w:val="single" w:sz="4" w:space="0" w:color="auto"/>
            </w:tcBorders>
            <w:shd w:val="clear" w:color="auto" w:fill="auto"/>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Carretillas, tractores, remolques y tolvas, cintas y</w:t>
            </w:r>
            <w:r w:rsidRPr="00D3476A">
              <w:rPr>
                <w:rFonts w:ascii="Lucida Bright" w:hAnsi="Lucida Bright" w:cs="Calibri"/>
                <w:sz w:val="18"/>
                <w:szCs w:val="18"/>
                <w:lang w:val="es-ES"/>
              </w:rPr>
              <w:br/>
              <w:t>equipo ligero:</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vAlign w:val="center"/>
            <w:hideMark/>
          </w:tcPr>
          <w:p w:rsidR="00D3476A" w:rsidRPr="00D3476A" w:rsidRDefault="00D3476A" w:rsidP="00D3476A">
            <w:pPr>
              <w:ind w:firstLineChars="100" w:firstLine="180"/>
              <w:rPr>
                <w:rFonts w:ascii="Lucida Bright" w:hAnsi="Lucida Bright" w:cs="Calibri"/>
                <w:sz w:val="18"/>
                <w:szCs w:val="18"/>
                <w:lang w:val="es-ES"/>
              </w:rPr>
            </w:pPr>
            <w:r w:rsidRPr="00D3476A">
              <w:rPr>
                <w:rFonts w:ascii="Lucida Bright" w:hAnsi="Lucida Bright" w:cs="Calibri"/>
                <w:sz w:val="18"/>
                <w:szCs w:val="18"/>
                <w:lang w:val="es-ES"/>
              </w:rPr>
              <w:t>&gt; Tractores, autocamiones y remolques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10</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10%</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vAlign w:val="center"/>
            <w:hideMark/>
          </w:tcPr>
          <w:p w:rsidR="00D3476A" w:rsidRPr="00D3476A" w:rsidRDefault="00D3476A" w:rsidP="00D3476A">
            <w:pPr>
              <w:ind w:firstLineChars="100" w:firstLine="180"/>
              <w:rPr>
                <w:rFonts w:ascii="Lucida Bright" w:hAnsi="Lucida Bright" w:cs="Calibri"/>
                <w:sz w:val="18"/>
                <w:szCs w:val="18"/>
                <w:lang w:val="es-ES"/>
              </w:rPr>
            </w:pPr>
            <w:r w:rsidRPr="00D3476A">
              <w:rPr>
                <w:rFonts w:ascii="Lucida Bright" w:hAnsi="Lucida Bright" w:cs="Calibri"/>
                <w:sz w:val="18"/>
                <w:szCs w:val="18"/>
                <w:lang w:val="es-ES"/>
              </w:rPr>
              <w:t>&gt; Resto epígrafe 0904</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10</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10%</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b/>
                <w:bCs/>
                <w:sz w:val="18"/>
                <w:szCs w:val="18"/>
                <w:lang w:val="es-ES"/>
              </w:rPr>
            </w:pPr>
            <w:r w:rsidRPr="00D3476A">
              <w:rPr>
                <w:rFonts w:ascii="Lucida Bright" w:hAnsi="Lucida Bright" w:cs="Calibri"/>
                <w:b/>
                <w:bCs/>
                <w:sz w:val="18"/>
                <w:szCs w:val="18"/>
                <w:lang w:val="es-ES"/>
              </w:rPr>
              <w:t>10</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b/>
                <w:bCs/>
                <w:sz w:val="18"/>
                <w:szCs w:val="18"/>
                <w:lang w:val="es-ES"/>
              </w:rPr>
            </w:pPr>
            <w:r w:rsidRPr="00D3476A">
              <w:rPr>
                <w:rFonts w:ascii="Lucida Bright" w:hAnsi="Lucida Bright" w:cs="Calibri"/>
                <w:b/>
                <w:bCs/>
                <w:sz w:val="18"/>
                <w:szCs w:val="18"/>
                <w:lang w:val="es-ES"/>
              </w:rPr>
              <w:t>Material flotante</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1001</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Cabrias y grúas flotantes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4%</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1002</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Dragas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4%</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1003</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Remolcadores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4%</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1004</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Gánguiles, gabarras y barcazas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4%</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1005</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Equipo auxiliar y equipo de buzos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10</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10%</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1006</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Embarcaciones de servicio</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6,70%</w:t>
            </w:r>
          </w:p>
        </w:tc>
      </w:tr>
      <w:tr w:rsidR="00D3476A" w:rsidRPr="00D3476A" w:rsidTr="00D3476A">
        <w:trPr>
          <w:trHeight w:val="48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1007</w:t>
            </w:r>
          </w:p>
        </w:tc>
        <w:tc>
          <w:tcPr>
            <w:tcW w:w="5140" w:type="dxa"/>
            <w:tcBorders>
              <w:top w:val="nil"/>
              <w:left w:val="nil"/>
              <w:bottom w:val="nil"/>
              <w:right w:val="single" w:sz="4" w:space="0" w:color="auto"/>
            </w:tcBorders>
            <w:shd w:val="clear" w:color="auto" w:fill="auto"/>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Elementos comunes de soporte flotante de ayudas a la navegación</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6,70%</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b/>
                <w:bCs/>
                <w:sz w:val="18"/>
                <w:szCs w:val="18"/>
                <w:lang w:val="es-ES"/>
              </w:rPr>
            </w:pPr>
            <w:r w:rsidRPr="00D3476A">
              <w:rPr>
                <w:rFonts w:ascii="Lucida Bright" w:hAnsi="Lucida Bright" w:cs="Calibri"/>
                <w:b/>
                <w:bCs/>
                <w:sz w:val="18"/>
                <w:szCs w:val="18"/>
                <w:lang w:val="es-ES"/>
              </w:rPr>
              <w:t>11</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b/>
                <w:bCs/>
                <w:sz w:val="18"/>
                <w:szCs w:val="18"/>
                <w:lang w:val="es-ES"/>
              </w:rPr>
            </w:pPr>
            <w:r w:rsidRPr="00D3476A">
              <w:rPr>
                <w:rFonts w:ascii="Lucida Bright" w:hAnsi="Lucida Bright" w:cs="Calibri"/>
                <w:b/>
                <w:bCs/>
                <w:sz w:val="18"/>
                <w:szCs w:val="18"/>
                <w:lang w:val="es-ES"/>
              </w:rPr>
              <w:t>Equipos de transporte</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1101</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Automóviles y motocicletas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6,25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16%</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1102</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Camiones y furgonetas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6,25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16%</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b/>
                <w:bCs/>
                <w:sz w:val="18"/>
                <w:szCs w:val="18"/>
                <w:lang w:val="es-ES"/>
              </w:rPr>
            </w:pPr>
            <w:r w:rsidRPr="00D3476A">
              <w:rPr>
                <w:rFonts w:ascii="Lucida Bright" w:hAnsi="Lucida Bright" w:cs="Calibri"/>
                <w:b/>
                <w:bCs/>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b/>
                <w:bCs/>
                <w:sz w:val="18"/>
                <w:szCs w:val="18"/>
                <w:lang w:val="es-ES"/>
              </w:rPr>
            </w:pPr>
            <w:r w:rsidRPr="00D3476A">
              <w:rPr>
                <w:rFonts w:ascii="Lucida Bright" w:hAnsi="Lucida Bright" w:cs="Calibri"/>
                <w:b/>
                <w:bCs/>
                <w:sz w:val="18"/>
                <w:szCs w:val="18"/>
                <w:lang w:val="es-ES"/>
              </w:rPr>
              <w:t>12</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b/>
                <w:bCs/>
                <w:sz w:val="18"/>
                <w:szCs w:val="18"/>
                <w:lang w:val="es-ES"/>
              </w:rPr>
            </w:pPr>
            <w:r w:rsidRPr="00D3476A">
              <w:rPr>
                <w:rFonts w:ascii="Lucida Bright" w:hAnsi="Lucida Bright" w:cs="Calibri"/>
                <w:b/>
                <w:bCs/>
                <w:sz w:val="18"/>
                <w:szCs w:val="18"/>
                <w:lang w:val="es-ES"/>
              </w:rPr>
              <w:t>Material ferroviario</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1201</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Locomotoras y tractores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6,70%</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1202</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Vagones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20</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5%</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lastRenderedPageBreak/>
              <w:t> </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b/>
                <w:bCs/>
                <w:sz w:val="18"/>
                <w:szCs w:val="18"/>
                <w:lang w:val="es-ES"/>
              </w:rPr>
            </w:pPr>
            <w:r w:rsidRPr="00D3476A">
              <w:rPr>
                <w:rFonts w:ascii="Lucida Bright" w:hAnsi="Lucida Bright" w:cs="Calibri"/>
                <w:b/>
                <w:bCs/>
                <w:sz w:val="18"/>
                <w:szCs w:val="18"/>
                <w:lang w:val="es-ES"/>
              </w:rPr>
              <w:t>13</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b/>
                <w:bCs/>
                <w:sz w:val="18"/>
                <w:szCs w:val="18"/>
                <w:lang w:val="es-ES"/>
              </w:rPr>
            </w:pPr>
            <w:r w:rsidRPr="00D3476A">
              <w:rPr>
                <w:rFonts w:ascii="Lucida Bright" w:hAnsi="Lucida Bright" w:cs="Calibri"/>
                <w:b/>
                <w:bCs/>
                <w:sz w:val="18"/>
                <w:szCs w:val="18"/>
                <w:lang w:val="es-ES"/>
              </w:rPr>
              <w:t>Equipo de taller</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1301</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Equipo de taller</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14</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7,10%</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b/>
                <w:bCs/>
                <w:sz w:val="18"/>
                <w:szCs w:val="18"/>
                <w:lang w:val="es-ES"/>
              </w:rPr>
            </w:pPr>
            <w:r w:rsidRPr="00D3476A">
              <w:rPr>
                <w:rFonts w:ascii="Lucida Bright" w:hAnsi="Lucida Bright" w:cs="Calibri"/>
                <w:b/>
                <w:bCs/>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b/>
                <w:bCs/>
                <w:sz w:val="18"/>
                <w:szCs w:val="18"/>
                <w:lang w:val="es-ES"/>
              </w:rPr>
            </w:pPr>
            <w:r w:rsidRPr="00D3476A">
              <w:rPr>
                <w:rFonts w:ascii="Lucida Bright" w:hAnsi="Lucida Bright" w:cs="Calibri"/>
                <w:b/>
                <w:bCs/>
                <w:sz w:val="18"/>
                <w:szCs w:val="18"/>
                <w:lang w:val="es-ES"/>
              </w:rPr>
              <w:t>14</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b/>
                <w:bCs/>
                <w:sz w:val="18"/>
                <w:szCs w:val="18"/>
                <w:lang w:val="es-ES"/>
              </w:rPr>
            </w:pPr>
            <w:r w:rsidRPr="00D3476A">
              <w:rPr>
                <w:rFonts w:ascii="Lucida Bright" w:hAnsi="Lucida Bright" w:cs="Calibri"/>
                <w:b/>
                <w:bCs/>
                <w:sz w:val="18"/>
                <w:szCs w:val="18"/>
                <w:lang w:val="es-ES"/>
              </w:rPr>
              <w:t>Mobiliario y enseres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1401</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Mobiliario y enseres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10</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10%</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b/>
                <w:bCs/>
                <w:sz w:val="18"/>
                <w:szCs w:val="18"/>
                <w:lang w:val="es-ES"/>
              </w:rPr>
            </w:pPr>
            <w:r w:rsidRPr="00D3476A">
              <w:rPr>
                <w:rFonts w:ascii="Lucida Bright" w:hAnsi="Lucida Bright" w:cs="Calibri"/>
                <w:b/>
                <w:bCs/>
                <w:sz w:val="18"/>
                <w:szCs w:val="18"/>
                <w:lang w:val="es-ES"/>
              </w:rPr>
              <w:t>15</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b/>
                <w:bCs/>
                <w:sz w:val="18"/>
                <w:szCs w:val="18"/>
                <w:lang w:val="es-ES"/>
              </w:rPr>
            </w:pPr>
            <w:r w:rsidRPr="00D3476A">
              <w:rPr>
                <w:rFonts w:ascii="Lucida Bright" w:hAnsi="Lucida Bright" w:cs="Calibri"/>
                <w:b/>
                <w:bCs/>
                <w:sz w:val="18"/>
                <w:szCs w:val="18"/>
                <w:lang w:val="es-ES"/>
              </w:rPr>
              <w:t>Material diverso</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1501</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Material diverso</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ind w:firstLineChars="100" w:firstLine="180"/>
              <w:rPr>
                <w:rFonts w:ascii="Lucida Bright" w:hAnsi="Lucida Bright" w:cs="Calibri"/>
                <w:sz w:val="18"/>
                <w:szCs w:val="18"/>
                <w:lang w:val="es-ES"/>
              </w:rPr>
            </w:pPr>
            <w:r w:rsidRPr="00D3476A">
              <w:rPr>
                <w:rFonts w:ascii="Lucida Bright" w:hAnsi="Lucida Bright" w:cs="Calibri"/>
                <w:sz w:val="18"/>
                <w:szCs w:val="18"/>
                <w:lang w:val="es-ES"/>
              </w:rPr>
              <w:t>&gt; Mobiliario urbano, árboles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6,67</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15%</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ind w:firstLineChars="100" w:firstLine="180"/>
              <w:rPr>
                <w:rFonts w:ascii="Lucida Bright" w:hAnsi="Lucida Bright" w:cs="Calibri"/>
                <w:sz w:val="18"/>
                <w:szCs w:val="18"/>
                <w:lang w:val="es-ES"/>
              </w:rPr>
            </w:pPr>
            <w:r w:rsidRPr="00D3476A">
              <w:rPr>
                <w:rFonts w:ascii="Lucida Bright" w:hAnsi="Lucida Bright" w:cs="Calibri"/>
                <w:sz w:val="18"/>
                <w:szCs w:val="18"/>
                <w:lang w:val="es-ES"/>
              </w:rPr>
              <w:t>&gt; Equipos de oficina, material de laboratorio</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6,67</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15%</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ind w:firstLineChars="100" w:firstLine="180"/>
              <w:rPr>
                <w:rFonts w:ascii="Lucida Bright" w:hAnsi="Lucida Bright" w:cs="Calibri"/>
                <w:sz w:val="18"/>
                <w:szCs w:val="18"/>
                <w:lang w:val="es-ES"/>
              </w:rPr>
            </w:pPr>
            <w:r w:rsidRPr="00D3476A">
              <w:rPr>
                <w:rFonts w:ascii="Lucida Bright" w:hAnsi="Lucida Bright" w:cs="Calibri"/>
                <w:sz w:val="18"/>
                <w:szCs w:val="18"/>
                <w:lang w:val="es-ES"/>
              </w:rPr>
              <w:t>&gt; Equipos para radiocomunicaciones, radioteléfonos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5</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20%</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ind w:firstLineChars="100" w:firstLine="180"/>
              <w:rPr>
                <w:rFonts w:ascii="Lucida Bright" w:hAnsi="Lucida Bright" w:cs="Calibri"/>
                <w:sz w:val="18"/>
                <w:szCs w:val="18"/>
                <w:lang w:val="es-ES"/>
              </w:rPr>
            </w:pPr>
            <w:r w:rsidRPr="00D3476A">
              <w:rPr>
                <w:rFonts w:ascii="Lucida Bright" w:hAnsi="Lucida Bright" w:cs="Calibri"/>
                <w:sz w:val="18"/>
                <w:szCs w:val="18"/>
                <w:lang w:val="es-ES"/>
              </w:rPr>
              <w:t>&gt; Equipos médicos asistenciales</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6,67</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15%</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 </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 </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00"/>
        </w:trPr>
        <w:tc>
          <w:tcPr>
            <w:tcW w:w="1460" w:type="dxa"/>
            <w:tcBorders>
              <w:top w:val="nil"/>
              <w:left w:val="single" w:sz="12" w:space="0" w:color="auto"/>
              <w:bottom w:val="nil"/>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b/>
                <w:bCs/>
                <w:sz w:val="18"/>
                <w:szCs w:val="18"/>
                <w:lang w:val="es-ES"/>
              </w:rPr>
            </w:pPr>
            <w:r w:rsidRPr="00D3476A">
              <w:rPr>
                <w:rFonts w:ascii="Lucida Bright" w:hAnsi="Lucida Bright" w:cs="Calibri"/>
                <w:b/>
                <w:bCs/>
                <w:sz w:val="18"/>
                <w:szCs w:val="18"/>
                <w:lang w:val="es-ES"/>
              </w:rPr>
              <w:t>16</w:t>
            </w:r>
          </w:p>
        </w:tc>
        <w:tc>
          <w:tcPr>
            <w:tcW w:w="5140" w:type="dxa"/>
            <w:tcBorders>
              <w:top w:val="nil"/>
              <w:left w:val="nil"/>
              <w:bottom w:val="nil"/>
              <w:right w:val="single" w:sz="4" w:space="0" w:color="auto"/>
            </w:tcBorders>
            <w:shd w:val="clear" w:color="auto" w:fill="auto"/>
            <w:noWrap/>
            <w:vAlign w:val="center"/>
            <w:hideMark/>
          </w:tcPr>
          <w:p w:rsidR="00D3476A" w:rsidRPr="00D3476A" w:rsidRDefault="00D3476A" w:rsidP="00D3476A">
            <w:pPr>
              <w:rPr>
                <w:rFonts w:ascii="Lucida Bright" w:hAnsi="Lucida Bright" w:cs="Calibri"/>
                <w:b/>
                <w:bCs/>
                <w:sz w:val="18"/>
                <w:szCs w:val="18"/>
                <w:lang w:val="es-ES"/>
              </w:rPr>
            </w:pPr>
            <w:r w:rsidRPr="00D3476A">
              <w:rPr>
                <w:rFonts w:ascii="Lucida Bright" w:hAnsi="Lucida Bright" w:cs="Calibri"/>
                <w:b/>
                <w:bCs/>
                <w:sz w:val="18"/>
                <w:szCs w:val="18"/>
                <w:lang w:val="es-ES"/>
              </w:rPr>
              <w:t>Equipo informático</w:t>
            </w:r>
          </w:p>
        </w:tc>
        <w:tc>
          <w:tcPr>
            <w:tcW w:w="860" w:type="dxa"/>
            <w:tcBorders>
              <w:top w:val="nil"/>
              <w:left w:val="nil"/>
              <w:bottom w:val="nil"/>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c>
          <w:tcPr>
            <w:tcW w:w="1460" w:type="dxa"/>
            <w:tcBorders>
              <w:top w:val="nil"/>
              <w:left w:val="nil"/>
              <w:bottom w:val="nil"/>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 </w:t>
            </w:r>
          </w:p>
        </w:tc>
      </w:tr>
      <w:tr w:rsidR="00D3476A" w:rsidRPr="00D3476A" w:rsidTr="00D3476A">
        <w:trPr>
          <w:trHeight w:val="315"/>
        </w:trPr>
        <w:tc>
          <w:tcPr>
            <w:tcW w:w="1460" w:type="dxa"/>
            <w:tcBorders>
              <w:top w:val="nil"/>
              <w:left w:val="single" w:sz="12" w:space="0" w:color="auto"/>
              <w:bottom w:val="single" w:sz="12" w:space="0" w:color="auto"/>
              <w:right w:val="single" w:sz="4" w:space="0" w:color="auto"/>
            </w:tcBorders>
            <w:shd w:val="clear" w:color="auto" w:fill="auto"/>
            <w:noWrap/>
            <w:vAlign w:val="center"/>
            <w:hideMark/>
          </w:tcPr>
          <w:p w:rsidR="00D3476A" w:rsidRPr="00D3476A" w:rsidRDefault="00D3476A" w:rsidP="00D3476A">
            <w:pPr>
              <w:jc w:val="right"/>
              <w:rPr>
                <w:rFonts w:ascii="Lucida Bright" w:hAnsi="Lucida Bright" w:cs="Calibri"/>
                <w:sz w:val="18"/>
                <w:szCs w:val="18"/>
                <w:lang w:val="es-ES"/>
              </w:rPr>
            </w:pPr>
            <w:r w:rsidRPr="00D3476A">
              <w:rPr>
                <w:rFonts w:ascii="Lucida Bright" w:hAnsi="Lucida Bright" w:cs="Calibri"/>
                <w:sz w:val="18"/>
                <w:szCs w:val="18"/>
                <w:lang w:val="es-ES"/>
              </w:rPr>
              <w:t>1601</w:t>
            </w:r>
          </w:p>
        </w:tc>
        <w:tc>
          <w:tcPr>
            <w:tcW w:w="5140" w:type="dxa"/>
            <w:tcBorders>
              <w:top w:val="nil"/>
              <w:left w:val="nil"/>
              <w:bottom w:val="single" w:sz="12" w:space="0" w:color="auto"/>
              <w:right w:val="single" w:sz="4" w:space="0" w:color="auto"/>
            </w:tcBorders>
            <w:shd w:val="clear" w:color="auto" w:fill="auto"/>
            <w:vAlign w:val="center"/>
            <w:hideMark/>
          </w:tcPr>
          <w:p w:rsidR="00D3476A" w:rsidRPr="00D3476A" w:rsidRDefault="00D3476A" w:rsidP="00D3476A">
            <w:pPr>
              <w:rPr>
                <w:rFonts w:ascii="Lucida Bright" w:hAnsi="Lucida Bright" w:cs="Calibri"/>
                <w:sz w:val="18"/>
                <w:szCs w:val="18"/>
                <w:lang w:val="es-ES"/>
              </w:rPr>
            </w:pPr>
            <w:r w:rsidRPr="00D3476A">
              <w:rPr>
                <w:rFonts w:ascii="Lucida Bright" w:hAnsi="Lucida Bright" w:cs="Calibri"/>
                <w:sz w:val="18"/>
                <w:szCs w:val="18"/>
                <w:lang w:val="es-ES"/>
              </w:rPr>
              <w:t xml:space="preserve">Equipo </w:t>
            </w:r>
            <w:r w:rsidR="003F24D6" w:rsidRPr="00D3476A">
              <w:rPr>
                <w:rFonts w:ascii="Lucida Bright" w:hAnsi="Lucida Bright" w:cs="Calibri"/>
                <w:sz w:val="18"/>
                <w:szCs w:val="18"/>
                <w:lang w:val="es-ES"/>
              </w:rPr>
              <w:t>informático</w:t>
            </w:r>
            <w:r w:rsidRPr="00D3476A">
              <w:rPr>
                <w:rFonts w:ascii="Lucida Bright" w:hAnsi="Lucida Bright" w:cs="Calibri"/>
                <w:sz w:val="18"/>
                <w:szCs w:val="18"/>
                <w:lang w:val="es-ES"/>
              </w:rPr>
              <w:t xml:space="preserve"> (hardware)</w:t>
            </w:r>
          </w:p>
        </w:tc>
        <w:tc>
          <w:tcPr>
            <w:tcW w:w="860" w:type="dxa"/>
            <w:tcBorders>
              <w:top w:val="nil"/>
              <w:left w:val="nil"/>
              <w:bottom w:val="single" w:sz="12" w:space="0" w:color="auto"/>
              <w:right w:val="single" w:sz="4"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5</w:t>
            </w:r>
          </w:p>
        </w:tc>
        <w:tc>
          <w:tcPr>
            <w:tcW w:w="1460" w:type="dxa"/>
            <w:tcBorders>
              <w:top w:val="nil"/>
              <w:left w:val="nil"/>
              <w:bottom w:val="single" w:sz="12" w:space="0" w:color="auto"/>
              <w:right w:val="single" w:sz="12" w:space="0" w:color="auto"/>
            </w:tcBorders>
            <w:shd w:val="clear" w:color="auto" w:fill="auto"/>
            <w:noWrap/>
            <w:vAlign w:val="center"/>
            <w:hideMark/>
          </w:tcPr>
          <w:p w:rsidR="00D3476A" w:rsidRPr="00D3476A" w:rsidRDefault="00D3476A" w:rsidP="00D3476A">
            <w:pPr>
              <w:jc w:val="center"/>
              <w:rPr>
                <w:rFonts w:ascii="Lucida Bright" w:hAnsi="Lucida Bright" w:cs="Calibri"/>
                <w:sz w:val="18"/>
                <w:szCs w:val="18"/>
                <w:lang w:val="es-ES"/>
              </w:rPr>
            </w:pPr>
            <w:r w:rsidRPr="00D3476A">
              <w:rPr>
                <w:rFonts w:ascii="Lucida Bright" w:hAnsi="Lucida Bright" w:cs="Calibri"/>
                <w:sz w:val="18"/>
                <w:szCs w:val="18"/>
                <w:lang w:val="es-ES"/>
              </w:rPr>
              <w:t>20%</w:t>
            </w:r>
          </w:p>
        </w:tc>
      </w:tr>
    </w:tbl>
    <w:p w:rsidR="00234116" w:rsidRDefault="00234116" w:rsidP="00234116">
      <w:pPr>
        <w:jc w:val="both"/>
        <w:rPr>
          <w:rFonts w:ascii="NewBaskerville" w:hAnsi="NewBaskerville"/>
        </w:rPr>
      </w:pPr>
    </w:p>
    <w:p w:rsidR="00D3476A" w:rsidRDefault="00D3476A" w:rsidP="00D3476A">
      <w:pPr>
        <w:ind w:firstLine="567"/>
        <w:jc w:val="both"/>
        <w:rPr>
          <w:rFonts w:ascii="NewBaskerville" w:hAnsi="NewBaskerville"/>
        </w:rPr>
      </w:pPr>
    </w:p>
    <w:p w:rsidR="008E090B" w:rsidRDefault="008E090B" w:rsidP="00D3476A">
      <w:pPr>
        <w:ind w:firstLine="567"/>
        <w:jc w:val="both"/>
        <w:rPr>
          <w:rFonts w:ascii="NewBaskerville" w:hAnsi="NewBaskerville"/>
        </w:rPr>
      </w:pPr>
    </w:p>
    <w:p w:rsidR="002C4355" w:rsidRPr="006C6932" w:rsidRDefault="00BA6314" w:rsidP="00BA6314">
      <w:pPr>
        <w:pStyle w:val="Prrafodelista"/>
        <w:numPr>
          <w:ilvl w:val="0"/>
          <w:numId w:val="3"/>
        </w:numPr>
        <w:spacing w:after="120"/>
        <w:jc w:val="both"/>
        <w:rPr>
          <w:rFonts w:ascii="NewBaskerville" w:hAnsi="NewBaskerville"/>
          <w:bCs/>
        </w:rPr>
      </w:pPr>
      <w:r w:rsidRPr="006C6932">
        <w:rPr>
          <w:rFonts w:ascii="NewBaskerville" w:hAnsi="NewBaskerville"/>
          <w:bCs/>
        </w:rPr>
        <w:t xml:space="preserve"> </w:t>
      </w:r>
      <w:r w:rsidR="002C4355" w:rsidRPr="006C6932">
        <w:rPr>
          <w:rFonts w:ascii="NewBaskerville" w:hAnsi="NewBaskerville"/>
          <w:bCs/>
        </w:rPr>
        <w:t>Inversiones inmobiliarias</w:t>
      </w:r>
    </w:p>
    <w:p w:rsidR="002C4355" w:rsidRPr="006C6932" w:rsidRDefault="002C4355">
      <w:pPr>
        <w:pStyle w:val="Sangra3detindependiente"/>
        <w:tabs>
          <w:tab w:val="center" w:pos="1843"/>
        </w:tabs>
        <w:rPr>
          <w:rFonts w:ascii="NewBaskerville" w:hAnsi="NewBaskerville"/>
          <w:bCs/>
          <w:sz w:val="20"/>
          <w:szCs w:val="20"/>
        </w:rPr>
      </w:pPr>
      <w:r w:rsidRPr="006C6932">
        <w:rPr>
          <w:rFonts w:ascii="NewBaskerville" w:hAnsi="NewBaskerville"/>
          <w:bCs/>
          <w:sz w:val="20"/>
          <w:szCs w:val="20"/>
        </w:rPr>
        <w:t>Las concesiones y autorizaciones de ocupación temporal del dominio público portuario cumplen las condiciones establecidas en la NRV 8ª “Arrendamientos y otras operaciones de naturaleza similar” para ser calificadas contablemente como arrendamientos operativos. Por ello se han clasificado como inversiones inmobiliarias los bienes otorgados en concesión o autorización o que sean susceptibles de serlo, en el curso normal de las operaciones propias y habituales de la Autoridad Portuaria por ser la finalidad natural de estos bienes su puesta a disposición de terceros para la realización por parte de estos de actividades comerciales o industriales, con independencia de que por circunstancias coyunturales los mismos puedan encontrarse desocupados o ser explotados directamente por la Autoridad Portuaria. En estos casos la Autoridad Portuaria actúa como arrendador si bien no se transfieren al concesionario todos los riesgos y beneficios inherentes a la propiedad del activo objeto del contrato por tratarse de bienes de dominio público. No se reclasifican como inversiones inmobiliarias aquellos activos no corrientes que, a pesar de encontrarse concesionados o con autorización de ocupación temporal</w:t>
      </w:r>
      <w:r w:rsidR="008E090B">
        <w:rPr>
          <w:rFonts w:ascii="NewBaskerville" w:hAnsi="NewBaskerville"/>
          <w:bCs/>
          <w:sz w:val="20"/>
          <w:szCs w:val="20"/>
        </w:rPr>
        <w:t>,</w:t>
      </w:r>
      <w:r w:rsidRPr="006C6932">
        <w:rPr>
          <w:rFonts w:ascii="NewBaskerville" w:hAnsi="NewBaskerville"/>
          <w:bCs/>
          <w:sz w:val="20"/>
          <w:szCs w:val="20"/>
        </w:rPr>
        <w:t xml:space="preserve"> no tengan como finalidad su puesta a disposición de terceros para su explotación económica, ni los elementos concesionados o autorizados parcialmente.</w:t>
      </w:r>
    </w:p>
    <w:p w:rsidR="002C4355" w:rsidRPr="006C6932" w:rsidRDefault="002C4355">
      <w:pPr>
        <w:pStyle w:val="Sangra3detindependiente"/>
        <w:tabs>
          <w:tab w:val="center" w:pos="1843"/>
        </w:tabs>
        <w:rPr>
          <w:rFonts w:ascii="NewBaskerville" w:hAnsi="NewBaskerville"/>
          <w:sz w:val="20"/>
          <w:szCs w:val="20"/>
        </w:rPr>
      </w:pPr>
    </w:p>
    <w:p w:rsidR="002C4355" w:rsidRDefault="002C4355">
      <w:pPr>
        <w:pStyle w:val="Sangra3detindependiente"/>
        <w:tabs>
          <w:tab w:val="center" w:pos="1843"/>
        </w:tabs>
        <w:rPr>
          <w:rFonts w:ascii="NewBaskerville" w:hAnsi="NewBaskerville"/>
          <w:bCs/>
          <w:sz w:val="20"/>
          <w:szCs w:val="20"/>
        </w:rPr>
      </w:pPr>
      <w:r w:rsidRPr="006C6932">
        <w:rPr>
          <w:rFonts w:ascii="NewBaskerville" w:hAnsi="NewBaskerville"/>
          <w:bCs/>
          <w:sz w:val="20"/>
          <w:szCs w:val="20"/>
        </w:rPr>
        <w:t>Los activos en curso se mantienen dentro del inmovilizado material hasta su finalización. A partir de este momento, con carácter general dichos bienes se inc</w:t>
      </w:r>
      <w:r w:rsidR="0035398A" w:rsidRPr="006C6932">
        <w:rPr>
          <w:rFonts w:ascii="NewBaskerville" w:hAnsi="NewBaskerville"/>
          <w:bCs/>
          <w:sz w:val="20"/>
          <w:szCs w:val="20"/>
        </w:rPr>
        <w:t>orporan al inmovilizado en el epígrafe correspondiente</w:t>
      </w:r>
      <w:r w:rsidRPr="006C6932">
        <w:rPr>
          <w:rFonts w:ascii="NewBaskerville" w:hAnsi="NewBaskerville"/>
          <w:bCs/>
          <w:sz w:val="20"/>
          <w:szCs w:val="20"/>
        </w:rPr>
        <w:t xml:space="preserve"> hasta que se decida ponerlos a disposición de terceros en concesión o autorización</w:t>
      </w:r>
      <w:r w:rsidR="003E2475">
        <w:rPr>
          <w:rFonts w:ascii="NewBaskerville" w:hAnsi="NewBaskerville"/>
          <w:bCs/>
          <w:sz w:val="20"/>
          <w:szCs w:val="20"/>
        </w:rPr>
        <w:t>, cuando</w:t>
      </w:r>
      <w:r w:rsidRPr="006C6932">
        <w:rPr>
          <w:rFonts w:ascii="NewBaskerville" w:hAnsi="NewBaskerville"/>
          <w:bCs/>
          <w:sz w:val="20"/>
          <w:szCs w:val="20"/>
        </w:rPr>
        <w:t xml:space="preserve"> pasan a inversiones inmobiliarias.</w:t>
      </w:r>
    </w:p>
    <w:p w:rsidR="006375A3" w:rsidRDefault="006375A3">
      <w:pPr>
        <w:pStyle w:val="Sangra3detindependiente"/>
        <w:tabs>
          <w:tab w:val="center" w:pos="1843"/>
        </w:tabs>
        <w:rPr>
          <w:rFonts w:ascii="NewBaskerville" w:hAnsi="NewBaskerville"/>
          <w:bCs/>
          <w:sz w:val="20"/>
          <w:szCs w:val="20"/>
        </w:rPr>
      </w:pPr>
    </w:p>
    <w:p w:rsidR="006375A3" w:rsidRPr="006C6932" w:rsidRDefault="006375A3">
      <w:pPr>
        <w:pStyle w:val="Sangra3detindependiente"/>
        <w:tabs>
          <w:tab w:val="center" w:pos="1843"/>
        </w:tabs>
        <w:rPr>
          <w:rFonts w:ascii="NewBaskerville" w:hAnsi="NewBaskerville"/>
          <w:sz w:val="20"/>
          <w:szCs w:val="20"/>
        </w:rPr>
      </w:pPr>
      <w:r>
        <w:rPr>
          <w:rFonts w:ascii="NewBaskerville" w:hAnsi="NewBaskerville"/>
          <w:bCs/>
          <w:sz w:val="20"/>
          <w:szCs w:val="20"/>
        </w:rPr>
        <w:t xml:space="preserve">Los activos </w:t>
      </w:r>
      <w:r w:rsidR="003E59EB">
        <w:rPr>
          <w:rFonts w:ascii="NewBaskerville" w:hAnsi="NewBaskerville"/>
          <w:bCs/>
          <w:sz w:val="20"/>
          <w:szCs w:val="20"/>
        </w:rPr>
        <w:t>correspondientes a obras e instalaciones no desmontables de concesiones cuya fecha de extinción es incierta, ya sea por</w:t>
      </w:r>
      <w:r w:rsidR="00582B49">
        <w:rPr>
          <w:rFonts w:ascii="NewBaskerville" w:hAnsi="NewBaskerville"/>
          <w:bCs/>
          <w:sz w:val="20"/>
          <w:szCs w:val="20"/>
        </w:rPr>
        <w:t xml:space="preserve"> una futura</w:t>
      </w:r>
      <w:r w:rsidR="003E59EB">
        <w:rPr>
          <w:rFonts w:ascii="NewBaskerville" w:hAnsi="NewBaskerville"/>
          <w:bCs/>
          <w:sz w:val="20"/>
          <w:szCs w:val="20"/>
        </w:rPr>
        <w:t xml:space="preserve"> </w:t>
      </w:r>
      <w:r w:rsidR="00582B49">
        <w:rPr>
          <w:rFonts w:ascii="NewBaskerville" w:hAnsi="NewBaskerville"/>
          <w:bCs/>
          <w:sz w:val="20"/>
          <w:szCs w:val="20"/>
        </w:rPr>
        <w:t xml:space="preserve">confirmación por </w:t>
      </w:r>
      <w:r w:rsidR="003E59EB">
        <w:rPr>
          <w:rFonts w:ascii="NewBaskerville" w:hAnsi="NewBaskerville"/>
          <w:bCs/>
          <w:sz w:val="20"/>
          <w:szCs w:val="20"/>
        </w:rPr>
        <w:t>resolución judicial, administrativa o sim</w:t>
      </w:r>
      <w:r w:rsidR="00463C9F">
        <w:rPr>
          <w:rFonts w:ascii="NewBaskerville" w:hAnsi="NewBaskerville"/>
          <w:bCs/>
          <w:sz w:val="20"/>
          <w:szCs w:val="20"/>
        </w:rPr>
        <w:t>ilar, pero que la Entidad enti</w:t>
      </w:r>
      <w:r w:rsidR="003E59EB">
        <w:rPr>
          <w:rFonts w:ascii="NewBaskerville" w:hAnsi="NewBaskerville"/>
          <w:bCs/>
          <w:sz w:val="20"/>
          <w:szCs w:val="20"/>
        </w:rPr>
        <w:t>ende que se ha producido y optado por el mantenimiento de los activos</w:t>
      </w:r>
      <w:r w:rsidR="00582B49">
        <w:rPr>
          <w:rFonts w:ascii="NewBaskerville" w:hAnsi="NewBaskerville"/>
          <w:bCs/>
          <w:sz w:val="20"/>
          <w:szCs w:val="20"/>
        </w:rPr>
        <w:t xml:space="preserve">. Y cuya confirmación daría lugar a la reversión de estos activos. </w:t>
      </w:r>
      <w:r w:rsidR="00853F1A">
        <w:rPr>
          <w:rFonts w:ascii="NewBaskerville" w:hAnsi="NewBaskerville"/>
          <w:bCs/>
          <w:sz w:val="20"/>
          <w:szCs w:val="20"/>
        </w:rPr>
        <w:t>Se tratarán como activos contingentes no reconociéndose en los estados contables,</w:t>
      </w:r>
      <w:r w:rsidR="00CE0591">
        <w:rPr>
          <w:rFonts w:ascii="NewBaskerville" w:hAnsi="NewBaskerville"/>
          <w:bCs/>
          <w:sz w:val="20"/>
          <w:szCs w:val="20"/>
        </w:rPr>
        <w:t xml:space="preserve"> e</w:t>
      </w:r>
      <w:r w:rsidR="00853F1A">
        <w:rPr>
          <w:rFonts w:ascii="NewBaskerville" w:hAnsi="NewBaskerville"/>
          <w:bCs/>
          <w:sz w:val="20"/>
          <w:szCs w:val="20"/>
        </w:rPr>
        <w:t xml:space="preserve"> informando en </w:t>
      </w:r>
      <w:r w:rsidR="00CE0591">
        <w:rPr>
          <w:rFonts w:ascii="NewBaskerville" w:hAnsi="NewBaskerville"/>
          <w:bCs/>
          <w:sz w:val="20"/>
          <w:szCs w:val="20"/>
        </w:rPr>
        <w:lastRenderedPageBreak/>
        <w:t xml:space="preserve">la </w:t>
      </w:r>
      <w:r w:rsidR="00853F1A">
        <w:rPr>
          <w:rFonts w:ascii="NewBaskerville" w:hAnsi="NewBaskerville"/>
          <w:bCs/>
          <w:sz w:val="20"/>
          <w:szCs w:val="20"/>
        </w:rPr>
        <w:t>Memoria cuando sea probable la entrada de beneficios económicos</w:t>
      </w:r>
      <w:r w:rsidR="00CE0591">
        <w:rPr>
          <w:rFonts w:ascii="NewBaskerville" w:hAnsi="NewBaskerville"/>
          <w:bCs/>
          <w:sz w:val="20"/>
          <w:szCs w:val="20"/>
        </w:rPr>
        <w:t>,</w:t>
      </w:r>
      <w:r w:rsidR="00853F1A">
        <w:rPr>
          <w:rFonts w:ascii="NewBaskerville" w:hAnsi="NewBaskerville"/>
          <w:bCs/>
          <w:sz w:val="20"/>
          <w:szCs w:val="20"/>
        </w:rPr>
        <w:t xml:space="preserve"> proporcionando una breve descripción de su naturaleza</w:t>
      </w:r>
      <w:r w:rsidR="00CE0591">
        <w:rPr>
          <w:rFonts w:ascii="NewBaskerville" w:hAnsi="NewBaskerville"/>
          <w:bCs/>
          <w:sz w:val="20"/>
          <w:szCs w:val="20"/>
        </w:rPr>
        <w:t xml:space="preserve"> y una estimación de sus efectos financieros.</w:t>
      </w:r>
    </w:p>
    <w:p w:rsidR="002C4355" w:rsidRPr="006C6932" w:rsidRDefault="002C4355">
      <w:pPr>
        <w:tabs>
          <w:tab w:val="center" w:pos="1843"/>
          <w:tab w:val="center" w:pos="5671"/>
          <w:tab w:val="center" w:pos="7797"/>
        </w:tabs>
        <w:ind w:firstLine="540"/>
        <w:jc w:val="both"/>
        <w:rPr>
          <w:rFonts w:ascii="NewBaskerville" w:hAnsi="NewBaskerville"/>
          <w:bCs/>
        </w:rPr>
      </w:pPr>
    </w:p>
    <w:p w:rsidR="002C4355" w:rsidRDefault="002C4355" w:rsidP="0060409F">
      <w:pPr>
        <w:tabs>
          <w:tab w:val="center" w:pos="1843"/>
          <w:tab w:val="center" w:pos="5671"/>
          <w:tab w:val="center" w:pos="7797"/>
        </w:tabs>
        <w:ind w:firstLine="540"/>
        <w:jc w:val="both"/>
        <w:rPr>
          <w:rFonts w:ascii="NewBaskerville" w:hAnsi="NewBaskerville"/>
          <w:bCs/>
        </w:rPr>
      </w:pPr>
      <w:r w:rsidRPr="006C6932">
        <w:rPr>
          <w:rFonts w:ascii="NewBaskerville" w:hAnsi="NewBaskerville"/>
          <w:bCs/>
        </w:rPr>
        <w:t>Las inversiones inmobiliarias se amortizan por el método de amortización lineal en los mismos plazo</w:t>
      </w:r>
      <w:r w:rsidR="0060409F" w:rsidRPr="006C6932">
        <w:rPr>
          <w:rFonts w:ascii="NewBaskerville" w:hAnsi="NewBaskerville"/>
          <w:bCs/>
        </w:rPr>
        <w:t>s que el inmovilizado material.</w:t>
      </w:r>
    </w:p>
    <w:p w:rsidR="006E464E" w:rsidRPr="006C6932" w:rsidRDefault="006E464E" w:rsidP="0060409F">
      <w:pPr>
        <w:tabs>
          <w:tab w:val="center" w:pos="1843"/>
          <w:tab w:val="center" w:pos="5671"/>
          <w:tab w:val="center" w:pos="7797"/>
        </w:tabs>
        <w:ind w:firstLine="540"/>
        <w:jc w:val="both"/>
        <w:rPr>
          <w:rFonts w:ascii="NewBaskerville" w:hAnsi="NewBaskerville"/>
          <w:bCs/>
        </w:rPr>
      </w:pPr>
    </w:p>
    <w:p w:rsidR="00994232" w:rsidRPr="006C6932" w:rsidRDefault="002C4355" w:rsidP="00BA6314">
      <w:pPr>
        <w:pStyle w:val="Prrafodelista"/>
        <w:numPr>
          <w:ilvl w:val="0"/>
          <w:numId w:val="41"/>
        </w:numPr>
        <w:spacing w:after="120"/>
        <w:jc w:val="both"/>
        <w:rPr>
          <w:rFonts w:ascii="NewBaskerville" w:hAnsi="NewBaskerville"/>
          <w:bCs/>
        </w:rPr>
      </w:pPr>
      <w:r w:rsidRPr="006C6932">
        <w:rPr>
          <w:rFonts w:ascii="NewBaskerville" w:hAnsi="NewBaskerville"/>
          <w:bCs/>
        </w:rPr>
        <w:t>Deterioro del valor de los activos no financieros</w:t>
      </w:r>
      <w:r w:rsidR="00994232" w:rsidRPr="006C6932">
        <w:rPr>
          <w:rFonts w:ascii="NewBaskerville" w:hAnsi="NewBaskerville"/>
          <w:bCs/>
        </w:rPr>
        <w:t xml:space="preserve"> sujetos a amortización o depreciación</w:t>
      </w:r>
    </w:p>
    <w:p w:rsidR="00994232" w:rsidRPr="006C6932" w:rsidRDefault="00994232" w:rsidP="00994232">
      <w:pPr>
        <w:tabs>
          <w:tab w:val="center" w:pos="1843"/>
          <w:tab w:val="center" w:pos="5671"/>
          <w:tab w:val="center" w:pos="7797"/>
        </w:tabs>
        <w:ind w:firstLine="567"/>
        <w:jc w:val="both"/>
        <w:rPr>
          <w:rFonts w:ascii="NewBaskerville" w:hAnsi="NewBaskerville"/>
          <w:bCs/>
        </w:rPr>
      </w:pPr>
      <w:r w:rsidRPr="006C6932">
        <w:rPr>
          <w:rFonts w:ascii="NewBaskerville" w:hAnsi="NewBaskerville"/>
          <w:bCs/>
        </w:rPr>
        <w:t>La Autoridad Portuaria analiza la existencia de deterioro de sus activos de acuerdo con lo establecido en e</w:t>
      </w:r>
      <w:r w:rsidR="00D6197D" w:rsidRPr="006C6932">
        <w:rPr>
          <w:rFonts w:ascii="NewBaskerville" w:hAnsi="NewBaskerville"/>
          <w:bCs/>
        </w:rPr>
        <w:t>l Plan General de Contabilidad,</w:t>
      </w:r>
      <w:r w:rsidRPr="006C6932">
        <w:rPr>
          <w:rFonts w:ascii="NewBaskerville" w:hAnsi="NewBaskerville"/>
          <w:bCs/>
        </w:rPr>
        <w:t xml:space="preserve"> en la resolución de ICAC de 18 de setiembre de 2013 </w:t>
      </w:r>
      <w:r w:rsidR="00D6197D" w:rsidRPr="006C6932">
        <w:rPr>
          <w:rFonts w:ascii="NewBaskerville" w:hAnsi="NewBaskerville"/>
          <w:bCs/>
        </w:rPr>
        <w:t xml:space="preserve">ya </w:t>
      </w:r>
      <w:r w:rsidRPr="006C6932">
        <w:rPr>
          <w:rFonts w:ascii="NewBaskerville" w:hAnsi="NewBaskerville"/>
          <w:bCs/>
        </w:rPr>
        <w:t>que según lo establecido en su norma primera resulta de aplicación para los activos</w:t>
      </w:r>
      <w:r w:rsidR="00E36D30">
        <w:rPr>
          <w:rFonts w:ascii="NewBaskerville" w:hAnsi="NewBaskerville"/>
          <w:bCs/>
        </w:rPr>
        <w:t xml:space="preserve"> generadores de efectivo de esta Entidad </w:t>
      </w:r>
      <w:r w:rsidR="00D6197D" w:rsidRPr="006C6932">
        <w:rPr>
          <w:rFonts w:ascii="NewBaskerville" w:hAnsi="NewBaskerville"/>
          <w:bCs/>
        </w:rPr>
        <w:t>y la Orden EHA</w:t>
      </w:r>
      <w:r w:rsidR="003D4191">
        <w:rPr>
          <w:rFonts w:ascii="NewBaskerville" w:hAnsi="NewBaskerville"/>
          <w:bCs/>
        </w:rPr>
        <w:t>/</w:t>
      </w:r>
      <w:r w:rsidR="00D6197D" w:rsidRPr="006C6932">
        <w:rPr>
          <w:rFonts w:ascii="NewBaskerville" w:hAnsi="NewBaskerville"/>
          <w:bCs/>
        </w:rPr>
        <w:t>733/2010.</w:t>
      </w:r>
    </w:p>
    <w:p w:rsidR="002C4355" w:rsidRPr="006C6932" w:rsidRDefault="002C4355" w:rsidP="00790062">
      <w:pPr>
        <w:tabs>
          <w:tab w:val="center" w:pos="1843"/>
          <w:tab w:val="center" w:pos="5671"/>
          <w:tab w:val="center" w:pos="7797"/>
        </w:tabs>
        <w:jc w:val="both"/>
        <w:rPr>
          <w:rFonts w:ascii="NewBaskerville" w:hAnsi="NewBaskerville"/>
          <w:bCs/>
        </w:rPr>
      </w:pPr>
    </w:p>
    <w:p w:rsidR="004C7DAF" w:rsidRPr="006C6932" w:rsidRDefault="002C4355">
      <w:pPr>
        <w:tabs>
          <w:tab w:val="center" w:pos="1843"/>
          <w:tab w:val="center" w:pos="5671"/>
          <w:tab w:val="center" w:pos="7797"/>
        </w:tabs>
        <w:ind w:firstLine="567"/>
        <w:jc w:val="both"/>
        <w:rPr>
          <w:rFonts w:ascii="NewBaskerville" w:hAnsi="NewBaskerville"/>
          <w:bCs/>
        </w:rPr>
      </w:pPr>
      <w:r w:rsidRPr="006C6932">
        <w:rPr>
          <w:rFonts w:ascii="NewBaskerville" w:hAnsi="NewBaskerville"/>
          <w:bCs/>
        </w:rPr>
        <w:t>Al menos al cierre del ejercicio, la Entidad evalúa si existen indicios de que algún activo no corriente pueda estar deteriorado</w:t>
      </w:r>
      <w:r w:rsidR="004C7DAF" w:rsidRPr="006C6932">
        <w:rPr>
          <w:rFonts w:ascii="NewBaskerville" w:hAnsi="NewBaskerville"/>
          <w:bCs/>
        </w:rPr>
        <w:t xml:space="preserve"> en particular si</w:t>
      </w:r>
      <w:r w:rsidR="007E4000">
        <w:rPr>
          <w:rFonts w:ascii="NewBaskerville" w:hAnsi="NewBaskerville"/>
          <w:bCs/>
        </w:rPr>
        <w:t>:</w:t>
      </w:r>
      <w:r w:rsidR="004C7DAF" w:rsidRPr="006C6932">
        <w:rPr>
          <w:rFonts w:ascii="NewBaskerville" w:hAnsi="NewBaskerville"/>
          <w:bCs/>
        </w:rPr>
        <w:t xml:space="preserve">  </w:t>
      </w:r>
    </w:p>
    <w:p w:rsidR="00D6197D" w:rsidRPr="006C6932" w:rsidRDefault="00D6197D">
      <w:pPr>
        <w:tabs>
          <w:tab w:val="center" w:pos="1843"/>
          <w:tab w:val="center" w:pos="5671"/>
          <w:tab w:val="center" w:pos="7797"/>
        </w:tabs>
        <w:ind w:firstLine="567"/>
        <w:jc w:val="both"/>
        <w:rPr>
          <w:rFonts w:ascii="NewBaskerville" w:hAnsi="NewBaskerville"/>
          <w:bCs/>
        </w:rPr>
      </w:pPr>
    </w:p>
    <w:p w:rsidR="004C7DAF" w:rsidRPr="006C6932" w:rsidRDefault="004C7DAF" w:rsidP="005D0B44">
      <w:pPr>
        <w:numPr>
          <w:ilvl w:val="0"/>
          <w:numId w:val="10"/>
        </w:numPr>
        <w:tabs>
          <w:tab w:val="center" w:pos="1134"/>
          <w:tab w:val="center" w:pos="5671"/>
          <w:tab w:val="center" w:pos="7797"/>
        </w:tabs>
        <w:ind w:left="1134" w:hanging="283"/>
        <w:jc w:val="both"/>
        <w:rPr>
          <w:rFonts w:ascii="NewBaskerville" w:hAnsi="NewBaskerville"/>
          <w:bCs/>
        </w:rPr>
      </w:pPr>
      <w:r w:rsidRPr="006C6932">
        <w:rPr>
          <w:rFonts w:ascii="NewBaskerville" w:hAnsi="NewBaskerville"/>
          <w:bCs/>
        </w:rPr>
        <w:t xml:space="preserve">Hay </w:t>
      </w:r>
      <w:r w:rsidR="008155BC" w:rsidRPr="006C6932">
        <w:rPr>
          <w:rFonts w:ascii="NewBaskerville" w:hAnsi="NewBaskerville"/>
          <w:bCs/>
        </w:rPr>
        <w:t>cambios significativos en el entorno tecnológico, regulatorio, legal o económicos</w:t>
      </w:r>
      <w:r w:rsidR="0035398A" w:rsidRPr="006C6932">
        <w:rPr>
          <w:rFonts w:ascii="NewBaskerville" w:hAnsi="NewBaskerville"/>
          <w:bCs/>
        </w:rPr>
        <w:t xml:space="preserve"> que tengan una incidencia n</w:t>
      </w:r>
      <w:r w:rsidRPr="006C6932">
        <w:rPr>
          <w:rFonts w:ascii="NewBaskerville" w:hAnsi="NewBaskerville"/>
          <w:bCs/>
        </w:rPr>
        <w:t>egativa sobre la empresa.</w:t>
      </w:r>
    </w:p>
    <w:p w:rsidR="008E58B8" w:rsidRPr="006C6932" w:rsidRDefault="004C7DAF" w:rsidP="005D0B44">
      <w:pPr>
        <w:numPr>
          <w:ilvl w:val="0"/>
          <w:numId w:val="10"/>
        </w:numPr>
        <w:tabs>
          <w:tab w:val="center" w:pos="1134"/>
          <w:tab w:val="center" w:pos="5671"/>
          <w:tab w:val="center" w:pos="7797"/>
        </w:tabs>
        <w:ind w:left="1134" w:hanging="283"/>
        <w:jc w:val="both"/>
        <w:rPr>
          <w:rFonts w:ascii="NewBaskerville" w:hAnsi="NewBaskerville"/>
          <w:bCs/>
        </w:rPr>
      </w:pPr>
      <w:r w:rsidRPr="006C6932">
        <w:rPr>
          <w:rFonts w:ascii="NewBaskerville" w:hAnsi="NewBaskerville"/>
          <w:bCs/>
        </w:rPr>
        <w:t>Disminución significativa de su valor razonable superior a la esperada por su uso normal.</w:t>
      </w:r>
    </w:p>
    <w:p w:rsidR="004C7DAF" w:rsidRPr="006C6932" w:rsidRDefault="004C7DAF" w:rsidP="005D0B44">
      <w:pPr>
        <w:numPr>
          <w:ilvl w:val="0"/>
          <w:numId w:val="10"/>
        </w:numPr>
        <w:tabs>
          <w:tab w:val="center" w:pos="1134"/>
          <w:tab w:val="center" w:pos="5671"/>
          <w:tab w:val="center" w:pos="7797"/>
        </w:tabs>
        <w:ind w:left="1134" w:hanging="283"/>
        <w:jc w:val="both"/>
        <w:rPr>
          <w:rFonts w:ascii="NewBaskerville" w:hAnsi="NewBaskerville"/>
          <w:bCs/>
        </w:rPr>
      </w:pPr>
      <w:r w:rsidRPr="006C6932">
        <w:rPr>
          <w:rFonts w:ascii="NewBaskerville" w:hAnsi="NewBaskerville"/>
          <w:bCs/>
        </w:rPr>
        <w:t>Evidencia de obsolescencia, cambios en el rendimiento</w:t>
      </w:r>
      <w:r w:rsidR="00752472" w:rsidRPr="006C6932">
        <w:rPr>
          <w:rFonts w:ascii="NewBaskerville" w:hAnsi="NewBaskerville"/>
          <w:bCs/>
        </w:rPr>
        <w:t xml:space="preserve"> o deterioro físico, no previstos a través de la amortización.</w:t>
      </w:r>
    </w:p>
    <w:p w:rsidR="00320CB8" w:rsidRPr="006C6932" w:rsidRDefault="00320CB8" w:rsidP="005D0B44">
      <w:pPr>
        <w:numPr>
          <w:ilvl w:val="0"/>
          <w:numId w:val="10"/>
        </w:numPr>
        <w:tabs>
          <w:tab w:val="center" w:pos="1134"/>
          <w:tab w:val="center" w:pos="5671"/>
          <w:tab w:val="center" w:pos="7797"/>
        </w:tabs>
        <w:ind w:left="1134" w:hanging="283"/>
        <w:jc w:val="both"/>
        <w:rPr>
          <w:rFonts w:ascii="NewBaskerville" w:hAnsi="NewBaskerville"/>
          <w:bCs/>
        </w:rPr>
      </w:pPr>
      <w:r w:rsidRPr="006C6932">
        <w:rPr>
          <w:rFonts w:ascii="NewBaskerville" w:hAnsi="NewBaskerville"/>
          <w:bCs/>
        </w:rPr>
        <w:t>Cambios significativos en la demanda o la forma de utilización del activo que tengan influencia relevante y negativa sobre la empresa.</w:t>
      </w:r>
    </w:p>
    <w:p w:rsidR="00320CB8" w:rsidRPr="006C6932" w:rsidRDefault="00320CB8" w:rsidP="00320CB8">
      <w:pPr>
        <w:tabs>
          <w:tab w:val="center" w:pos="1134"/>
          <w:tab w:val="center" w:pos="5671"/>
          <w:tab w:val="center" w:pos="7797"/>
        </w:tabs>
        <w:ind w:left="1134"/>
        <w:jc w:val="both"/>
        <w:rPr>
          <w:rFonts w:ascii="NewBaskerville" w:hAnsi="NewBaskerville"/>
          <w:bCs/>
        </w:rPr>
      </w:pPr>
    </w:p>
    <w:p w:rsidR="002C4355" w:rsidRPr="006C6932" w:rsidRDefault="00523CD1" w:rsidP="00523CD1">
      <w:pPr>
        <w:tabs>
          <w:tab w:val="center" w:pos="1843"/>
          <w:tab w:val="center" w:pos="5671"/>
          <w:tab w:val="center" w:pos="7797"/>
        </w:tabs>
        <w:ind w:firstLine="567"/>
        <w:jc w:val="both"/>
        <w:rPr>
          <w:rFonts w:ascii="NewBaskerville" w:hAnsi="NewBaskerville"/>
          <w:bCs/>
        </w:rPr>
      </w:pPr>
      <w:r w:rsidRPr="006C6932">
        <w:rPr>
          <w:rFonts w:ascii="NewBaskerville" w:hAnsi="NewBaskerville"/>
          <w:bCs/>
        </w:rPr>
        <w:t xml:space="preserve">  Se produce una pérdida </w:t>
      </w:r>
      <w:r w:rsidR="006010B3" w:rsidRPr="006C6932">
        <w:rPr>
          <w:rFonts w:ascii="NewBaskerville" w:hAnsi="NewBaskerville"/>
          <w:bCs/>
        </w:rPr>
        <w:t>por deterioro de valor cuando su valor contable supere a su importe recuperable, entendiendo éste como el mayor importe entre su valor razonable menos los co</w:t>
      </w:r>
      <w:r w:rsidRPr="006C6932">
        <w:rPr>
          <w:rFonts w:ascii="NewBaskerville" w:hAnsi="NewBaskerville"/>
          <w:bCs/>
        </w:rPr>
        <w:t>stes de venta y su valor en uso</w:t>
      </w:r>
      <w:r w:rsidR="00D6197D" w:rsidRPr="006C6932">
        <w:rPr>
          <w:rFonts w:ascii="NewBaskerville" w:hAnsi="NewBaskerville"/>
          <w:bCs/>
        </w:rPr>
        <w:t>,</w:t>
      </w:r>
      <w:r w:rsidRPr="006C6932">
        <w:rPr>
          <w:rFonts w:ascii="NewBaskerville" w:hAnsi="NewBaskerville"/>
          <w:bCs/>
        </w:rPr>
        <w:t xml:space="preserve"> para los activos generadores de efectivo y el mayor valor entre el coste de reposición depreciado y el valor razonable menos los costes de venta</w:t>
      </w:r>
      <w:r w:rsidR="00D6197D" w:rsidRPr="006C6932">
        <w:rPr>
          <w:rFonts w:ascii="NewBaskerville" w:hAnsi="NewBaskerville"/>
          <w:bCs/>
        </w:rPr>
        <w:t>,</w:t>
      </w:r>
      <w:r w:rsidRPr="006C6932">
        <w:rPr>
          <w:rFonts w:ascii="NewBaskerville" w:hAnsi="NewBaskerville"/>
          <w:bCs/>
        </w:rPr>
        <w:t xml:space="preserve"> para los activos no generadores de efectivo.</w:t>
      </w:r>
    </w:p>
    <w:p w:rsidR="00D6197D" w:rsidRPr="006C6932" w:rsidRDefault="00D6197D" w:rsidP="00523CD1">
      <w:pPr>
        <w:tabs>
          <w:tab w:val="center" w:pos="1843"/>
          <w:tab w:val="center" w:pos="5671"/>
          <w:tab w:val="center" w:pos="7797"/>
        </w:tabs>
        <w:ind w:firstLine="567"/>
        <w:jc w:val="both"/>
        <w:rPr>
          <w:rFonts w:ascii="NewBaskerville" w:hAnsi="NewBaskerville"/>
          <w:bCs/>
        </w:rPr>
      </w:pPr>
    </w:p>
    <w:p w:rsidR="00E6742F" w:rsidRDefault="002C4355" w:rsidP="008A5BD6">
      <w:pPr>
        <w:tabs>
          <w:tab w:val="center" w:pos="1843"/>
          <w:tab w:val="center" w:pos="5671"/>
          <w:tab w:val="center" w:pos="7797"/>
        </w:tabs>
        <w:ind w:firstLine="567"/>
        <w:jc w:val="both"/>
        <w:rPr>
          <w:rFonts w:ascii="NewBaskerville" w:hAnsi="NewBaskerville"/>
          <w:bCs/>
        </w:rPr>
      </w:pPr>
      <w:r w:rsidRPr="006C6932">
        <w:rPr>
          <w:rFonts w:ascii="NewBaskerville" w:hAnsi="NewBaskerville"/>
          <w:bCs/>
        </w:rPr>
        <w:t>Las correcciones valorativas por deterioro y su reversión se contabilizan en la cuenta de pérdidas y ganancias. Las correcciones valorativas por deterioro se revierten cuando las circunstancias que las motivaron dejan de existir</w:t>
      </w:r>
      <w:r w:rsidR="00DF294E" w:rsidRPr="006C6932">
        <w:rPr>
          <w:rFonts w:ascii="NewBaskerville" w:hAnsi="NewBaskerville"/>
          <w:bCs/>
        </w:rPr>
        <w:t>, teniendo</w:t>
      </w:r>
      <w:r w:rsidRPr="006C6932">
        <w:rPr>
          <w:rFonts w:ascii="NewBaskerville" w:hAnsi="NewBaskerville"/>
          <w:bCs/>
        </w:rPr>
        <w:t xml:space="preserve"> como límite el valor contable del activo que figuraría si no se hubiera reconocido previamente el correspondiente deterioro del valor.</w:t>
      </w:r>
      <w:r w:rsidR="00790062" w:rsidRPr="006C6932">
        <w:rPr>
          <w:rFonts w:ascii="NewBaskerville" w:hAnsi="NewBaskerville"/>
          <w:bCs/>
        </w:rPr>
        <w:t xml:space="preserve"> La reversión de la pérdida por deterioro de valor se registra con abono a la cuenta de pérdidas y gana</w:t>
      </w:r>
      <w:r w:rsidR="00A60572" w:rsidRPr="006C6932">
        <w:rPr>
          <w:rFonts w:ascii="NewBaskerville" w:hAnsi="NewBaskerville"/>
          <w:bCs/>
        </w:rPr>
        <w:t>n</w:t>
      </w:r>
      <w:r w:rsidR="00790062" w:rsidRPr="006C6932">
        <w:rPr>
          <w:rFonts w:ascii="NewBaskerville" w:hAnsi="NewBaskerville"/>
          <w:bCs/>
        </w:rPr>
        <w:t>cias.</w:t>
      </w:r>
    </w:p>
    <w:p w:rsidR="00074175" w:rsidRPr="006C6932" w:rsidRDefault="00074175" w:rsidP="008A5BD6">
      <w:pPr>
        <w:tabs>
          <w:tab w:val="center" w:pos="1843"/>
          <w:tab w:val="center" w:pos="5671"/>
          <w:tab w:val="center" w:pos="7797"/>
        </w:tabs>
        <w:ind w:firstLine="567"/>
        <w:jc w:val="both"/>
        <w:rPr>
          <w:rFonts w:ascii="NewBaskerville" w:hAnsi="NewBaskerville"/>
          <w:bCs/>
        </w:rPr>
      </w:pPr>
    </w:p>
    <w:p w:rsidR="002C4355" w:rsidRPr="006C6932" w:rsidRDefault="002C4355" w:rsidP="00BA6314">
      <w:pPr>
        <w:numPr>
          <w:ilvl w:val="0"/>
          <w:numId w:val="41"/>
        </w:numPr>
        <w:spacing w:after="120"/>
        <w:ind w:left="567" w:hanging="283"/>
        <w:jc w:val="both"/>
        <w:rPr>
          <w:rFonts w:ascii="NewBaskerville" w:hAnsi="NewBaskerville"/>
          <w:bCs/>
        </w:rPr>
      </w:pPr>
      <w:r w:rsidRPr="006C6932">
        <w:rPr>
          <w:rFonts w:ascii="NewBaskerville" w:hAnsi="NewBaskerville"/>
          <w:bCs/>
        </w:rPr>
        <w:t>Arrendamientos</w:t>
      </w:r>
    </w:p>
    <w:p w:rsidR="002C4355" w:rsidRPr="006C6932" w:rsidRDefault="002C4355" w:rsidP="00074175">
      <w:pPr>
        <w:tabs>
          <w:tab w:val="center" w:pos="1843"/>
          <w:tab w:val="center" w:pos="5671"/>
          <w:tab w:val="center" w:pos="7797"/>
        </w:tabs>
        <w:spacing w:before="100"/>
        <w:ind w:firstLine="567"/>
        <w:jc w:val="both"/>
        <w:rPr>
          <w:rFonts w:ascii="NewBaskerville" w:hAnsi="NewBaskerville"/>
          <w:bCs/>
        </w:rPr>
      </w:pPr>
      <w:r w:rsidRPr="006C6932">
        <w:rPr>
          <w:rFonts w:ascii="NewBaskerville" w:hAnsi="NewBaskerville"/>
          <w:bCs/>
        </w:rPr>
        <w:t>Los ingresos derivados de los arrendam</w:t>
      </w:r>
      <w:r w:rsidR="002B5526" w:rsidRPr="006C6932">
        <w:rPr>
          <w:rFonts w:ascii="NewBaskerville" w:hAnsi="NewBaskerville"/>
          <w:bCs/>
        </w:rPr>
        <w:t>ientos operativos se reconocen como ingresos de forma lineal a lo largo del plazo de arrendamiento</w:t>
      </w:r>
      <w:r w:rsidR="0019630E" w:rsidRPr="006C6932">
        <w:rPr>
          <w:rFonts w:ascii="NewBaskerville" w:hAnsi="NewBaskerville"/>
          <w:bCs/>
        </w:rPr>
        <w:t>.</w:t>
      </w:r>
    </w:p>
    <w:p w:rsidR="007926F9" w:rsidRDefault="007926F9" w:rsidP="00396608">
      <w:pPr>
        <w:tabs>
          <w:tab w:val="center" w:pos="1843"/>
          <w:tab w:val="center" w:pos="5671"/>
          <w:tab w:val="center" w:pos="7797"/>
        </w:tabs>
        <w:ind w:firstLine="567"/>
        <w:jc w:val="both"/>
        <w:rPr>
          <w:bCs/>
        </w:rPr>
      </w:pPr>
    </w:p>
    <w:p w:rsidR="007C12D1" w:rsidRPr="00864153" w:rsidRDefault="002C4355" w:rsidP="00BA6314">
      <w:pPr>
        <w:numPr>
          <w:ilvl w:val="0"/>
          <w:numId w:val="41"/>
        </w:numPr>
        <w:spacing w:after="120"/>
        <w:ind w:left="567" w:hanging="283"/>
        <w:jc w:val="both"/>
        <w:rPr>
          <w:rFonts w:ascii="NewBaskerville" w:hAnsi="NewBaskerville"/>
          <w:bCs/>
        </w:rPr>
      </w:pPr>
      <w:r w:rsidRPr="00864153">
        <w:rPr>
          <w:rFonts w:ascii="NewBaskerville" w:hAnsi="NewBaskerville"/>
          <w:bCs/>
        </w:rPr>
        <w:t>Instrumentos financieros</w:t>
      </w:r>
    </w:p>
    <w:p w:rsidR="007C12D1" w:rsidRDefault="007C12D1" w:rsidP="00396608">
      <w:pPr>
        <w:tabs>
          <w:tab w:val="center" w:pos="1843"/>
          <w:tab w:val="center" w:pos="5671"/>
          <w:tab w:val="center" w:pos="7797"/>
        </w:tabs>
        <w:ind w:firstLine="567"/>
        <w:jc w:val="both"/>
        <w:rPr>
          <w:rFonts w:ascii="NewBaskerville" w:hAnsi="NewBaskerville"/>
          <w:bCs/>
        </w:rPr>
      </w:pPr>
      <w:r w:rsidRPr="00864153">
        <w:rPr>
          <w:rFonts w:ascii="NewBaskerville" w:hAnsi="NewBaskerville"/>
          <w:bCs/>
        </w:rPr>
        <w:t>Los instrumentos financieros se clasifican en el momento de su reconocimiento inicial</w:t>
      </w:r>
      <w:r w:rsidR="008F62CB" w:rsidRPr="00864153">
        <w:rPr>
          <w:rFonts w:ascii="NewBaskerville" w:hAnsi="NewBaskerville"/>
          <w:bCs/>
        </w:rPr>
        <w:t xml:space="preserve"> como un activo financiero, pasi</w:t>
      </w:r>
      <w:r w:rsidRPr="00864153">
        <w:rPr>
          <w:rFonts w:ascii="NewBaskerville" w:hAnsi="NewBaskerville"/>
          <w:bCs/>
        </w:rPr>
        <w:t>vo financiero o un instrumento de patrimonio de conformidad con sus características.</w:t>
      </w:r>
    </w:p>
    <w:p w:rsidR="00E36D30" w:rsidRDefault="00E36D30" w:rsidP="00396608">
      <w:pPr>
        <w:tabs>
          <w:tab w:val="center" w:pos="1843"/>
          <w:tab w:val="center" w:pos="5671"/>
          <w:tab w:val="center" w:pos="7797"/>
        </w:tabs>
        <w:ind w:firstLine="567"/>
        <w:jc w:val="both"/>
        <w:rPr>
          <w:rFonts w:ascii="NewBaskerville" w:hAnsi="NewBaskerville"/>
          <w:bCs/>
        </w:rPr>
      </w:pPr>
      <w:r>
        <w:rPr>
          <w:rFonts w:ascii="NewBaskerville" w:hAnsi="NewBaskerville"/>
          <w:bCs/>
        </w:rPr>
        <w:t xml:space="preserve">La Entidad reconocerá un instrumento financiero en su balance cuando se convierta en una parte obligada del contrato o negocio jurídico conforme a las disposiciones del mismo, bien como emisor o como </w:t>
      </w:r>
      <w:r w:rsidR="003F24D6">
        <w:rPr>
          <w:rFonts w:ascii="NewBaskerville" w:hAnsi="NewBaskerville"/>
          <w:bCs/>
        </w:rPr>
        <w:t>tenedor</w:t>
      </w:r>
      <w:r>
        <w:rPr>
          <w:rFonts w:ascii="NewBaskerville" w:hAnsi="NewBaskerville"/>
          <w:bCs/>
        </w:rPr>
        <w:t xml:space="preserve"> o adquiriente de aquél.</w:t>
      </w:r>
    </w:p>
    <w:p w:rsidR="007D5CD1" w:rsidRPr="00864153" w:rsidRDefault="007D5CD1" w:rsidP="00396608">
      <w:pPr>
        <w:tabs>
          <w:tab w:val="center" w:pos="1843"/>
          <w:tab w:val="center" w:pos="5671"/>
          <w:tab w:val="center" w:pos="7797"/>
        </w:tabs>
        <w:ind w:firstLine="567"/>
        <w:jc w:val="both"/>
        <w:rPr>
          <w:rFonts w:ascii="NewBaskerville" w:hAnsi="NewBaskerville"/>
          <w:bCs/>
        </w:rPr>
      </w:pPr>
      <w:r>
        <w:rPr>
          <w:rFonts w:ascii="NewBaskerville" w:hAnsi="NewBaskerville"/>
          <w:bCs/>
        </w:rPr>
        <w:lastRenderedPageBreak/>
        <w:t>La APB clasifica los instrumentos financieros en las diferentes categorías atendiendo a las características y a las intenciones del Departamento Económico-Financiero de la Entidad en el momento de su reconocimiento inicial.</w:t>
      </w:r>
    </w:p>
    <w:p w:rsidR="007926F9" w:rsidRPr="00072D1A" w:rsidRDefault="002C4355" w:rsidP="007F4E28">
      <w:pPr>
        <w:tabs>
          <w:tab w:val="center" w:pos="5671"/>
          <w:tab w:val="center" w:pos="7797"/>
        </w:tabs>
        <w:ind w:firstLine="568"/>
        <w:jc w:val="both"/>
      </w:pPr>
      <w:r w:rsidRPr="00072D1A">
        <w:t xml:space="preserve"> </w:t>
      </w:r>
    </w:p>
    <w:p w:rsidR="002C4355" w:rsidRPr="00864153" w:rsidRDefault="002C4355" w:rsidP="005D0B44">
      <w:pPr>
        <w:pStyle w:val="Sangra2detindependiente"/>
        <w:numPr>
          <w:ilvl w:val="0"/>
          <w:numId w:val="2"/>
        </w:numPr>
        <w:tabs>
          <w:tab w:val="clear" w:pos="1843"/>
          <w:tab w:val="clear" w:pos="5671"/>
          <w:tab w:val="clear" w:pos="7797"/>
        </w:tabs>
        <w:ind w:left="1134" w:hanging="283"/>
        <w:rPr>
          <w:rFonts w:ascii="NewBaskerville" w:hAnsi="NewBaskerville"/>
          <w:sz w:val="20"/>
        </w:rPr>
      </w:pPr>
      <w:r w:rsidRPr="00864153">
        <w:rPr>
          <w:rFonts w:ascii="NewBaskerville" w:hAnsi="NewBaskerville"/>
          <w:sz w:val="20"/>
        </w:rPr>
        <w:t>Activos financieros</w:t>
      </w:r>
    </w:p>
    <w:p w:rsidR="007D42E0" w:rsidRPr="00AE3B6A" w:rsidRDefault="00AE3B6A" w:rsidP="00ED7B5A">
      <w:pPr>
        <w:spacing w:before="240"/>
        <w:rPr>
          <w:rFonts w:ascii="NewBaskerville" w:hAnsi="NewBaskerville" w:cs="Arial"/>
          <w:u w:val="single"/>
        </w:rPr>
      </w:pPr>
      <w:r>
        <w:rPr>
          <w:rFonts w:ascii="NewBaskerville" w:hAnsi="NewBaskerville" w:cs="Arial"/>
          <w:u w:val="single"/>
        </w:rPr>
        <w:t>Activos financieros a coste amortizado.</w:t>
      </w:r>
    </w:p>
    <w:p w:rsidR="002C4355" w:rsidRPr="00072D1A" w:rsidRDefault="002C4355" w:rsidP="003B432F">
      <w:pPr>
        <w:pStyle w:val="Ttulo5"/>
        <w:ind w:left="709"/>
        <w:rPr>
          <w:sz w:val="20"/>
        </w:rPr>
      </w:pPr>
    </w:p>
    <w:p w:rsidR="000300BD" w:rsidRDefault="002C4355" w:rsidP="006A5525">
      <w:pPr>
        <w:pStyle w:val="Ttulo5"/>
        <w:rPr>
          <w:rFonts w:ascii="NewBaskerville" w:hAnsi="NewBaskerville"/>
          <w:sz w:val="20"/>
        </w:rPr>
      </w:pPr>
      <w:r w:rsidRPr="00AE3B6A">
        <w:rPr>
          <w:rFonts w:ascii="NewBaskerville" w:hAnsi="NewBaskerville"/>
          <w:sz w:val="20"/>
        </w:rPr>
        <w:t>En esta categoría se registran los créditos por operacion</w:t>
      </w:r>
      <w:r w:rsidR="00074175">
        <w:rPr>
          <w:rFonts w:ascii="NewBaskerville" w:hAnsi="NewBaskerville"/>
          <w:sz w:val="20"/>
        </w:rPr>
        <w:t>es comerciales y no comerciales:</w:t>
      </w:r>
    </w:p>
    <w:p w:rsidR="00074175" w:rsidRPr="00074175" w:rsidRDefault="00074175" w:rsidP="00074175"/>
    <w:p w:rsidR="00896485" w:rsidRDefault="00896485" w:rsidP="00074175">
      <w:pPr>
        <w:pStyle w:val="Ttulo5"/>
        <w:numPr>
          <w:ilvl w:val="0"/>
          <w:numId w:val="6"/>
        </w:numPr>
        <w:rPr>
          <w:rFonts w:ascii="NewBaskerville" w:hAnsi="NewBaskerville"/>
          <w:sz w:val="20"/>
        </w:rPr>
      </w:pPr>
      <w:r>
        <w:rPr>
          <w:rFonts w:ascii="NewBaskerville" w:hAnsi="NewBaskerville"/>
          <w:sz w:val="20"/>
        </w:rPr>
        <w:t>Crédi</w:t>
      </w:r>
      <w:r w:rsidR="003D4191">
        <w:rPr>
          <w:rFonts w:ascii="NewBaskerville" w:hAnsi="NewBaskerville"/>
          <w:sz w:val="20"/>
        </w:rPr>
        <w:t>tos por operaciones comerciales:</w:t>
      </w:r>
      <w:r>
        <w:rPr>
          <w:rFonts w:ascii="NewBaskerville" w:hAnsi="NewBaskerville"/>
          <w:sz w:val="20"/>
        </w:rPr>
        <w:t xml:space="preserve"> son aquellos </w:t>
      </w:r>
      <w:r w:rsidR="002C4355" w:rsidRPr="00AE3B6A">
        <w:rPr>
          <w:rFonts w:ascii="NewBaskerville" w:hAnsi="NewBaskerville"/>
          <w:sz w:val="20"/>
        </w:rPr>
        <w:t xml:space="preserve">activos financieros </w:t>
      </w:r>
      <w:r>
        <w:rPr>
          <w:rFonts w:ascii="NewBaskerville" w:hAnsi="NewBaskerville"/>
          <w:sz w:val="20"/>
        </w:rPr>
        <w:t>que se originan en la prestación de servicios por operaciones de tráfico de la Entidad con cobro aplazado.</w:t>
      </w:r>
    </w:p>
    <w:p w:rsidR="008E58B8" w:rsidRPr="00AE3B6A" w:rsidRDefault="00896485" w:rsidP="00074175">
      <w:pPr>
        <w:pStyle w:val="Ttulo5"/>
        <w:numPr>
          <w:ilvl w:val="0"/>
          <w:numId w:val="6"/>
        </w:numPr>
        <w:rPr>
          <w:rFonts w:ascii="NewBaskerville" w:hAnsi="NewBaskerville"/>
          <w:sz w:val="20"/>
        </w:rPr>
      </w:pPr>
      <w:r>
        <w:rPr>
          <w:rFonts w:ascii="NewBaskerville" w:hAnsi="NewBaskerville"/>
          <w:sz w:val="20"/>
        </w:rPr>
        <w:t>Créditos por operaciones no comerciales: son aquellos activos financieros que, no siendo instrumentos de patrimonio ni derivados, no tienen origen comercial y cuyos cobros son de cuantía determinada o determinable, que proceden de operaciones de préstamo o crédito concedidos por la Entidad</w:t>
      </w:r>
      <w:r w:rsidR="002C4355" w:rsidRPr="00AE3B6A">
        <w:rPr>
          <w:rFonts w:ascii="NewBaskerville" w:hAnsi="NewBaskerville"/>
          <w:sz w:val="20"/>
        </w:rPr>
        <w:t>.</w:t>
      </w:r>
    </w:p>
    <w:p w:rsidR="002C4355" w:rsidRPr="00AE3B6A" w:rsidRDefault="002C4355" w:rsidP="006A5525">
      <w:pPr>
        <w:pStyle w:val="Ttulo5"/>
        <w:rPr>
          <w:rFonts w:ascii="NewBaskerville" w:hAnsi="NewBaskerville"/>
          <w:sz w:val="20"/>
        </w:rPr>
      </w:pPr>
    </w:p>
    <w:p w:rsidR="002C4355" w:rsidRPr="00AE3B6A" w:rsidRDefault="002C4355" w:rsidP="006A5525">
      <w:pPr>
        <w:pStyle w:val="Ttulo5"/>
        <w:rPr>
          <w:rFonts w:ascii="NewBaskerville" w:hAnsi="NewBaskerville"/>
          <w:sz w:val="20"/>
        </w:rPr>
      </w:pPr>
      <w:r w:rsidRPr="00AE3B6A">
        <w:rPr>
          <w:rFonts w:ascii="NewBaskerville" w:hAnsi="NewBaskerville"/>
          <w:sz w:val="20"/>
        </w:rPr>
        <w:t>En su reconocimiento inicial en el balance, se registran por su valor razonable, que, salvo evidencia en contrario, es el precio de la transacción, que equivale al valor razonable de la contraprestación entregada más los costes de transacción que les sean directamente atribuibles.</w:t>
      </w:r>
    </w:p>
    <w:p w:rsidR="002C4355" w:rsidRPr="00AE3B6A" w:rsidRDefault="002C4355" w:rsidP="006A5525">
      <w:pPr>
        <w:rPr>
          <w:rFonts w:ascii="NewBaskerville" w:hAnsi="NewBaskerville" w:cs="Arial"/>
        </w:rPr>
      </w:pPr>
    </w:p>
    <w:p w:rsidR="007D42E0" w:rsidRDefault="001D192C" w:rsidP="006A5525">
      <w:pPr>
        <w:ind w:firstLine="426"/>
        <w:jc w:val="both"/>
      </w:pPr>
      <w:r w:rsidRPr="00AE3B6A">
        <w:rPr>
          <w:rFonts w:ascii="NewBaskerville" w:hAnsi="NewBaskerville"/>
        </w:rPr>
        <w:t>No obstante, los créditos por operaciones comerciales con vencimiento no superior a un año y que no tienen un tipo de interés contractual, así como los anticipos y créditos al personal,  se valoran por su valor nominal, ya que el efecto de no actualizar los flujos de efectivo no es significativo</w:t>
      </w:r>
      <w:r w:rsidRPr="00072D1A">
        <w:t>.</w:t>
      </w:r>
    </w:p>
    <w:p w:rsidR="001D6131" w:rsidRDefault="001D6131" w:rsidP="006A5525">
      <w:pPr>
        <w:ind w:firstLine="426"/>
        <w:jc w:val="both"/>
      </w:pPr>
    </w:p>
    <w:p w:rsidR="00B35FCD" w:rsidRDefault="00890019" w:rsidP="006A5525">
      <w:pPr>
        <w:ind w:firstLine="426"/>
        <w:jc w:val="both"/>
        <w:rPr>
          <w:rFonts w:ascii="NewBaskerville" w:hAnsi="NewBaskerville"/>
        </w:rPr>
      </w:pPr>
      <w:r>
        <w:rPr>
          <w:rFonts w:ascii="NewBaskerville" w:hAnsi="NewBaskerville"/>
        </w:rPr>
        <w:t>Posteriormente, los activos incluidos en esta categoría se valorarán por su coste amortizado. Los intereses devengados se contabilizarán en la cuenta de pérdidas y ganancias, aplicando el método del tipo de interés efectivo.</w:t>
      </w:r>
    </w:p>
    <w:p w:rsidR="00890019" w:rsidRDefault="00890019" w:rsidP="006A5525">
      <w:pPr>
        <w:ind w:firstLine="426"/>
        <w:jc w:val="both"/>
        <w:rPr>
          <w:rFonts w:ascii="NewBaskerville" w:hAnsi="NewBaskerville"/>
        </w:rPr>
      </w:pPr>
    </w:p>
    <w:p w:rsidR="00890019" w:rsidRPr="00B35FCD" w:rsidRDefault="00890019" w:rsidP="006A5525">
      <w:pPr>
        <w:ind w:firstLine="426"/>
        <w:jc w:val="both"/>
        <w:rPr>
          <w:rFonts w:ascii="NewBaskerville" w:hAnsi="NewBaskerville"/>
        </w:rPr>
      </w:pPr>
      <w:r>
        <w:rPr>
          <w:rFonts w:ascii="NewBaskerville" w:hAnsi="NewBaskerville"/>
        </w:rPr>
        <w:t>No obstante, los créditos de acuerdo con lo dispuesto anteriormente se valoren inicialmente por su valor nominal, continuarán valorándose por dicho importe, salvo que se hubieran deteriorado.</w:t>
      </w:r>
    </w:p>
    <w:p w:rsidR="001D6131" w:rsidRPr="00072D1A" w:rsidRDefault="001D6131" w:rsidP="006A5525">
      <w:pPr>
        <w:ind w:firstLine="426"/>
        <w:jc w:val="both"/>
        <w:rPr>
          <w:rFonts w:cs="Arial"/>
        </w:rPr>
      </w:pPr>
    </w:p>
    <w:p w:rsidR="001F2D6C" w:rsidRDefault="001F2D6C" w:rsidP="006A5525">
      <w:pPr>
        <w:rPr>
          <w:rFonts w:ascii="NewBaskerville" w:hAnsi="NewBaskerville" w:cs="Arial"/>
          <w:color w:val="000000"/>
          <w:u w:val="single"/>
        </w:rPr>
      </w:pPr>
      <w:r w:rsidRPr="006A5525">
        <w:rPr>
          <w:rFonts w:ascii="NewBaskerville" w:hAnsi="NewBaskerville" w:cs="Arial"/>
          <w:color w:val="000000"/>
          <w:u w:val="single"/>
        </w:rPr>
        <w:t>Intereses recibidos de activos financieros</w:t>
      </w:r>
    </w:p>
    <w:p w:rsidR="006A5525" w:rsidRDefault="006A5525" w:rsidP="003B432F">
      <w:pPr>
        <w:pStyle w:val="Ttulo5"/>
        <w:ind w:left="709"/>
        <w:rPr>
          <w:sz w:val="20"/>
        </w:rPr>
      </w:pPr>
    </w:p>
    <w:p w:rsidR="001F2D6C" w:rsidRPr="006A5525" w:rsidRDefault="001F2D6C" w:rsidP="006A5525">
      <w:pPr>
        <w:pStyle w:val="Ttulo5"/>
        <w:rPr>
          <w:rFonts w:ascii="NewBaskerville" w:hAnsi="NewBaskerville"/>
          <w:sz w:val="20"/>
        </w:rPr>
      </w:pPr>
      <w:r w:rsidRPr="006A5525">
        <w:rPr>
          <w:rFonts w:ascii="NewBaskerville" w:hAnsi="NewBaskerville"/>
          <w:sz w:val="20"/>
        </w:rPr>
        <w:t>Los intereses de activos financieros devengados con posterioridad al momento de la adquisición se reconocen como ingresos en la cuenta de pérdidas y ganancias. Los intereses se reconocen utilizando el método del tipo de interés efectivo.</w:t>
      </w:r>
    </w:p>
    <w:p w:rsidR="002918E7" w:rsidRPr="006A5525" w:rsidRDefault="002918E7" w:rsidP="006A5525">
      <w:pPr>
        <w:rPr>
          <w:rFonts w:ascii="NewBaskerville" w:hAnsi="NewBaskerville"/>
        </w:rPr>
      </w:pPr>
    </w:p>
    <w:p w:rsidR="001F2D6C" w:rsidRPr="006A5525" w:rsidRDefault="001F2D6C" w:rsidP="006A5525">
      <w:pPr>
        <w:pStyle w:val="Ttulo5"/>
        <w:rPr>
          <w:rFonts w:ascii="NewBaskerville" w:hAnsi="NewBaskerville"/>
          <w:sz w:val="20"/>
        </w:rPr>
      </w:pPr>
      <w:r w:rsidRPr="006A5525">
        <w:rPr>
          <w:rFonts w:ascii="NewBaskerville" w:hAnsi="NewBaskerville"/>
          <w:sz w:val="20"/>
        </w:rPr>
        <w:t>A estos efectos, en la valoración inicial de los activos financieros se registran de forma independiente, atendiendo a su vencimiento, el importe de los intereses explícitos devengados y no vencidos en dicho momento. Se entiende por intereses explícitos aquellos que se obtienen de aplicar el tipo de interés contract</w:t>
      </w:r>
      <w:r w:rsidR="00267551" w:rsidRPr="006A5525">
        <w:rPr>
          <w:rFonts w:ascii="NewBaskerville" w:hAnsi="NewBaskerville"/>
          <w:sz w:val="20"/>
        </w:rPr>
        <w:t>ual del instrumento financiero.</w:t>
      </w:r>
    </w:p>
    <w:p w:rsidR="00EE5732" w:rsidRDefault="00EE5732" w:rsidP="00EE5732"/>
    <w:p w:rsidR="008A5BD6" w:rsidRPr="000F36F8" w:rsidRDefault="001F2D6C" w:rsidP="000F36F8">
      <w:pPr>
        <w:widowControl w:val="0"/>
        <w:autoSpaceDE w:val="0"/>
        <w:autoSpaceDN w:val="0"/>
        <w:adjustRightInd w:val="0"/>
        <w:spacing w:before="240"/>
        <w:ind w:left="142"/>
        <w:rPr>
          <w:rFonts w:ascii="NewBaskerville" w:hAnsi="NewBaskerville" w:cs="Arial"/>
          <w:color w:val="000000"/>
          <w:u w:val="single"/>
        </w:rPr>
      </w:pPr>
      <w:r w:rsidRPr="000F36F8">
        <w:rPr>
          <w:rFonts w:ascii="NewBaskerville" w:hAnsi="NewBaskerville" w:cs="Arial"/>
          <w:color w:val="000000"/>
          <w:u w:val="single"/>
        </w:rPr>
        <w:t>Deterioro del valor de los ac</w:t>
      </w:r>
      <w:r w:rsidR="00267551" w:rsidRPr="000F36F8">
        <w:rPr>
          <w:rFonts w:ascii="NewBaskerville" w:hAnsi="NewBaskerville" w:cs="Arial"/>
          <w:color w:val="000000"/>
          <w:u w:val="single"/>
        </w:rPr>
        <w:t>tivos financieros</w:t>
      </w:r>
    </w:p>
    <w:p w:rsidR="000A14A4" w:rsidRDefault="000A14A4" w:rsidP="000F36F8">
      <w:pPr>
        <w:widowControl w:val="0"/>
        <w:autoSpaceDE w:val="0"/>
        <w:autoSpaceDN w:val="0"/>
        <w:adjustRightInd w:val="0"/>
        <w:spacing w:before="240"/>
        <w:ind w:firstLine="567"/>
        <w:jc w:val="both"/>
        <w:rPr>
          <w:rFonts w:ascii="NewBaskerville" w:hAnsi="NewBaskerville"/>
        </w:rPr>
      </w:pPr>
      <w:r>
        <w:rPr>
          <w:rFonts w:ascii="NewBaskerville" w:hAnsi="NewBaskerville"/>
        </w:rPr>
        <w:t>A fecha de cierre, se han efectuado por la Entidad las correcciones valorativas necesarias, siempre que exista evidencia de que el valor de un activo financiero se ha deteriorado como resultado de un</w:t>
      </w:r>
      <w:r w:rsidR="003E2475">
        <w:rPr>
          <w:rFonts w:ascii="NewBaskerville" w:hAnsi="NewBaskerville"/>
        </w:rPr>
        <w:t>o</w:t>
      </w:r>
      <w:r>
        <w:rPr>
          <w:rFonts w:ascii="NewBaskerville" w:hAnsi="NewBaskerville"/>
        </w:rPr>
        <w:t xml:space="preserve"> o más eventos que hayan ocurrido después de su reconocimiento inicial y que </w:t>
      </w:r>
      <w:r>
        <w:rPr>
          <w:rFonts w:ascii="NewBaskerville" w:hAnsi="NewBaskerville"/>
        </w:rPr>
        <w:lastRenderedPageBreak/>
        <w:t>ocasionen una reducción o retraso en los flujos de efectivo futuros.</w:t>
      </w:r>
    </w:p>
    <w:p w:rsidR="00262737" w:rsidRDefault="00A7426D" w:rsidP="000F36F8">
      <w:pPr>
        <w:widowControl w:val="0"/>
        <w:autoSpaceDE w:val="0"/>
        <w:autoSpaceDN w:val="0"/>
        <w:adjustRightInd w:val="0"/>
        <w:spacing w:before="240"/>
        <w:ind w:firstLine="567"/>
        <w:jc w:val="both"/>
        <w:rPr>
          <w:rFonts w:ascii="NewBaskerville" w:hAnsi="NewBaskerville"/>
        </w:rPr>
      </w:pPr>
      <w:r w:rsidRPr="000F36F8">
        <w:rPr>
          <w:rFonts w:ascii="NewBaskerville" w:hAnsi="NewBaskerville"/>
        </w:rPr>
        <w:t>El valor en libros de los activos financieros se corrige por la Entidad con cargo a la cuenta de pérdidas y ganancias cuando existe una evidencia objetiva de que se ha producido una pérdida por deterioro</w:t>
      </w:r>
      <w:r w:rsidR="00262737">
        <w:rPr>
          <w:rFonts w:ascii="NewBaskerville" w:hAnsi="NewBaskerville"/>
        </w:rPr>
        <w:t>.</w:t>
      </w:r>
    </w:p>
    <w:p w:rsidR="00262737" w:rsidRDefault="00262737" w:rsidP="00262737">
      <w:pPr>
        <w:widowControl w:val="0"/>
        <w:autoSpaceDE w:val="0"/>
        <w:autoSpaceDN w:val="0"/>
        <w:adjustRightInd w:val="0"/>
        <w:ind w:firstLine="567"/>
        <w:jc w:val="both"/>
        <w:rPr>
          <w:rFonts w:ascii="NewBaskerville" w:hAnsi="NewBaskerville"/>
        </w:rPr>
      </w:pPr>
    </w:p>
    <w:p w:rsidR="001F2D6C" w:rsidRPr="00262737" w:rsidRDefault="001F2D6C" w:rsidP="00262737">
      <w:pPr>
        <w:ind w:firstLine="567"/>
        <w:jc w:val="both"/>
        <w:rPr>
          <w:rFonts w:ascii="NewBaskerville" w:hAnsi="NewBaskerville"/>
        </w:rPr>
      </w:pPr>
      <w:r w:rsidRPr="00262737">
        <w:rPr>
          <w:rFonts w:ascii="NewBaskerville" w:hAnsi="NewBaskerville"/>
        </w:rPr>
        <w:t>Para determinar las pérdidas por deterioro de los activos financieros, la Entidad evalúa las posibles pérdidas tanto de los activos individuales como de los grupos de activos con cara</w:t>
      </w:r>
      <w:r w:rsidR="00262737">
        <w:rPr>
          <w:rFonts w:ascii="NewBaskerville" w:hAnsi="NewBaskerville"/>
        </w:rPr>
        <w:t xml:space="preserve">cterísticas de riesgo similares </w:t>
      </w:r>
      <w:r w:rsidR="003E2475">
        <w:rPr>
          <w:rFonts w:ascii="NewBaskerville" w:hAnsi="NewBaskerville"/>
        </w:rPr>
        <w:t>que</w:t>
      </w:r>
      <w:r w:rsidR="00262737">
        <w:rPr>
          <w:rFonts w:ascii="NewBaskerville" w:hAnsi="NewBaskerville"/>
        </w:rPr>
        <w:t xml:space="preserve"> result</w:t>
      </w:r>
      <w:r w:rsidR="003E2475">
        <w:rPr>
          <w:rFonts w:ascii="NewBaskerville" w:hAnsi="NewBaskerville"/>
        </w:rPr>
        <w:t>en</w:t>
      </w:r>
      <w:r w:rsidR="00262737">
        <w:rPr>
          <w:rFonts w:ascii="NewBaskerville" w:hAnsi="NewBaskerville"/>
        </w:rPr>
        <w:t xml:space="preserve"> de uno o más eventos que hayan ocurrido después </w:t>
      </w:r>
      <w:r w:rsidR="006D2A63">
        <w:rPr>
          <w:rFonts w:ascii="NewBaskerville" w:hAnsi="NewBaskerville"/>
        </w:rPr>
        <w:t>d</w:t>
      </w:r>
      <w:r w:rsidR="00262737">
        <w:rPr>
          <w:rFonts w:ascii="NewBaskerville" w:hAnsi="NewBaskerville"/>
        </w:rPr>
        <w:t>e su reconocimiento inicial.</w:t>
      </w:r>
    </w:p>
    <w:p w:rsidR="001F2D6C" w:rsidRPr="000F36F8" w:rsidRDefault="001F2D6C" w:rsidP="000F36F8">
      <w:pPr>
        <w:pStyle w:val="Ttulo5"/>
        <w:rPr>
          <w:rFonts w:ascii="NewBaskerville" w:hAnsi="NewBaskerville"/>
          <w:sz w:val="20"/>
        </w:rPr>
      </w:pPr>
      <w:r w:rsidRPr="000F36F8">
        <w:rPr>
          <w:rFonts w:ascii="NewBaskerville" w:hAnsi="NewBaskerville"/>
          <w:sz w:val="20"/>
        </w:rPr>
        <w:t xml:space="preserve">  </w:t>
      </w:r>
    </w:p>
    <w:p w:rsidR="006D2A63" w:rsidRPr="000F36F8" w:rsidRDefault="00311954" w:rsidP="006D2A63">
      <w:pPr>
        <w:ind w:firstLine="567"/>
        <w:jc w:val="both"/>
        <w:rPr>
          <w:rFonts w:ascii="NewBaskerville" w:hAnsi="NewBaskerville"/>
        </w:rPr>
      </w:pPr>
      <w:r>
        <w:rPr>
          <w:rFonts w:ascii="NewBaskerville" w:hAnsi="NewBaskerville"/>
        </w:rPr>
        <w:t xml:space="preserve">Para la categoría de activos financieros a coste amortizado, créditos por operaciones comerciales, </w:t>
      </w:r>
      <w:r w:rsidR="006D2A63">
        <w:rPr>
          <w:rFonts w:ascii="NewBaskerville" w:hAnsi="NewBaskerville"/>
        </w:rPr>
        <w:t>y s</w:t>
      </w:r>
      <w:r w:rsidR="006D2A63" w:rsidRPr="000F36F8">
        <w:rPr>
          <w:rFonts w:ascii="NewBaskerville" w:hAnsi="NewBaskerville"/>
        </w:rPr>
        <w:t xml:space="preserve">iguiendo las instrucciones emitidas por Puertos del Estado para el sistema portuario, se realiza una dotación para insolvencias en función de la antigüedad de la deuda y la tipología de la </w:t>
      </w:r>
      <w:r w:rsidR="003E2475">
        <w:rPr>
          <w:rFonts w:ascii="NewBaskerville" w:hAnsi="NewBaskerville"/>
        </w:rPr>
        <w:t>misma</w:t>
      </w:r>
      <w:r w:rsidR="006D2A63" w:rsidRPr="000F36F8">
        <w:rPr>
          <w:rFonts w:ascii="NewBaskerville" w:hAnsi="NewBaskerville"/>
        </w:rPr>
        <w:t xml:space="preserve"> según sea tasa o tarifa. Además atendiendo a casos específicos en los que existe evidencia de impago o el deudor se encuentra en concurso de acreedores se efectúan las correspondientes dotaciones.</w:t>
      </w:r>
    </w:p>
    <w:p w:rsidR="00311954" w:rsidRDefault="00311954" w:rsidP="000F36F8">
      <w:pPr>
        <w:ind w:firstLine="567"/>
        <w:jc w:val="both"/>
        <w:rPr>
          <w:rFonts w:ascii="NewBaskerville" w:hAnsi="NewBaskerville"/>
        </w:rPr>
      </w:pPr>
    </w:p>
    <w:p w:rsidR="007D3E06" w:rsidRDefault="006D2A63" w:rsidP="000F36F8">
      <w:pPr>
        <w:ind w:firstLine="567"/>
        <w:jc w:val="both"/>
        <w:rPr>
          <w:rFonts w:ascii="NewBaskerville" w:hAnsi="NewBaskerville"/>
        </w:rPr>
      </w:pPr>
      <w:r>
        <w:rPr>
          <w:rFonts w:ascii="NewBaskerville" w:hAnsi="NewBaskerville"/>
        </w:rPr>
        <w:t>En activos financieros a coste amortizado l</w:t>
      </w:r>
      <w:r w:rsidR="001F2D6C" w:rsidRPr="000F36F8">
        <w:rPr>
          <w:rFonts w:ascii="NewBaskerville" w:hAnsi="NewBaskerville"/>
        </w:rPr>
        <w:t xml:space="preserve">a reversión de las correcciones valorativas por deterioro se registra en la cuenta de pérdidas y ganancias, con el límite del valor en libros </w:t>
      </w:r>
      <w:r w:rsidR="00311954">
        <w:rPr>
          <w:rFonts w:ascii="NewBaskerville" w:hAnsi="NewBaskerville"/>
        </w:rPr>
        <w:t>del activo que estaría reconocido</w:t>
      </w:r>
      <w:r w:rsidR="001F2D6C" w:rsidRPr="000F36F8">
        <w:rPr>
          <w:rFonts w:ascii="NewBaskerville" w:hAnsi="NewBaskerville"/>
        </w:rPr>
        <w:t xml:space="preserve"> en la fecha de reversión si no se hubiera r</w:t>
      </w:r>
      <w:r w:rsidR="00311954">
        <w:rPr>
          <w:rFonts w:ascii="NewBaskerville" w:hAnsi="NewBaskerville"/>
        </w:rPr>
        <w:t>egistrado el deterioro de valor</w:t>
      </w:r>
      <w:r>
        <w:rPr>
          <w:rFonts w:ascii="NewBaskerville" w:hAnsi="NewBaskerville"/>
        </w:rPr>
        <w:t>.</w:t>
      </w:r>
    </w:p>
    <w:p w:rsidR="002C4355" w:rsidRPr="00072D1A" w:rsidRDefault="002C4355" w:rsidP="002918E7">
      <w:pPr>
        <w:ind w:left="709"/>
        <w:jc w:val="both"/>
      </w:pPr>
    </w:p>
    <w:p w:rsidR="002C4355" w:rsidRDefault="002C4355" w:rsidP="002918E7">
      <w:pPr>
        <w:pStyle w:val="Sangra2detindependiente"/>
        <w:numPr>
          <w:ilvl w:val="0"/>
          <w:numId w:val="2"/>
        </w:numPr>
        <w:ind w:left="709"/>
        <w:rPr>
          <w:rFonts w:ascii="NewBaskerville" w:hAnsi="NewBaskerville"/>
          <w:sz w:val="20"/>
        </w:rPr>
      </w:pPr>
      <w:r w:rsidRPr="00ED7B5A">
        <w:rPr>
          <w:rFonts w:ascii="NewBaskerville" w:hAnsi="NewBaskerville"/>
          <w:sz w:val="20"/>
        </w:rPr>
        <w:t>Pasivos financieros</w:t>
      </w:r>
    </w:p>
    <w:p w:rsidR="00074175" w:rsidRPr="00ED7B5A" w:rsidRDefault="00074175" w:rsidP="00074175">
      <w:pPr>
        <w:pStyle w:val="Sangra2detindependiente"/>
        <w:ind w:left="709" w:firstLine="0"/>
        <w:rPr>
          <w:rFonts w:ascii="NewBaskerville" w:hAnsi="NewBaskerville"/>
          <w:sz w:val="20"/>
        </w:rPr>
      </w:pPr>
    </w:p>
    <w:p w:rsidR="002C4355" w:rsidRPr="00ED7B5A" w:rsidRDefault="00525F4B" w:rsidP="00ED7B5A">
      <w:pPr>
        <w:widowControl w:val="0"/>
        <w:autoSpaceDE w:val="0"/>
        <w:spacing w:before="240"/>
        <w:rPr>
          <w:rFonts w:ascii="NewBaskerville" w:hAnsi="NewBaskerville" w:cs="Arial"/>
          <w:color w:val="000000"/>
          <w:u w:val="single"/>
        </w:rPr>
      </w:pPr>
      <w:r>
        <w:rPr>
          <w:rFonts w:ascii="NewBaskerville" w:hAnsi="NewBaskerville" w:cs="Arial"/>
          <w:color w:val="000000"/>
          <w:u w:val="single"/>
        </w:rPr>
        <w:t>Pasivos financieros a coste amortizado.</w:t>
      </w:r>
    </w:p>
    <w:p w:rsidR="002C4355" w:rsidRPr="00072D1A" w:rsidRDefault="002C4355" w:rsidP="002918E7">
      <w:pPr>
        <w:pStyle w:val="Ttulo5"/>
        <w:ind w:left="709"/>
        <w:rPr>
          <w:sz w:val="20"/>
        </w:rPr>
      </w:pPr>
    </w:p>
    <w:p w:rsidR="002C4355" w:rsidRDefault="000300BD" w:rsidP="00525F4B">
      <w:pPr>
        <w:pStyle w:val="Ttulo5"/>
        <w:rPr>
          <w:rFonts w:ascii="NewBaskerville" w:hAnsi="NewBaskerville"/>
          <w:sz w:val="20"/>
        </w:rPr>
      </w:pPr>
      <w:r>
        <w:rPr>
          <w:rFonts w:ascii="NewBaskerville" w:hAnsi="NewBaskerville"/>
          <w:sz w:val="20"/>
        </w:rPr>
        <w:t>Con carácter general, se incluyen en esta categoría los débitos por operaciones comerciales y los débitos</w:t>
      </w:r>
      <w:r w:rsidR="00074175">
        <w:rPr>
          <w:rFonts w:ascii="NewBaskerville" w:hAnsi="NewBaskerville"/>
          <w:sz w:val="20"/>
        </w:rPr>
        <w:t xml:space="preserve"> por operaciones no comerciales:</w:t>
      </w:r>
    </w:p>
    <w:p w:rsidR="000300BD" w:rsidRPr="00074175" w:rsidRDefault="00410426" w:rsidP="00074175">
      <w:pPr>
        <w:pStyle w:val="Prrafodelista"/>
        <w:numPr>
          <w:ilvl w:val="0"/>
          <w:numId w:val="6"/>
        </w:numPr>
        <w:jc w:val="both"/>
        <w:rPr>
          <w:rFonts w:ascii="NewBaskerville" w:hAnsi="NewBaskerville"/>
        </w:rPr>
      </w:pPr>
      <w:r w:rsidRPr="00074175">
        <w:rPr>
          <w:rFonts w:ascii="NewBaskerville" w:hAnsi="NewBaskerville"/>
        </w:rPr>
        <w:t xml:space="preserve">Débitos por operaciones comerciales: son aquellos pasivos financieros que se originan en la compra de bienes y servicios por operaciones de tráfico </w:t>
      </w:r>
      <w:r w:rsidR="00F45BF6" w:rsidRPr="00074175">
        <w:rPr>
          <w:rFonts w:ascii="NewBaskerville" w:hAnsi="NewBaskerville"/>
        </w:rPr>
        <w:t>de la Entidad con pago aplazado.</w:t>
      </w:r>
    </w:p>
    <w:p w:rsidR="00410426" w:rsidRPr="00074175" w:rsidRDefault="00410426" w:rsidP="00074175">
      <w:pPr>
        <w:pStyle w:val="Prrafodelista"/>
        <w:numPr>
          <w:ilvl w:val="0"/>
          <w:numId w:val="6"/>
        </w:numPr>
        <w:jc w:val="both"/>
        <w:rPr>
          <w:rFonts w:ascii="NewBaskerville" w:hAnsi="NewBaskerville"/>
        </w:rPr>
      </w:pPr>
      <w:r w:rsidRPr="00074175">
        <w:rPr>
          <w:rFonts w:ascii="NewBaskerville" w:hAnsi="NewBaskerville"/>
        </w:rPr>
        <w:t>Débitos por operaciones no comerciales: son aquellos pasivos financieros que, no siendo instrumentos derivados, no tienen origen comercial, sino que proceden de operaciones de préstamo o crédito recibidos por la empresa.</w:t>
      </w:r>
    </w:p>
    <w:p w:rsidR="002C4355" w:rsidRPr="00525F4B" w:rsidRDefault="002C4355" w:rsidP="00525F4B">
      <w:pPr>
        <w:rPr>
          <w:rFonts w:ascii="NewBaskerville" w:hAnsi="NewBaskerville"/>
        </w:rPr>
      </w:pPr>
    </w:p>
    <w:p w:rsidR="002C4355" w:rsidRDefault="002C4355" w:rsidP="00525F4B">
      <w:pPr>
        <w:pStyle w:val="Ttulo5"/>
        <w:rPr>
          <w:rFonts w:ascii="NewBaskerville" w:hAnsi="NewBaskerville"/>
          <w:sz w:val="20"/>
        </w:rPr>
      </w:pPr>
      <w:r w:rsidRPr="00525F4B">
        <w:rPr>
          <w:rFonts w:ascii="NewBaskerville" w:hAnsi="NewBaskerville"/>
          <w:sz w:val="20"/>
        </w:rPr>
        <w:t>En su reconocimiento inicial en el balance, se registran por su valor razonable, que, salvo evidencia en contrario, es el precio de la transacción, que equivale al valor razonable de la contraprestación recibida ajustado por los costes de transacción que les</w:t>
      </w:r>
      <w:r w:rsidR="001F2D6C" w:rsidRPr="00525F4B">
        <w:rPr>
          <w:rFonts w:ascii="NewBaskerville" w:hAnsi="NewBaskerville"/>
          <w:sz w:val="20"/>
        </w:rPr>
        <w:t xml:space="preserve"> sean directamente atribuibles.</w:t>
      </w:r>
    </w:p>
    <w:p w:rsidR="00417100" w:rsidRPr="00417100" w:rsidRDefault="00417100" w:rsidP="00417100"/>
    <w:p w:rsidR="00417100" w:rsidRPr="00525F4B" w:rsidRDefault="00417100" w:rsidP="00417100">
      <w:pPr>
        <w:pStyle w:val="Ttulo5"/>
        <w:rPr>
          <w:rFonts w:ascii="NewBaskerville" w:hAnsi="NewBaskerville"/>
          <w:sz w:val="20"/>
        </w:rPr>
      </w:pPr>
      <w:r w:rsidRPr="00525F4B">
        <w:rPr>
          <w:rFonts w:ascii="NewBaskerville" w:hAnsi="NewBaskerville"/>
          <w:sz w:val="20"/>
        </w:rPr>
        <w:t>No obstante, los débitos por operaciones comerciales con vencimiento no superior a un año y que no tengan un tipo de interés contractual, cuyo importe se espera pagar en el corto plazo, se valoran por su valor nominal, cuando el efecto de no actualizar los flujos de efectivo no es significativo.</w:t>
      </w:r>
    </w:p>
    <w:p w:rsidR="001F2D6C" w:rsidRPr="00525F4B" w:rsidRDefault="001F2D6C" w:rsidP="00525F4B">
      <w:pPr>
        <w:rPr>
          <w:rFonts w:ascii="NewBaskerville" w:hAnsi="NewBaskerville"/>
        </w:rPr>
      </w:pPr>
    </w:p>
    <w:p w:rsidR="002C4355" w:rsidRPr="00525F4B" w:rsidRDefault="002C4355" w:rsidP="00525F4B">
      <w:pPr>
        <w:pStyle w:val="Ttulo5"/>
        <w:rPr>
          <w:rFonts w:ascii="NewBaskerville" w:hAnsi="NewBaskerville"/>
          <w:sz w:val="20"/>
        </w:rPr>
      </w:pPr>
      <w:r w:rsidRPr="00525F4B">
        <w:rPr>
          <w:rFonts w:ascii="NewBaskerville" w:hAnsi="NewBaskerville"/>
          <w:sz w:val="20"/>
        </w:rPr>
        <w:t>Tras su reconocimiento inicial, estos pasivos financieros se valoran por su coste amortizado. Los intereses devengados se contabilizan en la cuenta de pérdidas y ganancias, aplicando el método del tipo de interés efectivo.</w:t>
      </w:r>
    </w:p>
    <w:p w:rsidR="002C4355" w:rsidRPr="00525F4B" w:rsidRDefault="002C4355" w:rsidP="00525F4B">
      <w:pPr>
        <w:rPr>
          <w:rFonts w:ascii="NewBaskerville" w:hAnsi="NewBaskerville"/>
        </w:rPr>
      </w:pPr>
    </w:p>
    <w:p w:rsidR="003B432F" w:rsidRPr="00525F4B" w:rsidRDefault="002C4355" w:rsidP="00525F4B">
      <w:pPr>
        <w:pStyle w:val="Ttulo5"/>
        <w:rPr>
          <w:rFonts w:ascii="NewBaskerville" w:hAnsi="NewBaskerville"/>
          <w:sz w:val="20"/>
        </w:rPr>
      </w:pPr>
      <w:r w:rsidRPr="00525F4B">
        <w:rPr>
          <w:rFonts w:ascii="NewBaskerville" w:hAnsi="NewBaskerville"/>
          <w:sz w:val="20"/>
        </w:rPr>
        <w:lastRenderedPageBreak/>
        <w:t xml:space="preserve">No obstante, los débitos con vencimiento no superior a un año </w:t>
      </w:r>
      <w:r w:rsidR="00417100">
        <w:rPr>
          <w:rFonts w:ascii="NewBaskerville" w:hAnsi="NewBaskerville"/>
          <w:sz w:val="20"/>
        </w:rPr>
        <w:t xml:space="preserve">descritos anteriormente que se valoren </w:t>
      </w:r>
      <w:r w:rsidR="003F24D6">
        <w:rPr>
          <w:rFonts w:ascii="NewBaskerville" w:hAnsi="NewBaskerville"/>
          <w:sz w:val="20"/>
        </w:rPr>
        <w:t>inicialmente</w:t>
      </w:r>
      <w:r w:rsidR="00417100">
        <w:rPr>
          <w:rFonts w:ascii="NewBaskerville" w:hAnsi="NewBaskerville"/>
          <w:sz w:val="20"/>
        </w:rPr>
        <w:t xml:space="preserve"> por su valor nominal, continuarán valorándose por dicho importe.</w:t>
      </w:r>
    </w:p>
    <w:p w:rsidR="00890019" w:rsidRDefault="00890019" w:rsidP="00890019"/>
    <w:p w:rsidR="002C4355" w:rsidRDefault="00890019" w:rsidP="00525F4B">
      <w:pPr>
        <w:rPr>
          <w:rFonts w:ascii="NewBaskerville" w:hAnsi="NewBaskerville"/>
          <w:u w:val="single"/>
        </w:rPr>
      </w:pPr>
      <w:r w:rsidRPr="00890019">
        <w:rPr>
          <w:rFonts w:ascii="NewBaskerville" w:hAnsi="NewBaskerville"/>
          <w:u w:val="single"/>
        </w:rPr>
        <w:t>Fianzas y depósitos entregado</w:t>
      </w:r>
      <w:r w:rsidR="003E2475">
        <w:rPr>
          <w:rFonts w:ascii="NewBaskerville" w:hAnsi="NewBaskerville"/>
          <w:u w:val="single"/>
        </w:rPr>
        <w:t>s</w:t>
      </w:r>
      <w:r w:rsidRPr="00890019">
        <w:rPr>
          <w:rFonts w:ascii="NewBaskerville" w:hAnsi="NewBaskerville"/>
          <w:u w:val="single"/>
        </w:rPr>
        <w:t xml:space="preserve"> y recibidos.</w:t>
      </w:r>
    </w:p>
    <w:p w:rsidR="00890019" w:rsidRDefault="00890019" w:rsidP="002918E7">
      <w:pPr>
        <w:ind w:left="709"/>
        <w:rPr>
          <w:rFonts w:ascii="NewBaskerville" w:hAnsi="NewBaskerville"/>
          <w:u w:val="single"/>
        </w:rPr>
      </w:pPr>
    </w:p>
    <w:p w:rsidR="00890019" w:rsidRDefault="00890019" w:rsidP="00525F4B">
      <w:pPr>
        <w:ind w:firstLine="426"/>
        <w:jc w:val="both"/>
        <w:rPr>
          <w:rFonts w:ascii="NewBaskerville" w:hAnsi="NewBaskerville"/>
        </w:rPr>
      </w:pPr>
      <w:r>
        <w:rPr>
          <w:rFonts w:ascii="NewBaskerville" w:hAnsi="NewBaskerville"/>
        </w:rPr>
        <w:t xml:space="preserve">Las fianzas y depósitos entregados o recibidos, teniendo en cuenta las prácticas habituales del sector económico específico en el que operan </w:t>
      </w:r>
      <w:r w:rsidR="003F24D6">
        <w:rPr>
          <w:rFonts w:ascii="NewBaskerville" w:hAnsi="NewBaskerville"/>
        </w:rPr>
        <w:t>los organismos</w:t>
      </w:r>
      <w:r>
        <w:rPr>
          <w:rFonts w:ascii="NewBaskerville" w:hAnsi="NewBaskerville"/>
        </w:rPr>
        <w:t xml:space="preserve"> públicos, la naturaleza y fines de dichas fianzas y depósitos, su actualización financiera tiene un efecto escasamente significativo. Por ello las fianzas y </w:t>
      </w:r>
      <w:r w:rsidR="003F24D6">
        <w:rPr>
          <w:rFonts w:ascii="NewBaskerville" w:hAnsi="NewBaskerville"/>
        </w:rPr>
        <w:t>depósitos</w:t>
      </w:r>
      <w:r>
        <w:rPr>
          <w:rFonts w:ascii="NewBaskerville" w:hAnsi="NewBaskerville"/>
        </w:rPr>
        <w:t xml:space="preserve"> recibidos o constituidos (tanto a corto como a largo plazo) se valorarán por su valor nominal.</w:t>
      </w:r>
    </w:p>
    <w:p w:rsidR="00890019" w:rsidRPr="00890019" w:rsidRDefault="00890019" w:rsidP="002918E7">
      <w:pPr>
        <w:ind w:left="709"/>
        <w:rPr>
          <w:rFonts w:ascii="NewBaskerville" w:hAnsi="NewBaskerville"/>
          <w:u w:val="single"/>
        </w:rPr>
      </w:pPr>
    </w:p>
    <w:p w:rsidR="002C4355" w:rsidRPr="0063644B" w:rsidRDefault="002C4355" w:rsidP="00074175">
      <w:pPr>
        <w:numPr>
          <w:ilvl w:val="0"/>
          <w:numId w:val="41"/>
        </w:numPr>
        <w:spacing w:after="120"/>
        <w:ind w:left="567" w:hanging="283"/>
        <w:jc w:val="both"/>
        <w:rPr>
          <w:rFonts w:ascii="NewBaskerville" w:hAnsi="NewBaskerville"/>
          <w:bCs/>
        </w:rPr>
      </w:pPr>
      <w:r w:rsidRPr="0063644B">
        <w:rPr>
          <w:rFonts w:ascii="NewBaskerville" w:hAnsi="NewBaskerville"/>
          <w:bCs/>
        </w:rPr>
        <w:t>Existencias</w:t>
      </w:r>
    </w:p>
    <w:p w:rsidR="002C4355" w:rsidRPr="0063644B" w:rsidRDefault="002C4355" w:rsidP="0063644B">
      <w:pPr>
        <w:tabs>
          <w:tab w:val="center" w:pos="1843"/>
          <w:tab w:val="center" w:pos="5671"/>
          <w:tab w:val="center" w:pos="7797"/>
        </w:tabs>
        <w:ind w:firstLine="568"/>
        <w:jc w:val="both"/>
        <w:rPr>
          <w:rFonts w:ascii="NewBaskerville" w:hAnsi="NewBaskerville"/>
          <w:bCs/>
        </w:rPr>
      </w:pPr>
      <w:r w:rsidRPr="0063644B">
        <w:rPr>
          <w:rFonts w:ascii="NewBaskerville" w:hAnsi="NewBaskerville"/>
          <w:bCs/>
        </w:rPr>
        <w:t>Los bienes comprendidos en las existencias se valoran inicialmente al precio de adquisición; los impuestos indirectos que gravan las existencias sólo se incluyen en el precio cuando no son directamente recuperables de la Hacienda Pública.</w:t>
      </w:r>
    </w:p>
    <w:p w:rsidR="002C4355" w:rsidRPr="0063644B" w:rsidRDefault="002C4355" w:rsidP="002918E7">
      <w:pPr>
        <w:tabs>
          <w:tab w:val="center" w:pos="1843"/>
          <w:tab w:val="center" w:pos="5671"/>
          <w:tab w:val="center" w:pos="7797"/>
        </w:tabs>
        <w:ind w:left="709" w:firstLine="568"/>
        <w:jc w:val="both"/>
        <w:rPr>
          <w:rFonts w:ascii="NewBaskerville" w:hAnsi="NewBaskerville"/>
        </w:rPr>
      </w:pPr>
    </w:p>
    <w:p w:rsidR="003B432F" w:rsidRPr="0063644B" w:rsidRDefault="002C4355" w:rsidP="00997D65">
      <w:pPr>
        <w:tabs>
          <w:tab w:val="center" w:pos="1843"/>
          <w:tab w:val="center" w:pos="5671"/>
          <w:tab w:val="center" w:pos="7797"/>
        </w:tabs>
        <w:ind w:firstLine="568"/>
        <w:jc w:val="both"/>
        <w:rPr>
          <w:rFonts w:ascii="NewBaskerville" w:hAnsi="NewBaskerville"/>
        </w:rPr>
      </w:pPr>
      <w:r w:rsidRPr="0063644B">
        <w:rPr>
          <w:rFonts w:ascii="NewBaskerville" w:hAnsi="NewBaskerville"/>
        </w:rPr>
        <w:t>El inventario de existencias se valora por e</w:t>
      </w:r>
      <w:r w:rsidR="00F45BF6">
        <w:rPr>
          <w:rFonts w:ascii="NewBaskerville" w:hAnsi="NewBaskerville"/>
        </w:rPr>
        <w:t>l método FIFO aplicándose a toda</w:t>
      </w:r>
      <w:r w:rsidRPr="0063644B">
        <w:rPr>
          <w:rFonts w:ascii="NewBaskerville" w:hAnsi="NewBaskerville"/>
        </w:rPr>
        <w:t>s las existencias</w:t>
      </w:r>
      <w:r w:rsidR="008A5BD6" w:rsidRPr="0063644B">
        <w:rPr>
          <w:rFonts w:ascii="NewBaskerville" w:hAnsi="NewBaskerville"/>
        </w:rPr>
        <w:t xml:space="preserve"> el mismo método de valoración.</w:t>
      </w:r>
    </w:p>
    <w:p w:rsidR="003B432F" w:rsidRDefault="003B432F" w:rsidP="008A5BD6">
      <w:pPr>
        <w:tabs>
          <w:tab w:val="center" w:pos="1843"/>
          <w:tab w:val="center" w:pos="5671"/>
          <w:tab w:val="center" w:pos="7797"/>
        </w:tabs>
        <w:ind w:firstLine="568"/>
        <w:jc w:val="both"/>
      </w:pPr>
    </w:p>
    <w:p w:rsidR="002C4355" w:rsidRPr="0063644B" w:rsidRDefault="002C4355" w:rsidP="00074175">
      <w:pPr>
        <w:pStyle w:val="Prrafodelista"/>
        <w:numPr>
          <w:ilvl w:val="0"/>
          <w:numId w:val="41"/>
        </w:numPr>
        <w:spacing w:after="120"/>
        <w:ind w:left="567" w:hanging="283"/>
        <w:jc w:val="both"/>
        <w:rPr>
          <w:rFonts w:ascii="NewBaskerville" w:hAnsi="NewBaskerville"/>
          <w:bCs/>
        </w:rPr>
      </w:pPr>
      <w:r w:rsidRPr="0063644B">
        <w:rPr>
          <w:rFonts w:ascii="NewBaskerville" w:hAnsi="NewBaskerville"/>
          <w:bCs/>
        </w:rPr>
        <w:t>Efectivo y otros activos líquidos equivalentes</w:t>
      </w:r>
    </w:p>
    <w:p w:rsidR="002C4355" w:rsidRPr="0063644B" w:rsidRDefault="002C4355">
      <w:pPr>
        <w:tabs>
          <w:tab w:val="center" w:pos="1843"/>
          <w:tab w:val="center" w:pos="5671"/>
          <w:tab w:val="center" w:pos="7797"/>
        </w:tabs>
        <w:ind w:firstLine="568"/>
        <w:jc w:val="both"/>
        <w:rPr>
          <w:rFonts w:ascii="NewBaskerville" w:hAnsi="NewBaskerville"/>
        </w:rPr>
      </w:pPr>
      <w:r w:rsidRPr="0063644B">
        <w:rPr>
          <w:rFonts w:ascii="NewBaskerville" w:hAnsi="NewBaskerville"/>
        </w:rPr>
        <w:t>Este epígrafe incluye el efectivo en caja, las cuentas corrientes bancarias y los depósitos y adquisiciones temporales de activos que cumplen con todos los siguientes requisitos:</w:t>
      </w:r>
    </w:p>
    <w:p w:rsidR="002C4355" w:rsidRPr="0063644B" w:rsidRDefault="002C4355" w:rsidP="00C86A95">
      <w:pPr>
        <w:widowControl w:val="0"/>
        <w:autoSpaceDE w:val="0"/>
        <w:autoSpaceDN w:val="0"/>
        <w:adjustRightInd w:val="0"/>
        <w:spacing w:before="120"/>
        <w:ind w:left="720" w:hanging="153"/>
        <w:jc w:val="both"/>
        <w:rPr>
          <w:rFonts w:ascii="NewBaskerville" w:hAnsi="NewBaskerville"/>
          <w:color w:val="000000"/>
        </w:rPr>
      </w:pPr>
      <w:r w:rsidRPr="0063644B">
        <w:rPr>
          <w:rFonts w:ascii="NewBaskerville" w:hAnsi="NewBaskerville"/>
        </w:rPr>
        <w:t>•</w:t>
      </w:r>
      <w:r w:rsidRPr="0063644B">
        <w:rPr>
          <w:rFonts w:ascii="NewBaskerville" w:hAnsi="NewBaskerville"/>
        </w:rPr>
        <w:tab/>
        <w:t>S</w:t>
      </w:r>
      <w:r w:rsidRPr="0063644B">
        <w:rPr>
          <w:rFonts w:ascii="NewBaskerville" w:hAnsi="NewBaskerville"/>
          <w:color w:val="000000"/>
        </w:rPr>
        <w:t xml:space="preserve">on convertibles en efectivo. </w:t>
      </w:r>
    </w:p>
    <w:p w:rsidR="002C4355" w:rsidRPr="0063644B" w:rsidRDefault="002C4355" w:rsidP="00C86A95">
      <w:pPr>
        <w:widowControl w:val="0"/>
        <w:autoSpaceDE w:val="0"/>
        <w:autoSpaceDN w:val="0"/>
        <w:adjustRightInd w:val="0"/>
        <w:spacing w:before="120"/>
        <w:ind w:left="720" w:hanging="153"/>
        <w:jc w:val="both"/>
        <w:rPr>
          <w:rFonts w:ascii="NewBaskerville" w:hAnsi="NewBaskerville"/>
          <w:color w:val="000000"/>
        </w:rPr>
      </w:pPr>
      <w:r w:rsidRPr="0063644B">
        <w:rPr>
          <w:rFonts w:ascii="NewBaskerville" w:hAnsi="NewBaskerville"/>
        </w:rPr>
        <w:t>•</w:t>
      </w:r>
      <w:r w:rsidRPr="0063644B">
        <w:rPr>
          <w:rFonts w:ascii="NewBaskerville" w:hAnsi="NewBaskerville"/>
        </w:rPr>
        <w:tab/>
      </w:r>
      <w:r w:rsidRPr="0063644B">
        <w:rPr>
          <w:rFonts w:ascii="NewBaskerville" w:hAnsi="NewBaskerville"/>
          <w:color w:val="000000"/>
        </w:rPr>
        <w:t>En el momento de su adquisición su vencimiento no era superior a tres meses.</w:t>
      </w:r>
    </w:p>
    <w:p w:rsidR="002C4355" w:rsidRPr="0063644B" w:rsidRDefault="002C4355" w:rsidP="00C86A95">
      <w:pPr>
        <w:widowControl w:val="0"/>
        <w:autoSpaceDE w:val="0"/>
        <w:autoSpaceDN w:val="0"/>
        <w:adjustRightInd w:val="0"/>
        <w:spacing w:before="120"/>
        <w:ind w:left="720" w:hanging="153"/>
        <w:jc w:val="both"/>
        <w:rPr>
          <w:rFonts w:ascii="NewBaskerville" w:hAnsi="NewBaskerville"/>
          <w:color w:val="000000"/>
        </w:rPr>
      </w:pPr>
      <w:r w:rsidRPr="0063644B">
        <w:rPr>
          <w:rFonts w:ascii="NewBaskerville" w:hAnsi="NewBaskerville"/>
        </w:rPr>
        <w:t>•</w:t>
      </w:r>
      <w:r w:rsidRPr="0063644B">
        <w:rPr>
          <w:rFonts w:ascii="NewBaskerville" w:hAnsi="NewBaskerville"/>
        </w:rPr>
        <w:tab/>
        <w:t>N</w:t>
      </w:r>
      <w:r w:rsidRPr="0063644B">
        <w:rPr>
          <w:rFonts w:ascii="NewBaskerville" w:hAnsi="NewBaskerville"/>
          <w:color w:val="000000"/>
        </w:rPr>
        <w:t>o están sujetos a un rie</w:t>
      </w:r>
      <w:r w:rsidR="00A60572" w:rsidRPr="0063644B">
        <w:rPr>
          <w:rFonts w:ascii="NewBaskerville" w:hAnsi="NewBaskerville"/>
          <w:color w:val="000000"/>
        </w:rPr>
        <w:t>s</w:t>
      </w:r>
      <w:r w:rsidRPr="0063644B">
        <w:rPr>
          <w:rFonts w:ascii="NewBaskerville" w:hAnsi="NewBaskerville"/>
          <w:color w:val="000000"/>
        </w:rPr>
        <w:t>go significativo de cambio de valor.</w:t>
      </w:r>
    </w:p>
    <w:p w:rsidR="00C86A95" w:rsidRDefault="002C4355" w:rsidP="00997D65">
      <w:pPr>
        <w:widowControl w:val="0"/>
        <w:autoSpaceDE w:val="0"/>
        <w:autoSpaceDN w:val="0"/>
        <w:adjustRightInd w:val="0"/>
        <w:spacing w:before="120"/>
        <w:ind w:left="720" w:hanging="153"/>
        <w:jc w:val="both"/>
        <w:rPr>
          <w:rFonts w:ascii="NewBaskerville" w:hAnsi="NewBaskerville"/>
          <w:color w:val="000000"/>
        </w:rPr>
      </w:pPr>
      <w:r w:rsidRPr="0063644B">
        <w:rPr>
          <w:rFonts w:ascii="NewBaskerville" w:hAnsi="NewBaskerville"/>
        </w:rPr>
        <w:t>•</w:t>
      </w:r>
      <w:r w:rsidRPr="0063644B">
        <w:rPr>
          <w:rFonts w:ascii="NewBaskerville" w:hAnsi="NewBaskerville"/>
        </w:rPr>
        <w:tab/>
        <w:t>F</w:t>
      </w:r>
      <w:r w:rsidRPr="0063644B">
        <w:rPr>
          <w:rFonts w:ascii="NewBaskerville" w:hAnsi="NewBaskerville"/>
          <w:color w:val="000000"/>
        </w:rPr>
        <w:t>orman parte de la política de gestión normal de tesorería de la Entidad.</w:t>
      </w:r>
    </w:p>
    <w:p w:rsidR="00074175" w:rsidRPr="0063644B" w:rsidRDefault="00074175" w:rsidP="00997D65">
      <w:pPr>
        <w:widowControl w:val="0"/>
        <w:autoSpaceDE w:val="0"/>
        <w:autoSpaceDN w:val="0"/>
        <w:adjustRightInd w:val="0"/>
        <w:spacing w:before="120"/>
        <w:ind w:left="720" w:hanging="153"/>
        <w:jc w:val="both"/>
        <w:rPr>
          <w:rFonts w:ascii="NewBaskerville" w:hAnsi="NewBaskerville"/>
          <w:color w:val="000000"/>
        </w:rPr>
      </w:pPr>
    </w:p>
    <w:p w:rsidR="002C4355" w:rsidRDefault="002C4355" w:rsidP="007D14D7">
      <w:pPr>
        <w:numPr>
          <w:ilvl w:val="0"/>
          <w:numId w:val="41"/>
        </w:numPr>
        <w:ind w:left="567" w:hanging="283"/>
        <w:jc w:val="both"/>
        <w:rPr>
          <w:rFonts w:ascii="NewBaskerville" w:hAnsi="NewBaskerville"/>
          <w:bCs/>
        </w:rPr>
      </w:pPr>
      <w:r w:rsidRPr="0063644B">
        <w:rPr>
          <w:rFonts w:ascii="NewBaskerville" w:hAnsi="NewBaskerville"/>
          <w:bCs/>
        </w:rPr>
        <w:t>Subvenciones de capital</w:t>
      </w:r>
      <w:r w:rsidR="00977F34" w:rsidRPr="0063644B">
        <w:rPr>
          <w:rFonts w:ascii="NewBaskerville" w:hAnsi="NewBaskerville"/>
          <w:bCs/>
        </w:rPr>
        <w:t>, donaciones y legados</w:t>
      </w:r>
    </w:p>
    <w:p w:rsidR="007D14D7" w:rsidRPr="0063644B" w:rsidRDefault="007D14D7" w:rsidP="007D14D7">
      <w:pPr>
        <w:ind w:left="567"/>
        <w:jc w:val="both"/>
        <w:rPr>
          <w:rFonts w:ascii="NewBaskerville" w:hAnsi="NewBaskerville"/>
          <w:bCs/>
        </w:rPr>
      </w:pPr>
    </w:p>
    <w:p w:rsidR="002C4355" w:rsidRPr="0063644B" w:rsidRDefault="007D14D7" w:rsidP="00083BB5">
      <w:pPr>
        <w:pStyle w:val="Ttulo5"/>
        <w:rPr>
          <w:rFonts w:ascii="NewBaskerville" w:hAnsi="NewBaskerville"/>
          <w:sz w:val="20"/>
        </w:rPr>
      </w:pPr>
      <w:r>
        <w:rPr>
          <w:rFonts w:ascii="NewBaskerville" w:hAnsi="NewBaskerville"/>
          <w:sz w:val="20"/>
        </w:rPr>
        <w:t xml:space="preserve">Las subvenciones de </w:t>
      </w:r>
      <w:r w:rsidR="002C4355" w:rsidRPr="0063644B">
        <w:rPr>
          <w:rFonts w:ascii="NewBaskerville" w:hAnsi="NewBaskerville"/>
          <w:sz w:val="20"/>
        </w:rPr>
        <w:t xml:space="preserve">carácter no reintegrables se </w:t>
      </w:r>
      <w:r>
        <w:rPr>
          <w:rFonts w:ascii="NewBaskerville" w:hAnsi="NewBaskerville"/>
          <w:sz w:val="20"/>
        </w:rPr>
        <w:t>valoran</w:t>
      </w:r>
      <w:r w:rsidR="002C4355" w:rsidRPr="0063644B">
        <w:rPr>
          <w:rFonts w:ascii="NewBaskerville" w:hAnsi="NewBaskerville"/>
          <w:sz w:val="20"/>
        </w:rPr>
        <w:t xml:space="preserve"> por el </w:t>
      </w:r>
      <w:r w:rsidR="004323C0">
        <w:rPr>
          <w:rFonts w:ascii="NewBaskerville" w:hAnsi="NewBaskerville"/>
          <w:sz w:val="20"/>
        </w:rPr>
        <w:t xml:space="preserve">valor razonable del </w:t>
      </w:r>
      <w:r w:rsidR="002C4355" w:rsidRPr="0063644B">
        <w:rPr>
          <w:rFonts w:ascii="NewBaskerville" w:hAnsi="NewBaskerville"/>
          <w:sz w:val="20"/>
        </w:rPr>
        <w:t>importe concedido,</w:t>
      </w:r>
      <w:r w:rsidR="00083BB5" w:rsidRPr="0063644B">
        <w:rPr>
          <w:rFonts w:ascii="NewBaskerville" w:hAnsi="NewBaskerville"/>
          <w:sz w:val="20"/>
        </w:rPr>
        <w:t xml:space="preserve"> </w:t>
      </w:r>
      <w:r w:rsidR="00A83A3C" w:rsidRPr="0063644B">
        <w:rPr>
          <w:rFonts w:ascii="NewBaskerville" w:hAnsi="NewBaskerville"/>
          <w:sz w:val="20"/>
        </w:rPr>
        <w:t>registrándose en el pat</w:t>
      </w:r>
      <w:r w:rsidR="00FA123B" w:rsidRPr="0063644B">
        <w:rPr>
          <w:rFonts w:ascii="NewBaskerville" w:hAnsi="NewBaskerville"/>
          <w:sz w:val="20"/>
        </w:rPr>
        <w:t>rimonio neto</w:t>
      </w:r>
      <w:r w:rsidR="00C14522">
        <w:rPr>
          <w:rFonts w:ascii="NewBaskerville" w:hAnsi="NewBaskerville"/>
          <w:sz w:val="20"/>
        </w:rPr>
        <w:t>, deducido el efecto impositivo,</w:t>
      </w:r>
      <w:r w:rsidR="00FA123B" w:rsidRPr="0063644B">
        <w:rPr>
          <w:rFonts w:ascii="NewBaskerville" w:hAnsi="NewBaskerville"/>
          <w:sz w:val="20"/>
        </w:rPr>
        <w:t xml:space="preserve"> cuando se obtienen. </w:t>
      </w:r>
      <w:r w:rsidR="00C14522">
        <w:rPr>
          <w:rFonts w:ascii="NewBaskerville" w:hAnsi="NewBaskerville"/>
          <w:sz w:val="20"/>
        </w:rPr>
        <w:t xml:space="preserve">Las ligadas al inmovilizado material se imputan como ingreso del ejercicio en proporción a la amortización </w:t>
      </w:r>
      <w:r w:rsidR="002C4355" w:rsidRPr="0063644B">
        <w:rPr>
          <w:rFonts w:ascii="NewBaskerville" w:hAnsi="NewBaskerville"/>
          <w:sz w:val="20"/>
        </w:rPr>
        <w:t>efectuada en el mismo periodo del activo financiado con dicha subvención</w:t>
      </w:r>
      <w:r w:rsidR="00C14522">
        <w:rPr>
          <w:rFonts w:ascii="NewBaskerville" w:hAnsi="NewBaskerville"/>
          <w:sz w:val="20"/>
        </w:rPr>
        <w:t>,</w:t>
      </w:r>
      <w:r w:rsidR="002C4355" w:rsidRPr="0063644B">
        <w:rPr>
          <w:rFonts w:ascii="NewBaskerville" w:hAnsi="NewBaskerville"/>
          <w:sz w:val="20"/>
        </w:rPr>
        <w:t xml:space="preserve"> o en su caso cuando se produzca su enajenación o baja en balance.</w:t>
      </w:r>
    </w:p>
    <w:p w:rsidR="002C4355" w:rsidRPr="0063644B" w:rsidRDefault="002C4355" w:rsidP="00FA123B">
      <w:pPr>
        <w:jc w:val="both"/>
        <w:rPr>
          <w:rFonts w:ascii="NewBaskerville" w:hAnsi="NewBaskerville"/>
        </w:rPr>
      </w:pPr>
    </w:p>
    <w:p w:rsidR="003B432F" w:rsidRDefault="002C4355" w:rsidP="00855D01">
      <w:pPr>
        <w:ind w:firstLine="540"/>
        <w:jc w:val="both"/>
        <w:rPr>
          <w:rFonts w:ascii="NewBaskerville" w:hAnsi="NewBaskerville"/>
        </w:rPr>
      </w:pPr>
      <w:r w:rsidRPr="0063644B">
        <w:rPr>
          <w:rFonts w:ascii="NewBaskerville" w:hAnsi="NewBaskerville"/>
        </w:rPr>
        <w:t>El devengo se reconoce simultáneamente al reconocimiento del pasivo por la certificación de obra.</w:t>
      </w:r>
    </w:p>
    <w:p w:rsidR="00306CAC" w:rsidRDefault="00306CAC" w:rsidP="00306CAC">
      <w:pPr>
        <w:ind w:firstLine="540"/>
        <w:jc w:val="both"/>
        <w:rPr>
          <w:rFonts w:ascii="NewBaskerville" w:hAnsi="NewBaskerville"/>
        </w:rPr>
      </w:pPr>
    </w:p>
    <w:p w:rsidR="00E02396" w:rsidRPr="0063644B" w:rsidRDefault="00306CAC" w:rsidP="00306CAC">
      <w:pPr>
        <w:ind w:firstLine="540"/>
        <w:jc w:val="both"/>
        <w:rPr>
          <w:rFonts w:ascii="NewBaskerville" w:hAnsi="NewBaskerville"/>
        </w:rPr>
      </w:pPr>
      <w:r>
        <w:rPr>
          <w:rFonts w:ascii="NewBaskerville" w:hAnsi="NewBaskerville"/>
        </w:rPr>
        <w:t xml:space="preserve">Las donaciones y legados concedidos para el establecimiento o estructura fija de la empresa (activos no corrientes) cuando no sean reintegrables se valoran por el valor razonable del bien recibido, atendiendo al efecto impositivo que pudiera corresponderles. Su imputación a resultados será similar a la descrita para las subvenciones.   </w:t>
      </w:r>
    </w:p>
    <w:p w:rsidR="001F2D6C" w:rsidRDefault="001F2D6C" w:rsidP="001F2D6C">
      <w:pPr>
        <w:ind w:firstLine="540"/>
      </w:pPr>
    </w:p>
    <w:p w:rsidR="00306CAC" w:rsidRDefault="00306CAC" w:rsidP="00306CAC">
      <w:pPr>
        <w:ind w:firstLine="540"/>
        <w:jc w:val="both"/>
        <w:rPr>
          <w:rFonts w:ascii="NewBaskerville" w:hAnsi="NewBaskerville"/>
        </w:rPr>
      </w:pPr>
      <w:r>
        <w:rPr>
          <w:rFonts w:ascii="NewBaskerville" w:hAnsi="NewBaskerville"/>
        </w:rPr>
        <w:t>En esta categoría se engloban los elementos adquiridos por reversión de concesiones, las adquisiciones a título lucrativo, y similares.</w:t>
      </w:r>
    </w:p>
    <w:p w:rsidR="00306CAC" w:rsidRDefault="00306CAC" w:rsidP="00306CAC">
      <w:pPr>
        <w:ind w:firstLine="540"/>
        <w:jc w:val="both"/>
        <w:rPr>
          <w:rFonts w:ascii="NewBaskerville" w:hAnsi="NewBaskerville"/>
        </w:rPr>
      </w:pPr>
    </w:p>
    <w:p w:rsidR="008A5BD6" w:rsidRPr="00306CAC" w:rsidRDefault="00981950" w:rsidP="00BA6314">
      <w:pPr>
        <w:numPr>
          <w:ilvl w:val="0"/>
          <w:numId w:val="41"/>
        </w:numPr>
        <w:spacing w:after="120"/>
        <w:ind w:left="567" w:hanging="283"/>
        <w:jc w:val="both"/>
        <w:rPr>
          <w:rFonts w:ascii="NewBaskerville" w:hAnsi="NewBaskerville"/>
          <w:bCs/>
        </w:rPr>
      </w:pPr>
      <w:r w:rsidRPr="00306CAC">
        <w:rPr>
          <w:rFonts w:ascii="NewBaskerville" w:hAnsi="NewBaskerville"/>
          <w:bCs/>
        </w:rPr>
        <w:t xml:space="preserve">Provisiones </w:t>
      </w:r>
    </w:p>
    <w:p w:rsidR="008A5BD6" w:rsidRPr="00306CAC" w:rsidRDefault="008A5BD6" w:rsidP="008A5BD6">
      <w:pPr>
        <w:pStyle w:val="Ttulo5"/>
        <w:rPr>
          <w:rFonts w:ascii="NewBaskerville" w:hAnsi="NewBaskerville"/>
          <w:sz w:val="20"/>
        </w:rPr>
      </w:pPr>
      <w:r w:rsidRPr="00306CAC">
        <w:rPr>
          <w:rFonts w:ascii="NewBaskerville" w:hAnsi="NewBaskerville"/>
          <w:sz w:val="20"/>
        </w:rPr>
        <w:lastRenderedPageBreak/>
        <w:t>Las provisiones se reconocen en el balance cuando la Entidad tiene una obligación actual, ya sea por una disposición legal, contractual o por una obligación implícita o tácita, surgida como consecuencia de sucesos pasados, que se estima probable que suponga una salida de recursos para su liquidación y que es cuantificable.</w:t>
      </w:r>
    </w:p>
    <w:p w:rsidR="008A5BD6" w:rsidRPr="00306CAC" w:rsidRDefault="008A5BD6" w:rsidP="008A5BD6">
      <w:pPr>
        <w:ind w:left="1065"/>
        <w:rPr>
          <w:rFonts w:ascii="NewBaskerville" w:hAnsi="NewBaskerville"/>
          <w:b/>
        </w:rPr>
      </w:pPr>
    </w:p>
    <w:p w:rsidR="002C4355" w:rsidRDefault="001F2D6C" w:rsidP="00E6742F">
      <w:pPr>
        <w:pStyle w:val="Ttulo5"/>
        <w:rPr>
          <w:rFonts w:ascii="NewBaskerville" w:hAnsi="NewBaskerville"/>
          <w:sz w:val="20"/>
        </w:rPr>
      </w:pPr>
      <w:r w:rsidRPr="00306CAC">
        <w:rPr>
          <w:rFonts w:ascii="NewBaskerville" w:hAnsi="NewBaskerville"/>
          <w:sz w:val="20"/>
        </w:rPr>
        <w:t>Las provisiones se valoran por el valor actual de la mejor estimación posible del importe necesario para cancelar o transferir a un tercero la obligación, registrándose los ajustes que surjan por la actualización de la provisión como un gasto financiero conforme se van devengando</w:t>
      </w:r>
      <w:r w:rsidR="000F3AD4" w:rsidRPr="00306CAC">
        <w:rPr>
          <w:rFonts w:ascii="NewBaskerville" w:hAnsi="NewBaskerville"/>
          <w:sz w:val="20"/>
        </w:rPr>
        <w:t xml:space="preserve">. </w:t>
      </w:r>
      <w:r w:rsidRPr="00306CAC">
        <w:rPr>
          <w:rFonts w:ascii="NewBaskerville" w:hAnsi="NewBaskerville"/>
          <w:sz w:val="20"/>
        </w:rPr>
        <w:t>Las provisiones se revisan a la fecha de cierre de cada balance y son ajustadas con el objetivo de reflejar la mejor estimación actual del pasivo correspondiente en cada momento.</w:t>
      </w:r>
    </w:p>
    <w:p w:rsidR="00306CAC" w:rsidRPr="00306CAC" w:rsidRDefault="00306CAC" w:rsidP="00306CAC"/>
    <w:p w:rsidR="002C4355" w:rsidRPr="00306CAC" w:rsidRDefault="002C4355" w:rsidP="00BA6314">
      <w:pPr>
        <w:numPr>
          <w:ilvl w:val="0"/>
          <w:numId w:val="41"/>
        </w:numPr>
        <w:spacing w:after="120"/>
        <w:ind w:left="567" w:hanging="283"/>
        <w:jc w:val="both"/>
        <w:rPr>
          <w:rFonts w:ascii="NewBaskerville" w:hAnsi="NewBaskerville"/>
          <w:bCs/>
        </w:rPr>
      </w:pPr>
      <w:r w:rsidRPr="00306CAC">
        <w:rPr>
          <w:rFonts w:ascii="NewBaskerville" w:hAnsi="NewBaskerville"/>
          <w:bCs/>
        </w:rPr>
        <w:t>Impuesto sobre sociedades</w:t>
      </w:r>
    </w:p>
    <w:p w:rsidR="00E74876" w:rsidRPr="00306CAC" w:rsidRDefault="00E74876" w:rsidP="00842F76">
      <w:pPr>
        <w:pStyle w:val="Ttulo5"/>
        <w:rPr>
          <w:rFonts w:ascii="NewBaskerville" w:hAnsi="NewBaskerville"/>
          <w:sz w:val="20"/>
        </w:rPr>
      </w:pPr>
      <w:r w:rsidRPr="00306CAC">
        <w:rPr>
          <w:rFonts w:ascii="NewBaskerville" w:hAnsi="NewBaskerville"/>
          <w:sz w:val="20"/>
        </w:rPr>
        <w:t>El gasto o ingreso por impuesto sobre beneficios comprende la parte relativa al gasto o ingreso por el impuesto corriente y la parte correspondiente al gasto e ingreso por impuesto diferido.</w:t>
      </w:r>
    </w:p>
    <w:p w:rsidR="00187A36" w:rsidRPr="00306CAC" w:rsidRDefault="00187A36" w:rsidP="00842F76">
      <w:pPr>
        <w:pStyle w:val="Ttulo5"/>
        <w:rPr>
          <w:rFonts w:ascii="NewBaskerville" w:hAnsi="NewBaskerville"/>
          <w:sz w:val="20"/>
        </w:rPr>
      </w:pPr>
    </w:p>
    <w:p w:rsidR="00E74876" w:rsidRPr="00306CAC" w:rsidRDefault="00E74876" w:rsidP="00842F76">
      <w:pPr>
        <w:pStyle w:val="Ttulo5"/>
        <w:rPr>
          <w:rFonts w:ascii="NewBaskerville" w:hAnsi="NewBaskerville"/>
          <w:sz w:val="20"/>
        </w:rPr>
      </w:pPr>
      <w:r w:rsidRPr="00306CAC">
        <w:rPr>
          <w:rFonts w:ascii="NewBaskerville" w:hAnsi="NewBaskerville"/>
          <w:sz w:val="20"/>
        </w:rPr>
        <w:t>El impuesto cor</w:t>
      </w:r>
      <w:r w:rsidR="00C116BF" w:rsidRPr="00306CAC">
        <w:rPr>
          <w:rFonts w:ascii="NewBaskerville" w:hAnsi="NewBaskerville"/>
          <w:sz w:val="20"/>
        </w:rPr>
        <w:t>riente es la cantidad que la Sociedad</w:t>
      </w:r>
      <w:r w:rsidRPr="00306CAC">
        <w:rPr>
          <w:rFonts w:ascii="NewBaskerville" w:hAnsi="NewBaskerville"/>
          <w:sz w:val="20"/>
        </w:rPr>
        <w:t xml:space="preserve"> satisface como consecuencia de las liquidaciones fiscales del impu</w:t>
      </w:r>
      <w:r w:rsidR="00EA5EEF" w:rsidRPr="00306CAC">
        <w:rPr>
          <w:rFonts w:ascii="NewBaskerville" w:hAnsi="NewBaskerville"/>
          <w:sz w:val="20"/>
        </w:rPr>
        <w:t>esto sobre el beneficio relativa</w:t>
      </w:r>
      <w:r w:rsidRPr="00306CAC">
        <w:rPr>
          <w:rFonts w:ascii="NewBaskerville" w:hAnsi="NewBaskerville"/>
          <w:sz w:val="20"/>
        </w:rPr>
        <w:t xml:space="preserve"> a un ejercicio. Las deducciones y otras ventajas fiscales en la cuota del impuesto, excluidas las retenciones y pagos a cuenta, así como las pérdidas fiscales</w:t>
      </w:r>
      <w:r w:rsidR="00842F76" w:rsidRPr="00306CAC">
        <w:rPr>
          <w:rFonts w:ascii="NewBaskerville" w:hAnsi="NewBaskerville"/>
          <w:sz w:val="20"/>
        </w:rPr>
        <w:t xml:space="preserve"> compensables de ejercicios anteriores y aplicadas efectivamente en éste, dan lugar a un menor importe del impuesto corriente.</w:t>
      </w:r>
    </w:p>
    <w:p w:rsidR="00187A36" w:rsidRPr="00306CAC" w:rsidRDefault="00187A36" w:rsidP="00187A36">
      <w:pPr>
        <w:rPr>
          <w:rFonts w:ascii="NewBaskerville" w:hAnsi="NewBaskerville"/>
        </w:rPr>
      </w:pPr>
    </w:p>
    <w:p w:rsidR="00187A36" w:rsidRPr="000D1AE5" w:rsidRDefault="00842F76" w:rsidP="000D1AE5">
      <w:pPr>
        <w:pStyle w:val="Ttulo5"/>
        <w:rPr>
          <w:rFonts w:ascii="NewBaskerville" w:hAnsi="NewBaskerville"/>
        </w:rPr>
      </w:pPr>
      <w:r w:rsidRPr="00306CAC">
        <w:rPr>
          <w:rFonts w:ascii="NewBaskerville" w:hAnsi="NewBaskerville"/>
          <w:sz w:val="20"/>
        </w:rPr>
        <w:t xml:space="preserve">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w:t>
      </w:r>
      <w:r w:rsidRPr="000D1AE5">
        <w:rPr>
          <w:rFonts w:ascii="NewBaskerville" w:hAnsi="NewBaskerville"/>
          <w:sz w:val="20"/>
        </w:rPr>
        <w:t>Dichos importes se registran aplicando a la diferencia temporaria o crédito que corresponda el tipo de gravamen al que se espera recuperarlos o liquidarlos.</w:t>
      </w:r>
    </w:p>
    <w:p w:rsidR="00187A36" w:rsidRPr="000D1AE5" w:rsidRDefault="00187A36" w:rsidP="00EB2BD6">
      <w:pPr>
        <w:pStyle w:val="Ttulo5"/>
        <w:rPr>
          <w:rFonts w:ascii="NewBaskerville" w:hAnsi="NewBaskerville"/>
          <w:sz w:val="20"/>
        </w:rPr>
      </w:pPr>
    </w:p>
    <w:p w:rsidR="00842F76" w:rsidRPr="000D1AE5" w:rsidRDefault="00187A36" w:rsidP="00EB2BD6">
      <w:pPr>
        <w:pStyle w:val="Ttulo5"/>
        <w:rPr>
          <w:rFonts w:ascii="NewBaskerville" w:hAnsi="NewBaskerville"/>
          <w:sz w:val="20"/>
        </w:rPr>
      </w:pPr>
      <w:r w:rsidRPr="000D1AE5">
        <w:rPr>
          <w:rFonts w:ascii="NewBaskerville" w:hAnsi="NewBaskerville"/>
          <w:sz w:val="20"/>
        </w:rPr>
        <w:t>S</w:t>
      </w:r>
      <w:r w:rsidR="00842F76" w:rsidRPr="000D1AE5">
        <w:rPr>
          <w:rFonts w:ascii="NewBaskerville" w:hAnsi="NewBaskerville"/>
          <w:sz w:val="20"/>
        </w:rPr>
        <w:t>e reconocen pasivos por impuestos diferidos para todas las diferencias temporarias imponibles, excepto aquellas derivadas del reconocimiento inicial de fondos de comercio o de otros activos y pasivos en una operación que no afecta ni al resultado fiscal ni al resultado contable y no es una combinación de negocios</w:t>
      </w:r>
      <w:r w:rsidR="00EB2BD6" w:rsidRPr="000D1AE5">
        <w:rPr>
          <w:rFonts w:ascii="NewBaskerville" w:hAnsi="NewBaskerville"/>
          <w:sz w:val="20"/>
        </w:rPr>
        <w:t>.</w:t>
      </w:r>
    </w:p>
    <w:p w:rsidR="00EB2BD6" w:rsidRPr="000D1AE5" w:rsidRDefault="00EB2BD6" w:rsidP="00EB2BD6">
      <w:pPr>
        <w:pStyle w:val="Ttulo5"/>
        <w:rPr>
          <w:rFonts w:ascii="NewBaskerville" w:hAnsi="NewBaskerville"/>
          <w:sz w:val="20"/>
        </w:rPr>
      </w:pPr>
    </w:p>
    <w:p w:rsidR="00EB2BD6" w:rsidRPr="000D1AE5" w:rsidRDefault="00EB2BD6" w:rsidP="00EB2BD6">
      <w:pPr>
        <w:pStyle w:val="Ttulo5"/>
        <w:rPr>
          <w:rFonts w:ascii="NewBaskerville" w:hAnsi="NewBaskerville"/>
          <w:sz w:val="20"/>
        </w:rPr>
      </w:pPr>
      <w:r w:rsidRPr="000D1AE5">
        <w:rPr>
          <w:rFonts w:ascii="NewBaskerville" w:hAnsi="NewBaskerville"/>
          <w:sz w:val="20"/>
        </w:rPr>
        <w:t xml:space="preserve">Por su parte, los activos por impuestos diferidos sólo se reconocen en la medida en que se considere probable que la </w:t>
      </w:r>
      <w:r w:rsidR="003D4191">
        <w:rPr>
          <w:rFonts w:ascii="NewBaskerville" w:hAnsi="NewBaskerville"/>
          <w:sz w:val="20"/>
        </w:rPr>
        <w:t>Entidad</w:t>
      </w:r>
      <w:r w:rsidRPr="000D1AE5">
        <w:rPr>
          <w:rFonts w:ascii="NewBaskerville" w:hAnsi="NewBaskerville"/>
          <w:sz w:val="20"/>
        </w:rPr>
        <w:t xml:space="preserve"> vaya a disponer de ganancias fiscales futuras contra las que poder hacerlos efectivos.</w:t>
      </w:r>
    </w:p>
    <w:p w:rsidR="00427604" w:rsidRPr="000D1AE5" w:rsidRDefault="00427604" w:rsidP="00427604">
      <w:pPr>
        <w:rPr>
          <w:rFonts w:ascii="NewBaskerville" w:hAnsi="NewBaskerville"/>
        </w:rPr>
      </w:pPr>
    </w:p>
    <w:p w:rsidR="00427604" w:rsidRPr="000D1AE5" w:rsidRDefault="00427604" w:rsidP="00EE5732">
      <w:pPr>
        <w:pStyle w:val="Ttulo5"/>
        <w:rPr>
          <w:rFonts w:ascii="NewBaskerville" w:hAnsi="NewBaskerville"/>
          <w:sz w:val="20"/>
        </w:rPr>
      </w:pPr>
      <w:r w:rsidRPr="000D1AE5">
        <w:rPr>
          <w:rFonts w:ascii="NewBaskerville" w:hAnsi="NewBaskerville"/>
          <w:sz w:val="20"/>
        </w:rPr>
        <w:t>Los activos y pasivos por impuestos diferidos, originados por operaciones con cargos o abonos directos en cuentas de patrimonio, se contabilizan también con contrapartida en patrimonio neto.</w:t>
      </w:r>
    </w:p>
    <w:p w:rsidR="00427604" w:rsidRPr="000D1AE5" w:rsidRDefault="00427604" w:rsidP="00427604">
      <w:pPr>
        <w:pStyle w:val="Ttulo5"/>
        <w:rPr>
          <w:rFonts w:ascii="NewBaskerville" w:hAnsi="NewBaskerville"/>
          <w:sz w:val="20"/>
        </w:rPr>
      </w:pPr>
    </w:p>
    <w:p w:rsidR="00427604" w:rsidRDefault="00427604" w:rsidP="00427604">
      <w:pPr>
        <w:pStyle w:val="Ttulo5"/>
        <w:rPr>
          <w:sz w:val="20"/>
        </w:rPr>
      </w:pPr>
      <w:r w:rsidRPr="000D1AE5">
        <w:rPr>
          <w:rFonts w:ascii="NewBaskerville" w:hAnsi="NewBaskerville"/>
          <w:sz w:val="20"/>
        </w:rPr>
        <w:t xml:space="preserve"> En cada cierre contable se reconsideran los activos por impuestos diferidos registrados, efectuándose las oportunas correcciones a los mismos en la medida en que existan dudas sobre su recuperación futura. Asimismo, en cada cierre se evalúan los activos por impuestos diferidos no registrados en balance y éstos son objeto de reconocimiento en la medida en que pase a ser probable su recuperación con beneficios fiscales futuros</w:t>
      </w:r>
      <w:r w:rsidRPr="00427604">
        <w:rPr>
          <w:sz w:val="20"/>
        </w:rPr>
        <w:t>.</w:t>
      </w:r>
    </w:p>
    <w:p w:rsidR="000D1AE5" w:rsidRDefault="000D1AE5" w:rsidP="000D1AE5"/>
    <w:p w:rsidR="002C4355" w:rsidRPr="00980CC9" w:rsidRDefault="002C4355" w:rsidP="00BA6314">
      <w:pPr>
        <w:numPr>
          <w:ilvl w:val="0"/>
          <w:numId w:val="41"/>
        </w:numPr>
        <w:spacing w:after="120"/>
        <w:ind w:left="567" w:hanging="283"/>
        <w:jc w:val="both"/>
        <w:rPr>
          <w:rFonts w:ascii="NewBaskerville" w:hAnsi="NewBaskerville"/>
          <w:bCs/>
        </w:rPr>
      </w:pPr>
      <w:r w:rsidRPr="00980CC9">
        <w:rPr>
          <w:rFonts w:ascii="NewBaskerville" w:hAnsi="NewBaskerville"/>
          <w:bCs/>
        </w:rPr>
        <w:t>Clasificación de los activos y pasivos entre corrientes y no corrientes</w:t>
      </w:r>
    </w:p>
    <w:p w:rsidR="002C4355" w:rsidRPr="00980CC9" w:rsidRDefault="002C4355">
      <w:pPr>
        <w:pStyle w:val="Ttulo5"/>
        <w:rPr>
          <w:rFonts w:ascii="NewBaskerville" w:hAnsi="NewBaskerville"/>
          <w:sz w:val="20"/>
        </w:rPr>
      </w:pPr>
      <w:r w:rsidRPr="00980CC9">
        <w:rPr>
          <w:rFonts w:ascii="NewBaskerville" w:hAnsi="NewBaskerville"/>
          <w:sz w:val="20"/>
        </w:rPr>
        <w:lastRenderedPageBreak/>
        <w:t>Los activos y pasivos se presentan en el balance clasificados entre corrientes y no corrientes. A estos efectos, los activos y pasivos se clasifican como corrientes cuando están vinculados al ciclo normal de explotación de la Entidad y se esperan vender, consumir, realizar o liquidar en e</w:t>
      </w:r>
      <w:r w:rsidR="0087395A" w:rsidRPr="00980CC9">
        <w:rPr>
          <w:rFonts w:ascii="NewBaskerville" w:hAnsi="NewBaskerville"/>
          <w:sz w:val="20"/>
        </w:rPr>
        <w:t>l transcurso del mismo. Los activos y pasivos no corrientes no vinculados al ciclo normal de explotación</w:t>
      </w:r>
      <w:r w:rsidRPr="00980CC9">
        <w:rPr>
          <w:rFonts w:ascii="NewBaskerville" w:hAnsi="NewBaskerville"/>
          <w:sz w:val="20"/>
        </w:rPr>
        <w:t xml:space="preserve"> </w:t>
      </w:r>
      <w:r w:rsidR="0087395A" w:rsidRPr="00980CC9">
        <w:rPr>
          <w:rFonts w:ascii="NewBaskerville" w:hAnsi="NewBaskerville"/>
          <w:sz w:val="20"/>
        </w:rPr>
        <w:t>cuyo</w:t>
      </w:r>
      <w:r w:rsidRPr="00980CC9">
        <w:rPr>
          <w:rFonts w:ascii="NewBaskerville" w:hAnsi="NewBaskerville"/>
          <w:sz w:val="20"/>
        </w:rPr>
        <w:t xml:space="preserve"> vencimiento, enajenación o </w:t>
      </w:r>
      <w:r w:rsidR="0087395A" w:rsidRPr="00980CC9">
        <w:rPr>
          <w:rFonts w:ascii="NewBaskerville" w:hAnsi="NewBaskerville"/>
          <w:sz w:val="20"/>
        </w:rPr>
        <w:t>extinción</w:t>
      </w:r>
      <w:r w:rsidRPr="00980CC9">
        <w:rPr>
          <w:rFonts w:ascii="NewBaskerville" w:hAnsi="NewBaskerville"/>
          <w:sz w:val="20"/>
        </w:rPr>
        <w:t xml:space="preserve"> se espera que se produz</w:t>
      </w:r>
      <w:r w:rsidR="0087395A" w:rsidRPr="00980CC9">
        <w:rPr>
          <w:rFonts w:ascii="NewBaskerville" w:hAnsi="NewBaskerville"/>
          <w:sz w:val="20"/>
        </w:rPr>
        <w:t>ca en el plazo máximo de un año, contado a partir del cierre del ejercicio,</w:t>
      </w:r>
      <w:r w:rsidRPr="00980CC9">
        <w:rPr>
          <w:rFonts w:ascii="NewBaskerville" w:hAnsi="NewBaskerville"/>
          <w:sz w:val="20"/>
        </w:rPr>
        <w:t xml:space="preserve"> </w:t>
      </w:r>
      <w:r w:rsidR="0087395A" w:rsidRPr="00980CC9">
        <w:rPr>
          <w:rFonts w:ascii="NewBaskerville" w:hAnsi="NewBaskerville"/>
          <w:sz w:val="20"/>
        </w:rPr>
        <w:t>se reclasifican en corrientes en la parte que les corresponda.</w:t>
      </w:r>
    </w:p>
    <w:p w:rsidR="0087395A" w:rsidRPr="00980CC9" w:rsidRDefault="0087395A" w:rsidP="0087395A">
      <w:pPr>
        <w:rPr>
          <w:rFonts w:ascii="NewBaskerville" w:hAnsi="NewBaskerville"/>
        </w:rPr>
      </w:pPr>
    </w:p>
    <w:p w:rsidR="0087395A" w:rsidRPr="00980CC9" w:rsidRDefault="0087395A" w:rsidP="00EE5732">
      <w:pPr>
        <w:pStyle w:val="Ttulo5"/>
        <w:rPr>
          <w:rFonts w:ascii="NewBaskerville" w:hAnsi="NewBaskerville"/>
          <w:sz w:val="20"/>
        </w:rPr>
      </w:pPr>
      <w:r w:rsidRPr="00980CC9">
        <w:rPr>
          <w:rFonts w:ascii="NewBaskerville" w:hAnsi="NewBaskerville"/>
          <w:sz w:val="20"/>
        </w:rPr>
        <w:t>Los demás elementos se clasifican como no corrientes.</w:t>
      </w:r>
    </w:p>
    <w:p w:rsidR="002C4355" w:rsidRPr="00980CC9" w:rsidRDefault="002C4355">
      <w:pPr>
        <w:rPr>
          <w:rFonts w:ascii="NewBaskerville" w:hAnsi="NewBaskerville"/>
        </w:rPr>
      </w:pPr>
    </w:p>
    <w:p w:rsidR="003C7842" w:rsidRDefault="002C4355" w:rsidP="00997D65">
      <w:pPr>
        <w:pStyle w:val="Ttulo5"/>
        <w:rPr>
          <w:rFonts w:ascii="NewBaskerville" w:hAnsi="NewBaskerville"/>
          <w:sz w:val="20"/>
        </w:rPr>
      </w:pPr>
      <w:r w:rsidRPr="00980CC9">
        <w:rPr>
          <w:rFonts w:ascii="NewBaskerville" w:hAnsi="NewBaskerville"/>
          <w:sz w:val="20"/>
        </w:rPr>
        <w:t xml:space="preserve">El ciclo normal de explotación es </w:t>
      </w:r>
      <w:r w:rsidR="0087395A" w:rsidRPr="00980CC9">
        <w:rPr>
          <w:rFonts w:ascii="NewBaskerville" w:hAnsi="NewBaskerville"/>
          <w:sz w:val="20"/>
        </w:rPr>
        <w:t>de</w:t>
      </w:r>
      <w:r w:rsidRPr="00980CC9">
        <w:rPr>
          <w:rFonts w:ascii="NewBaskerville" w:hAnsi="NewBaskerville"/>
          <w:sz w:val="20"/>
        </w:rPr>
        <w:t xml:space="preserve"> un año.</w:t>
      </w:r>
    </w:p>
    <w:p w:rsidR="00401838" w:rsidRPr="00401838" w:rsidRDefault="00401838" w:rsidP="00401838"/>
    <w:p w:rsidR="00C20D30" w:rsidRPr="00980CC9" w:rsidRDefault="00C20D30" w:rsidP="00BA6314">
      <w:pPr>
        <w:numPr>
          <w:ilvl w:val="0"/>
          <w:numId w:val="41"/>
        </w:numPr>
        <w:spacing w:after="120"/>
        <w:ind w:left="567" w:hanging="283"/>
        <w:jc w:val="both"/>
        <w:rPr>
          <w:rFonts w:ascii="NewBaskerville" w:hAnsi="NewBaskerville"/>
          <w:bCs/>
        </w:rPr>
      </w:pPr>
      <w:r w:rsidRPr="00980CC9">
        <w:rPr>
          <w:rFonts w:ascii="NewBaskerville" w:hAnsi="NewBaskerville"/>
          <w:bCs/>
        </w:rPr>
        <w:t xml:space="preserve"> Medioambiente</w:t>
      </w:r>
    </w:p>
    <w:p w:rsidR="00443495" w:rsidRPr="00980CC9" w:rsidRDefault="00C20D30" w:rsidP="00443495">
      <w:pPr>
        <w:tabs>
          <w:tab w:val="center" w:pos="5671"/>
          <w:tab w:val="center" w:pos="7797"/>
        </w:tabs>
        <w:ind w:firstLine="568"/>
        <w:jc w:val="both"/>
        <w:rPr>
          <w:rFonts w:ascii="NewBaskerville" w:hAnsi="NewBaskerville"/>
        </w:rPr>
      </w:pPr>
      <w:r w:rsidRPr="00980CC9">
        <w:rPr>
          <w:rFonts w:ascii="NewBaskerville" w:hAnsi="NewBaskerville"/>
        </w:rPr>
        <w:t>La entidad realiza operaciones cuyo propósito principal es prevenir, reducir o reparar el daño que como resultado de sus actividades pueda producir sobre el medioambiente.</w:t>
      </w:r>
      <w:r w:rsidR="00443495" w:rsidRPr="00980CC9">
        <w:rPr>
          <w:rFonts w:ascii="NewBaskerville" w:hAnsi="NewBaskerville"/>
        </w:rPr>
        <w:t xml:space="preserve"> Los gastos medioambientales se consideran gastos de explotación del ejercicio en el que se devengan y se incorporan a la cuenta de pérdidas y ganancias en la partida correspondiente.</w:t>
      </w:r>
    </w:p>
    <w:p w:rsidR="00443495" w:rsidRPr="00980CC9" w:rsidRDefault="00443495" w:rsidP="00443495">
      <w:pPr>
        <w:tabs>
          <w:tab w:val="center" w:pos="5671"/>
          <w:tab w:val="center" w:pos="7797"/>
        </w:tabs>
        <w:ind w:firstLine="568"/>
        <w:jc w:val="both"/>
        <w:rPr>
          <w:rFonts w:ascii="NewBaskerville" w:hAnsi="NewBaskerville"/>
        </w:rPr>
      </w:pPr>
    </w:p>
    <w:p w:rsidR="008D4ADA" w:rsidRPr="00980CC9" w:rsidRDefault="00443495" w:rsidP="00997D65">
      <w:pPr>
        <w:tabs>
          <w:tab w:val="center" w:pos="5671"/>
          <w:tab w:val="center" w:pos="7797"/>
        </w:tabs>
        <w:ind w:firstLine="568"/>
        <w:jc w:val="both"/>
        <w:rPr>
          <w:rFonts w:ascii="NewBaskerville" w:hAnsi="NewBaskerville"/>
        </w:rPr>
      </w:pPr>
      <w:r w:rsidRPr="00980CC9">
        <w:rPr>
          <w:rFonts w:ascii="NewBaskerville" w:hAnsi="NewBaskerville"/>
        </w:rPr>
        <w:t>Los elementos del inmovilizado material adquiridos con el objeto de ser utilizados de forma duradera en su actividad y cuya finalidad principal es la minim</w:t>
      </w:r>
      <w:r w:rsidR="00A60572" w:rsidRPr="00980CC9">
        <w:rPr>
          <w:rFonts w:ascii="NewBaskerville" w:hAnsi="NewBaskerville"/>
        </w:rPr>
        <w:t>iz</w:t>
      </w:r>
      <w:r w:rsidRPr="00980CC9">
        <w:rPr>
          <w:rFonts w:ascii="NewBaskerville" w:hAnsi="NewBaskerville"/>
        </w:rPr>
        <w:t>ación del impacto medioambiental y su protección y m</w:t>
      </w:r>
      <w:r w:rsidR="00EC42BF" w:rsidRPr="00980CC9">
        <w:rPr>
          <w:rFonts w:ascii="NewBaskerville" w:hAnsi="NewBaskerville"/>
        </w:rPr>
        <w:t>ejora se reconocen como activos según las norm</w:t>
      </w:r>
      <w:r w:rsidR="00981950" w:rsidRPr="00980CC9">
        <w:rPr>
          <w:rFonts w:ascii="NewBaskerville" w:hAnsi="NewBaskerville"/>
        </w:rPr>
        <w:t xml:space="preserve">as detalladas en el apartado </w:t>
      </w:r>
      <w:r w:rsidR="00567F58" w:rsidRPr="00980CC9">
        <w:rPr>
          <w:rFonts w:ascii="NewBaskerville" w:hAnsi="NewBaskerville"/>
        </w:rPr>
        <w:t>4</w:t>
      </w:r>
      <w:r w:rsidR="00981950" w:rsidRPr="00980CC9">
        <w:rPr>
          <w:rFonts w:ascii="NewBaskerville" w:hAnsi="NewBaskerville"/>
        </w:rPr>
        <w:t>.b</w:t>
      </w:r>
    </w:p>
    <w:p w:rsidR="00D65F94" w:rsidRPr="00072D1A" w:rsidRDefault="00D65F94">
      <w:pPr>
        <w:tabs>
          <w:tab w:val="center" w:pos="5671"/>
          <w:tab w:val="center" w:pos="7797"/>
        </w:tabs>
        <w:ind w:left="851" w:hanging="284"/>
        <w:jc w:val="both"/>
        <w:rPr>
          <w:bCs/>
        </w:rPr>
      </w:pPr>
    </w:p>
    <w:p w:rsidR="002C4355" w:rsidRPr="00BF1854" w:rsidRDefault="002C4355" w:rsidP="00BA6314">
      <w:pPr>
        <w:numPr>
          <w:ilvl w:val="0"/>
          <w:numId w:val="41"/>
        </w:numPr>
        <w:spacing w:after="120"/>
        <w:ind w:left="567" w:hanging="283"/>
        <w:jc w:val="both"/>
        <w:rPr>
          <w:rFonts w:ascii="NewBaskerville" w:hAnsi="NewBaskerville"/>
          <w:bCs/>
        </w:rPr>
      </w:pPr>
      <w:r w:rsidRPr="00BF1854">
        <w:rPr>
          <w:rFonts w:ascii="NewBaskerville" w:hAnsi="NewBaskerville"/>
          <w:bCs/>
        </w:rPr>
        <w:t>Ingresos y gastos</w:t>
      </w:r>
    </w:p>
    <w:p w:rsidR="002C4355" w:rsidRPr="00BF1854" w:rsidRDefault="002C4355">
      <w:pPr>
        <w:tabs>
          <w:tab w:val="center" w:pos="5671"/>
          <w:tab w:val="center" w:pos="7797"/>
        </w:tabs>
        <w:ind w:firstLine="568"/>
        <w:jc w:val="both"/>
        <w:rPr>
          <w:rFonts w:ascii="NewBaskerville" w:hAnsi="NewBaskerville"/>
        </w:rPr>
      </w:pPr>
      <w:r w:rsidRPr="00BF1854">
        <w:rPr>
          <w:rFonts w:ascii="NewBaskerville" w:hAnsi="NewBaskerville"/>
        </w:rPr>
        <w:t>Los ingresos y gastos se imputan en función del momento de adquisición real de los bienes y de la prestación de los servicios con independencia del momento en que se produce la corriente monetaria o financiera derivada de ellos.</w:t>
      </w:r>
    </w:p>
    <w:p w:rsidR="00083E35" w:rsidRPr="00072D1A" w:rsidRDefault="00083E35">
      <w:pPr>
        <w:tabs>
          <w:tab w:val="center" w:pos="5671"/>
          <w:tab w:val="center" w:pos="7797"/>
        </w:tabs>
        <w:ind w:firstLine="568"/>
        <w:jc w:val="both"/>
      </w:pPr>
    </w:p>
    <w:p w:rsidR="002C4355" w:rsidRPr="00BF1854" w:rsidRDefault="001E4D8C">
      <w:pPr>
        <w:tabs>
          <w:tab w:val="center" w:pos="5671"/>
          <w:tab w:val="center" w:pos="7797"/>
        </w:tabs>
        <w:ind w:firstLine="568"/>
        <w:jc w:val="both"/>
        <w:rPr>
          <w:rFonts w:ascii="NewBaskerville" w:hAnsi="NewBaskerville"/>
        </w:rPr>
      </w:pPr>
      <w:r w:rsidRPr="00BF1854">
        <w:rPr>
          <w:rFonts w:ascii="NewBaskerville" w:hAnsi="NewBaskerville"/>
        </w:rPr>
        <w:t>Dado que el vigente</w:t>
      </w:r>
      <w:r w:rsidR="002C4355" w:rsidRPr="00BF1854">
        <w:rPr>
          <w:rFonts w:ascii="NewBaskerville" w:hAnsi="NewBaskerville"/>
        </w:rPr>
        <w:t xml:space="preserve"> </w:t>
      </w:r>
      <w:r w:rsidR="003D4191">
        <w:rPr>
          <w:rFonts w:ascii="NewBaskerville" w:hAnsi="NewBaskerville"/>
        </w:rPr>
        <w:t>p</w:t>
      </w:r>
      <w:r w:rsidR="002C4355" w:rsidRPr="00BF1854">
        <w:rPr>
          <w:rFonts w:ascii="NewBaskerville" w:hAnsi="NewBaskerville"/>
        </w:rPr>
        <w:t xml:space="preserve">lan </w:t>
      </w:r>
      <w:r w:rsidR="003D4191">
        <w:rPr>
          <w:rFonts w:ascii="NewBaskerville" w:hAnsi="NewBaskerville"/>
        </w:rPr>
        <w:t>g</w:t>
      </w:r>
      <w:r w:rsidR="002C4355" w:rsidRPr="00BF1854">
        <w:rPr>
          <w:rFonts w:ascii="NewBaskerville" w:hAnsi="NewBaskerville"/>
        </w:rPr>
        <w:t>eneral contable ha suprimido los gastos e ingresos de ejercicios anteriores, teniendo en cuenta el criterio de importancia relativa y que no se altera la imagen fiel</w:t>
      </w:r>
      <w:r w:rsidRPr="00BF1854">
        <w:rPr>
          <w:rFonts w:ascii="NewBaskerville" w:hAnsi="NewBaskerville"/>
        </w:rPr>
        <w:t>, dichos gastos e ingresos,</w:t>
      </w:r>
      <w:r w:rsidR="002C4355" w:rsidRPr="00BF1854">
        <w:rPr>
          <w:rFonts w:ascii="NewBaskerville" w:hAnsi="NewBaskerville"/>
        </w:rPr>
        <w:t xml:space="preserve"> se registran en el ejercicio corriente dentro de los correspondientes epígrafes por naturaleza del resultado de explotación o del resultado financiero.</w:t>
      </w:r>
    </w:p>
    <w:p w:rsidR="002C4355" w:rsidRPr="00BF1854" w:rsidRDefault="002C4355">
      <w:pPr>
        <w:tabs>
          <w:tab w:val="center" w:pos="5671"/>
          <w:tab w:val="center" w:pos="7797"/>
        </w:tabs>
        <w:jc w:val="both"/>
        <w:rPr>
          <w:rFonts w:ascii="NewBaskerville" w:hAnsi="NewBaskerville"/>
        </w:rPr>
      </w:pPr>
    </w:p>
    <w:p w:rsidR="002C4355" w:rsidRPr="00BF1854" w:rsidRDefault="009F28B8" w:rsidP="00E6742F">
      <w:pPr>
        <w:tabs>
          <w:tab w:val="center" w:pos="5671"/>
          <w:tab w:val="center" w:pos="7797"/>
        </w:tabs>
        <w:ind w:firstLine="568"/>
        <w:jc w:val="both"/>
        <w:rPr>
          <w:rFonts w:ascii="NewBaskerville" w:hAnsi="NewBaskerville"/>
        </w:rPr>
      </w:pPr>
      <w:r w:rsidRPr="00BF1854">
        <w:rPr>
          <w:rFonts w:ascii="NewBaskerville" w:hAnsi="NewBaskerville"/>
        </w:rPr>
        <w:t>L</w:t>
      </w:r>
      <w:r w:rsidR="002C4355" w:rsidRPr="00BF1854">
        <w:rPr>
          <w:rFonts w:ascii="NewBaskerville" w:hAnsi="NewBaskerville"/>
        </w:rPr>
        <w:t>a dotación de las provisiones contables</w:t>
      </w:r>
      <w:r w:rsidRPr="00BF1854">
        <w:rPr>
          <w:rFonts w:ascii="NewBaskerville" w:hAnsi="NewBaskerville"/>
        </w:rPr>
        <w:t xml:space="preserve"> por litigios de tarifas</w:t>
      </w:r>
      <w:r w:rsidR="002C4355" w:rsidRPr="00BF1854">
        <w:rPr>
          <w:rFonts w:ascii="NewBaskerville" w:hAnsi="NewBaskerville"/>
        </w:rPr>
        <w:t xml:space="preserve"> derivad</w:t>
      </w:r>
      <w:r w:rsidRPr="00BF1854">
        <w:rPr>
          <w:rFonts w:ascii="NewBaskerville" w:hAnsi="NewBaskerville"/>
        </w:rPr>
        <w:t>o</w:t>
      </w:r>
      <w:r w:rsidR="002C4355" w:rsidRPr="00BF1854">
        <w:rPr>
          <w:rFonts w:ascii="NewBaskerville" w:hAnsi="NewBaskerville"/>
        </w:rPr>
        <w:t xml:space="preserve">s de las sentencias del Tribunal Constitucional 116/2009 de 18 de mayo, 146/2009 de 15 de junio y 161/2009 de 29 de junio que impiden la </w:t>
      </w:r>
      <w:proofErr w:type="spellStart"/>
      <w:r w:rsidR="002C4355" w:rsidRPr="00BF1854">
        <w:rPr>
          <w:rFonts w:ascii="NewBaskerville" w:hAnsi="NewBaskerville"/>
        </w:rPr>
        <w:t>refacturación</w:t>
      </w:r>
      <w:proofErr w:type="spellEnd"/>
      <w:r w:rsidR="002C4355" w:rsidRPr="00BF1854">
        <w:rPr>
          <w:rFonts w:ascii="NewBaskerville" w:hAnsi="NewBaskerville"/>
        </w:rPr>
        <w:t xml:space="preserve"> de las liquidaciones recurridas, presenta las características de excepcionalidad y cuantía significativa exigidos en el Plan General Contable 2007 para que puedan dotarse con cargo a la partida “Otros resultados” del resultado de </w:t>
      </w:r>
      <w:r w:rsidR="008155BC" w:rsidRPr="00BF1854">
        <w:rPr>
          <w:rFonts w:ascii="NewBaskerville" w:hAnsi="NewBaskerville"/>
        </w:rPr>
        <w:t>explotación,</w:t>
      </w:r>
      <w:r w:rsidR="002C4355" w:rsidRPr="00BF1854">
        <w:rPr>
          <w:rFonts w:ascii="NewBaskerville" w:hAnsi="NewBaskerville"/>
        </w:rPr>
        <w:t xml:space="preserve"> gastos excepcionales. </w:t>
      </w:r>
    </w:p>
    <w:p w:rsidR="00472775" w:rsidRPr="00072D1A" w:rsidRDefault="00472775" w:rsidP="00997D65">
      <w:pPr>
        <w:tabs>
          <w:tab w:val="center" w:pos="5671"/>
          <w:tab w:val="center" w:pos="7797"/>
        </w:tabs>
        <w:jc w:val="both"/>
      </w:pPr>
    </w:p>
    <w:p w:rsidR="002C4355" w:rsidRDefault="002C4355" w:rsidP="00FC6682">
      <w:pPr>
        <w:numPr>
          <w:ilvl w:val="0"/>
          <w:numId w:val="41"/>
        </w:numPr>
        <w:ind w:left="567" w:hanging="283"/>
        <w:jc w:val="both"/>
        <w:rPr>
          <w:rFonts w:ascii="NewBaskerville" w:hAnsi="NewBaskerville"/>
          <w:bCs/>
        </w:rPr>
      </w:pPr>
      <w:r w:rsidRPr="00FC6682">
        <w:rPr>
          <w:rFonts w:ascii="NewBaskerville" w:hAnsi="NewBaskerville"/>
          <w:bCs/>
        </w:rPr>
        <w:t xml:space="preserve">Fondo de Compensación </w:t>
      </w:r>
      <w:proofErr w:type="spellStart"/>
      <w:r w:rsidRPr="00FC6682">
        <w:rPr>
          <w:rFonts w:ascii="NewBaskerville" w:hAnsi="NewBaskerville"/>
          <w:bCs/>
        </w:rPr>
        <w:t>Interportuario</w:t>
      </w:r>
      <w:proofErr w:type="spellEnd"/>
      <w:r w:rsidRPr="00FC6682">
        <w:rPr>
          <w:rFonts w:ascii="NewBaskerville" w:hAnsi="NewBaskerville"/>
          <w:bCs/>
        </w:rPr>
        <w:t xml:space="preserve"> y aportación al Ente Público Puertos del Estado</w:t>
      </w:r>
    </w:p>
    <w:p w:rsidR="00FC6682" w:rsidRPr="00FC6682" w:rsidRDefault="00FC6682" w:rsidP="00FC6682">
      <w:pPr>
        <w:ind w:left="567"/>
        <w:jc w:val="both"/>
        <w:rPr>
          <w:rFonts w:ascii="NewBaskerville" w:hAnsi="NewBaskerville"/>
          <w:bCs/>
        </w:rPr>
      </w:pPr>
    </w:p>
    <w:p w:rsidR="002C4355" w:rsidRPr="00FC6682" w:rsidRDefault="001E4D8C" w:rsidP="00F348FE">
      <w:pPr>
        <w:tabs>
          <w:tab w:val="center" w:pos="5671"/>
          <w:tab w:val="center" w:pos="7797"/>
        </w:tabs>
        <w:ind w:firstLine="568"/>
        <w:jc w:val="both"/>
        <w:rPr>
          <w:rFonts w:ascii="NewBaskerville" w:hAnsi="NewBaskerville"/>
        </w:rPr>
      </w:pPr>
      <w:r w:rsidRPr="00FC6682">
        <w:rPr>
          <w:rFonts w:ascii="NewBaskerville" w:hAnsi="NewBaskerville"/>
        </w:rPr>
        <w:t>El</w:t>
      </w:r>
      <w:r w:rsidR="00276F7D" w:rsidRPr="00FC6682">
        <w:rPr>
          <w:rFonts w:ascii="NewBaskerville" w:hAnsi="NewBaskerville"/>
        </w:rPr>
        <w:t xml:space="preserve"> </w:t>
      </w:r>
      <w:r w:rsidR="00B237A6" w:rsidRPr="00FC6682">
        <w:rPr>
          <w:rFonts w:ascii="NewBaskerville" w:hAnsi="NewBaskerville"/>
        </w:rPr>
        <w:t xml:space="preserve">TRLPEMM </w:t>
      </w:r>
      <w:r w:rsidR="00276F7D" w:rsidRPr="00FC6682">
        <w:rPr>
          <w:rFonts w:ascii="NewBaskerville" w:hAnsi="NewBaskerville"/>
        </w:rPr>
        <w:t xml:space="preserve">establece en el art 19 b la contribución de las Autoridades Portuarias a los recursos económicos del Ente Público Puertos del Estado y en el artículo 159 regula el Fondo de Compensación </w:t>
      </w:r>
      <w:proofErr w:type="spellStart"/>
      <w:r w:rsidR="00276F7D" w:rsidRPr="00FC6682">
        <w:rPr>
          <w:rFonts w:ascii="NewBaskerville" w:hAnsi="NewBaskerville"/>
        </w:rPr>
        <w:t>Interportuario</w:t>
      </w:r>
      <w:proofErr w:type="spellEnd"/>
      <w:r w:rsidR="00276F7D" w:rsidRPr="00FC6682">
        <w:rPr>
          <w:rFonts w:ascii="NewBaskerville" w:hAnsi="NewBaskerville"/>
        </w:rPr>
        <w:t>, que queda definido</w:t>
      </w:r>
      <w:r w:rsidR="007355D8" w:rsidRPr="00FC6682">
        <w:rPr>
          <w:rFonts w:ascii="NewBaskerville" w:hAnsi="NewBaskerville"/>
        </w:rPr>
        <w:t xml:space="preserve"> </w:t>
      </w:r>
      <w:r w:rsidR="00276F7D" w:rsidRPr="00FC6682">
        <w:rPr>
          <w:rFonts w:ascii="NewBaskerville" w:hAnsi="NewBaskerville"/>
        </w:rPr>
        <w:t xml:space="preserve">como instrumento de redistribución de recursos  del sistema portuario estatal, administrado por Puertos del Estado de conformidad con los acuerdos adoptados por el Comité de </w:t>
      </w:r>
      <w:r w:rsidR="003D4191">
        <w:rPr>
          <w:rFonts w:ascii="NewBaskerville" w:hAnsi="NewBaskerville"/>
        </w:rPr>
        <w:t>D</w:t>
      </w:r>
      <w:r w:rsidR="00276F7D" w:rsidRPr="00FC6682">
        <w:rPr>
          <w:rFonts w:ascii="NewBaskerville" w:hAnsi="NewBaskerville"/>
        </w:rPr>
        <w:t>istribución del Fondo.</w:t>
      </w:r>
      <w:r w:rsidR="00C963C8" w:rsidRPr="00FC6682">
        <w:rPr>
          <w:rFonts w:ascii="NewBaskerville" w:hAnsi="NewBaskerville"/>
        </w:rPr>
        <w:t xml:space="preserve"> </w:t>
      </w:r>
    </w:p>
    <w:p w:rsidR="005F35CD" w:rsidRDefault="005F35CD" w:rsidP="00F348FE">
      <w:pPr>
        <w:tabs>
          <w:tab w:val="center" w:pos="5671"/>
          <w:tab w:val="center" w:pos="7797"/>
        </w:tabs>
        <w:ind w:firstLine="568"/>
        <w:jc w:val="both"/>
      </w:pPr>
    </w:p>
    <w:p w:rsidR="002C4355" w:rsidRPr="00BF1854" w:rsidRDefault="002C4355" w:rsidP="005D0B44">
      <w:pPr>
        <w:numPr>
          <w:ilvl w:val="0"/>
          <w:numId w:val="2"/>
        </w:numPr>
        <w:tabs>
          <w:tab w:val="center" w:pos="5671"/>
          <w:tab w:val="center" w:pos="7797"/>
        </w:tabs>
        <w:jc w:val="both"/>
        <w:rPr>
          <w:rFonts w:ascii="NewBaskerville" w:hAnsi="NewBaskerville"/>
        </w:rPr>
      </w:pPr>
      <w:r w:rsidRPr="00BF1854">
        <w:rPr>
          <w:rFonts w:ascii="NewBaskerville" w:hAnsi="NewBaskerville"/>
        </w:rPr>
        <w:t>Aportación a Puertos del Estado</w:t>
      </w:r>
    </w:p>
    <w:p w:rsidR="002C4355" w:rsidRPr="00BF1854" w:rsidRDefault="002C4355">
      <w:pPr>
        <w:tabs>
          <w:tab w:val="center" w:pos="5671"/>
          <w:tab w:val="center" w:pos="7797"/>
        </w:tabs>
        <w:ind w:left="426"/>
        <w:jc w:val="both"/>
        <w:rPr>
          <w:rFonts w:ascii="NewBaskerville" w:hAnsi="NewBaskerville"/>
        </w:rPr>
      </w:pPr>
    </w:p>
    <w:p w:rsidR="002C4355" w:rsidRPr="00BF1854" w:rsidRDefault="002C4355">
      <w:pPr>
        <w:tabs>
          <w:tab w:val="center" w:pos="5671"/>
          <w:tab w:val="center" w:pos="7797"/>
        </w:tabs>
        <w:ind w:firstLine="567"/>
        <w:jc w:val="both"/>
        <w:rPr>
          <w:rFonts w:ascii="NewBaskerville" w:hAnsi="NewBaskerville"/>
        </w:rPr>
      </w:pPr>
      <w:r w:rsidRPr="00BF1854">
        <w:rPr>
          <w:rFonts w:ascii="NewBaskerville" w:hAnsi="NewBaskerville"/>
        </w:rPr>
        <w:lastRenderedPageBreak/>
        <w:t xml:space="preserve">La aportación a los recursos económicos de Puertos del Estado queda </w:t>
      </w:r>
      <w:r w:rsidR="008155BC" w:rsidRPr="00BF1854">
        <w:rPr>
          <w:rFonts w:ascii="NewBaskerville" w:hAnsi="NewBaskerville"/>
        </w:rPr>
        <w:t>fijada</w:t>
      </w:r>
      <w:r w:rsidR="001E4D8C" w:rsidRPr="00BF1854">
        <w:rPr>
          <w:rFonts w:ascii="NewBaskerville" w:hAnsi="NewBaskerville"/>
        </w:rPr>
        <w:t xml:space="preserve"> para la</w:t>
      </w:r>
      <w:r w:rsidRPr="00BF1854">
        <w:rPr>
          <w:rFonts w:ascii="NewBaskerville" w:hAnsi="NewBaskerville"/>
        </w:rPr>
        <w:t xml:space="preserve"> Autoridad Portuaria</w:t>
      </w:r>
      <w:r w:rsidR="001E4D8C" w:rsidRPr="00BF1854">
        <w:rPr>
          <w:rFonts w:ascii="NewBaskerville" w:hAnsi="NewBaskerville"/>
        </w:rPr>
        <w:t xml:space="preserve"> de Baleares</w:t>
      </w:r>
      <w:r w:rsidRPr="00BF1854">
        <w:rPr>
          <w:rFonts w:ascii="NewBaskerville" w:hAnsi="NewBaskerville"/>
        </w:rPr>
        <w:t xml:space="preserve"> en un 2 % de los ingresos devengados en concepto de tasas, calculadas sobre el cierre real del ejercicio anterior; esta aportación tiene la consideración de gasto de explotación.</w:t>
      </w:r>
    </w:p>
    <w:p w:rsidR="002C4355" w:rsidRPr="00BF1854" w:rsidRDefault="002C4355">
      <w:pPr>
        <w:tabs>
          <w:tab w:val="center" w:pos="5671"/>
          <w:tab w:val="center" w:pos="7797"/>
        </w:tabs>
        <w:ind w:firstLine="567"/>
        <w:jc w:val="both"/>
        <w:rPr>
          <w:rFonts w:ascii="NewBaskerville" w:hAnsi="NewBaskerville"/>
          <w:highlight w:val="yellow"/>
        </w:rPr>
      </w:pPr>
    </w:p>
    <w:p w:rsidR="002C4355" w:rsidRPr="00BF1854" w:rsidRDefault="002C4355" w:rsidP="005D0B44">
      <w:pPr>
        <w:numPr>
          <w:ilvl w:val="0"/>
          <w:numId w:val="2"/>
        </w:numPr>
        <w:tabs>
          <w:tab w:val="center" w:pos="5671"/>
          <w:tab w:val="center" w:pos="7797"/>
        </w:tabs>
        <w:jc w:val="both"/>
        <w:rPr>
          <w:rFonts w:ascii="NewBaskerville" w:hAnsi="NewBaskerville"/>
        </w:rPr>
      </w:pPr>
      <w:r w:rsidRPr="00BF1854">
        <w:rPr>
          <w:rFonts w:ascii="NewBaskerville" w:hAnsi="NewBaskerville"/>
        </w:rPr>
        <w:t xml:space="preserve">Fondo de Compensación </w:t>
      </w:r>
      <w:proofErr w:type="spellStart"/>
      <w:r w:rsidRPr="00BF1854">
        <w:rPr>
          <w:rFonts w:ascii="NewBaskerville" w:hAnsi="NewBaskerville"/>
        </w:rPr>
        <w:t>Interportuario</w:t>
      </w:r>
      <w:proofErr w:type="spellEnd"/>
      <w:r w:rsidRPr="00BF1854">
        <w:rPr>
          <w:rFonts w:ascii="NewBaskerville" w:hAnsi="NewBaskerville"/>
        </w:rPr>
        <w:t xml:space="preserve"> a aportar</w:t>
      </w:r>
    </w:p>
    <w:p w:rsidR="00095FD3" w:rsidRPr="00BF1854" w:rsidRDefault="00095FD3" w:rsidP="00095FD3">
      <w:pPr>
        <w:tabs>
          <w:tab w:val="center" w:pos="5671"/>
          <w:tab w:val="center" w:pos="7797"/>
        </w:tabs>
        <w:ind w:left="786"/>
        <w:jc w:val="both"/>
        <w:rPr>
          <w:rFonts w:ascii="NewBaskerville" w:hAnsi="NewBaskerville"/>
        </w:rPr>
      </w:pPr>
    </w:p>
    <w:p w:rsidR="002C4355" w:rsidRPr="00BF1854" w:rsidRDefault="00095FD3" w:rsidP="007F7DFA">
      <w:pPr>
        <w:tabs>
          <w:tab w:val="center" w:pos="5671"/>
          <w:tab w:val="center" w:pos="7797"/>
        </w:tabs>
        <w:ind w:firstLine="786"/>
        <w:jc w:val="both"/>
        <w:rPr>
          <w:rFonts w:ascii="NewBaskerville" w:hAnsi="NewBaskerville"/>
        </w:rPr>
      </w:pPr>
      <w:r w:rsidRPr="00BF1854">
        <w:rPr>
          <w:rFonts w:ascii="NewBaskerville" w:hAnsi="NewBaskerville"/>
        </w:rPr>
        <w:t xml:space="preserve">El apartado </w:t>
      </w:r>
      <w:r w:rsidR="007F7DFA" w:rsidRPr="00BF1854">
        <w:rPr>
          <w:rFonts w:ascii="NewBaskerville" w:hAnsi="NewBaskerville"/>
        </w:rPr>
        <w:t>3</w:t>
      </w:r>
      <w:r w:rsidRPr="00BF1854">
        <w:rPr>
          <w:rFonts w:ascii="NewBaskerville" w:hAnsi="NewBaskerville"/>
        </w:rPr>
        <w:t xml:space="preserve"> del art. 159 </w:t>
      </w:r>
      <w:r w:rsidR="001E4D8C" w:rsidRPr="00BF1854">
        <w:rPr>
          <w:rFonts w:ascii="NewBaskerville" w:hAnsi="NewBaskerville"/>
        </w:rPr>
        <w:t>del</w:t>
      </w:r>
      <w:r w:rsidR="007F7DFA" w:rsidRPr="00BF1854">
        <w:rPr>
          <w:rFonts w:ascii="NewBaskerville" w:hAnsi="NewBaskerville"/>
        </w:rPr>
        <w:t xml:space="preserve"> </w:t>
      </w:r>
      <w:r w:rsidR="0031074B" w:rsidRPr="00BF1854">
        <w:rPr>
          <w:rFonts w:ascii="NewBaskerville" w:hAnsi="NewBaskerville"/>
        </w:rPr>
        <w:t xml:space="preserve">TRLPEMM </w:t>
      </w:r>
      <w:r w:rsidR="007F7DFA" w:rsidRPr="00BF1854">
        <w:rPr>
          <w:rFonts w:ascii="NewBaskerville" w:hAnsi="NewBaskerville"/>
        </w:rPr>
        <w:t xml:space="preserve"> establece que:</w:t>
      </w:r>
    </w:p>
    <w:p w:rsidR="0031074B" w:rsidRPr="00BF1854" w:rsidRDefault="0031074B">
      <w:pPr>
        <w:tabs>
          <w:tab w:val="center" w:pos="5671"/>
          <w:tab w:val="center" w:pos="7797"/>
        </w:tabs>
        <w:ind w:firstLine="567"/>
        <w:jc w:val="both"/>
        <w:rPr>
          <w:rFonts w:ascii="NewBaskerville" w:hAnsi="NewBaskerville"/>
        </w:rPr>
      </w:pPr>
    </w:p>
    <w:p w:rsidR="002C4355" w:rsidRPr="00BF1854" w:rsidRDefault="002C4355">
      <w:pPr>
        <w:tabs>
          <w:tab w:val="center" w:pos="5671"/>
          <w:tab w:val="center" w:pos="7797"/>
        </w:tabs>
        <w:ind w:firstLine="567"/>
        <w:jc w:val="both"/>
        <w:rPr>
          <w:rFonts w:ascii="NewBaskerville" w:hAnsi="NewBaskerville"/>
        </w:rPr>
      </w:pPr>
      <w:r w:rsidRPr="00BF1854">
        <w:rPr>
          <w:rFonts w:ascii="NewBaskerville" w:hAnsi="NewBaskerville"/>
        </w:rPr>
        <w:t xml:space="preserve">La cuantía anual de la aportación de las Autoridades Portuarias al Fondo de Compensación </w:t>
      </w:r>
      <w:proofErr w:type="spellStart"/>
      <w:r w:rsidRPr="00BF1854">
        <w:rPr>
          <w:rFonts w:ascii="NewBaskerville" w:hAnsi="NewBaskerville"/>
        </w:rPr>
        <w:t>Interportuario</w:t>
      </w:r>
      <w:proofErr w:type="spellEnd"/>
      <w:r w:rsidRPr="00BF1854">
        <w:rPr>
          <w:rFonts w:ascii="NewBaskerville" w:hAnsi="NewBaskerville"/>
        </w:rPr>
        <w:t xml:space="preserve"> se determina </w:t>
      </w:r>
      <w:r w:rsidR="00B2006F" w:rsidRPr="00BF1854">
        <w:rPr>
          <w:rFonts w:ascii="NewBaskerville" w:hAnsi="NewBaskerville"/>
        </w:rPr>
        <w:t>por agregación de los siguientes importes correspondientes al ejercicio anterior</w:t>
      </w:r>
      <w:r w:rsidRPr="00BF1854">
        <w:rPr>
          <w:rFonts w:ascii="NewBaskerville" w:hAnsi="NewBaskerville"/>
        </w:rPr>
        <w:t>:</w:t>
      </w:r>
    </w:p>
    <w:p w:rsidR="002C4355" w:rsidRPr="00BF1854" w:rsidRDefault="002C4355">
      <w:pPr>
        <w:tabs>
          <w:tab w:val="center" w:pos="5671"/>
          <w:tab w:val="center" w:pos="7797"/>
        </w:tabs>
        <w:ind w:firstLine="567"/>
        <w:jc w:val="both"/>
        <w:rPr>
          <w:rFonts w:ascii="NewBaskerville" w:hAnsi="NewBaskerville"/>
        </w:rPr>
      </w:pPr>
    </w:p>
    <w:p w:rsidR="002C4355" w:rsidRPr="00BF1854" w:rsidRDefault="002C4355">
      <w:pPr>
        <w:tabs>
          <w:tab w:val="center" w:pos="5671"/>
          <w:tab w:val="center" w:pos="7797"/>
        </w:tabs>
        <w:ind w:left="851" w:hanging="284"/>
        <w:jc w:val="both"/>
        <w:rPr>
          <w:rFonts w:ascii="NewBaskerville" w:hAnsi="NewBaskerville"/>
        </w:rPr>
      </w:pPr>
      <w:r w:rsidRPr="00BF1854">
        <w:rPr>
          <w:rFonts w:ascii="NewBaskerville" w:hAnsi="NewBaskerville"/>
        </w:rPr>
        <w:t>a)</w:t>
      </w:r>
      <w:r w:rsidRPr="00BF1854">
        <w:rPr>
          <w:rFonts w:ascii="NewBaskerville" w:hAnsi="NewBaskerville"/>
        </w:rPr>
        <w:tab/>
        <w:t xml:space="preserve">El 80 % de los ingresos devengados por la tasa de </w:t>
      </w:r>
      <w:r w:rsidR="00BB0119" w:rsidRPr="00BF1854">
        <w:rPr>
          <w:rFonts w:ascii="NewBaskerville" w:hAnsi="NewBaskerville"/>
        </w:rPr>
        <w:t xml:space="preserve">ayudas a la navegación </w:t>
      </w:r>
      <w:r w:rsidRPr="00BF1854">
        <w:rPr>
          <w:rFonts w:ascii="NewBaskerville" w:hAnsi="NewBaskerville"/>
        </w:rPr>
        <w:t xml:space="preserve"> correspondiente a </w:t>
      </w:r>
      <w:r w:rsidR="00BB0119" w:rsidRPr="00BF1854">
        <w:rPr>
          <w:rFonts w:ascii="NewBaskerville" w:hAnsi="NewBaskerville"/>
        </w:rPr>
        <w:t>las embarcaciones que por sus características les sea de aplicación la tasa del buque.</w:t>
      </w:r>
    </w:p>
    <w:p w:rsidR="00BB0119" w:rsidRPr="00BF1854" w:rsidRDefault="00BB0119">
      <w:pPr>
        <w:tabs>
          <w:tab w:val="center" w:pos="5671"/>
          <w:tab w:val="center" w:pos="7797"/>
        </w:tabs>
        <w:ind w:left="851" w:hanging="284"/>
        <w:jc w:val="both"/>
        <w:rPr>
          <w:rFonts w:ascii="NewBaskerville" w:hAnsi="NewBaskerville"/>
        </w:rPr>
      </w:pPr>
    </w:p>
    <w:p w:rsidR="002C4355" w:rsidRPr="00BF1854" w:rsidRDefault="002C4355">
      <w:pPr>
        <w:tabs>
          <w:tab w:val="center" w:pos="5671"/>
          <w:tab w:val="center" w:pos="7797"/>
        </w:tabs>
        <w:ind w:left="851" w:hanging="284"/>
        <w:jc w:val="both"/>
        <w:rPr>
          <w:rFonts w:ascii="NewBaskerville" w:hAnsi="NewBaskerville"/>
        </w:rPr>
      </w:pPr>
      <w:r w:rsidRPr="00BF1854">
        <w:rPr>
          <w:rFonts w:ascii="NewBaskerville" w:hAnsi="NewBaskerville"/>
        </w:rPr>
        <w:t>b)</w:t>
      </w:r>
      <w:r w:rsidRPr="00BF1854">
        <w:rPr>
          <w:rFonts w:ascii="NewBaskerville" w:hAnsi="NewBaskerville"/>
        </w:rPr>
        <w:tab/>
        <w:t xml:space="preserve">Hasta el 12 % </w:t>
      </w:r>
      <w:r w:rsidR="00EA0B1E" w:rsidRPr="00BF1854">
        <w:rPr>
          <w:rFonts w:ascii="NewBaskerville" w:hAnsi="NewBaskerville"/>
        </w:rPr>
        <w:t xml:space="preserve">y no menos del 4% </w:t>
      </w:r>
      <w:r w:rsidRPr="00BF1854">
        <w:rPr>
          <w:rFonts w:ascii="NewBaskerville" w:hAnsi="NewBaskerville"/>
        </w:rPr>
        <w:t>de</w:t>
      </w:r>
      <w:r w:rsidR="00B2006F" w:rsidRPr="00BF1854">
        <w:rPr>
          <w:rFonts w:ascii="NewBaskerville" w:hAnsi="NewBaskerville"/>
        </w:rPr>
        <w:t>l</w:t>
      </w:r>
      <w:r w:rsidR="00E264FA" w:rsidRPr="00BF1854">
        <w:rPr>
          <w:rFonts w:ascii="NewBaskerville" w:hAnsi="NewBaskerville"/>
        </w:rPr>
        <w:t xml:space="preserve"> </w:t>
      </w:r>
      <w:r w:rsidR="00B2006F" w:rsidRPr="00BF1854">
        <w:rPr>
          <w:rFonts w:ascii="NewBaskerville" w:hAnsi="NewBaskerville"/>
        </w:rPr>
        <w:t>resultado del ejercicio,</w:t>
      </w:r>
      <w:r w:rsidR="00E264FA" w:rsidRPr="00BF1854">
        <w:rPr>
          <w:rFonts w:ascii="NewBaskerville" w:hAnsi="NewBaskerville"/>
        </w:rPr>
        <w:t xml:space="preserve"> </w:t>
      </w:r>
      <w:r w:rsidR="00B2006F" w:rsidRPr="00BF1854">
        <w:rPr>
          <w:rFonts w:ascii="NewBaskerville" w:hAnsi="NewBaskerville"/>
        </w:rPr>
        <w:t>excluyendo las amortizaciones del in</w:t>
      </w:r>
      <w:r w:rsidR="00F656B3" w:rsidRPr="00BF1854">
        <w:rPr>
          <w:rFonts w:ascii="NewBaskerville" w:hAnsi="NewBaskerville"/>
        </w:rPr>
        <w:t>movilizado, el resultado por ena</w:t>
      </w:r>
      <w:r w:rsidR="00B2006F" w:rsidRPr="00BF1854">
        <w:rPr>
          <w:rFonts w:ascii="NewBaskerville" w:hAnsi="NewBaskerville"/>
        </w:rPr>
        <w:t>jenaciones y bajas del activo no corriente, los ingresos</w:t>
      </w:r>
      <w:r w:rsidRPr="00BF1854">
        <w:rPr>
          <w:rFonts w:ascii="NewBaskerville" w:hAnsi="NewBaskerville"/>
        </w:rPr>
        <w:t xml:space="preserve"> </w:t>
      </w:r>
      <w:r w:rsidR="00B2006F" w:rsidRPr="00BF1854">
        <w:rPr>
          <w:rFonts w:ascii="NewBaskerville" w:hAnsi="NewBaskerville"/>
        </w:rPr>
        <w:t>por incorporación al activo de gastos financieros, el traspaso a resultados de subvenciones de capital y otros resultados</w:t>
      </w:r>
      <w:r w:rsidR="00E264FA" w:rsidRPr="00BF1854">
        <w:rPr>
          <w:rFonts w:ascii="NewBaskerville" w:hAnsi="NewBaskerville"/>
        </w:rPr>
        <w:t xml:space="preserve"> que tengan el carácter de extraordinarios</w:t>
      </w:r>
      <w:r w:rsidRPr="00BF1854">
        <w:rPr>
          <w:rFonts w:ascii="NewBaskerville" w:hAnsi="NewBaskerville"/>
        </w:rPr>
        <w:t xml:space="preserve">, </w:t>
      </w:r>
      <w:r w:rsidR="00E264FA" w:rsidRPr="00BF1854">
        <w:rPr>
          <w:rFonts w:ascii="NewBaskerville" w:hAnsi="NewBaskerville"/>
        </w:rPr>
        <w:t xml:space="preserve">la cantidad correspondiente al </w:t>
      </w:r>
      <w:r w:rsidRPr="00BF1854">
        <w:rPr>
          <w:rFonts w:ascii="NewBaskerville" w:hAnsi="NewBaskerville"/>
        </w:rPr>
        <w:t xml:space="preserve"> Fondo de Compensación aportado y recibido y los ingresos por la tasa de señalización mar</w:t>
      </w:r>
      <w:r w:rsidR="00DF2800" w:rsidRPr="00BF1854">
        <w:rPr>
          <w:rFonts w:ascii="NewBaskerville" w:hAnsi="NewBaskerville"/>
        </w:rPr>
        <w:t>ítima, siempre que el valor resultante sea positivo.</w:t>
      </w:r>
    </w:p>
    <w:p w:rsidR="002C4355" w:rsidRPr="00BF1854" w:rsidRDefault="002C4355">
      <w:pPr>
        <w:tabs>
          <w:tab w:val="center" w:pos="5671"/>
          <w:tab w:val="center" w:pos="7797"/>
        </w:tabs>
        <w:ind w:firstLine="567"/>
        <w:jc w:val="both"/>
        <w:rPr>
          <w:rFonts w:ascii="NewBaskerville" w:hAnsi="NewBaskerville"/>
          <w:highlight w:val="yellow"/>
        </w:rPr>
      </w:pPr>
    </w:p>
    <w:p w:rsidR="001349EC" w:rsidRDefault="00EA0B1E">
      <w:pPr>
        <w:tabs>
          <w:tab w:val="center" w:pos="5671"/>
          <w:tab w:val="center" w:pos="7797"/>
        </w:tabs>
        <w:ind w:firstLine="567"/>
        <w:jc w:val="both"/>
        <w:rPr>
          <w:rFonts w:ascii="NewBaskerville" w:hAnsi="NewBaskerville"/>
        </w:rPr>
      </w:pPr>
      <w:r w:rsidRPr="00BF1854">
        <w:rPr>
          <w:rFonts w:ascii="NewBaskerville" w:hAnsi="NewBaskerville"/>
        </w:rPr>
        <w:t xml:space="preserve">El porcentaje a </w:t>
      </w:r>
      <w:r w:rsidR="002C4355" w:rsidRPr="00BF1854">
        <w:rPr>
          <w:rFonts w:ascii="NewBaskerville" w:hAnsi="NewBaskerville"/>
        </w:rPr>
        <w:t xml:space="preserve">aplicar </w:t>
      </w:r>
      <w:r w:rsidRPr="00BF1854">
        <w:rPr>
          <w:rFonts w:ascii="NewBaskerville" w:hAnsi="NewBaskerville"/>
        </w:rPr>
        <w:t>d</w:t>
      </w:r>
      <w:r w:rsidR="002C4355" w:rsidRPr="00BF1854">
        <w:rPr>
          <w:rFonts w:ascii="NewBaskerville" w:hAnsi="NewBaskerville"/>
        </w:rPr>
        <w:t xml:space="preserve">el apartado b) se fija anualmente por el Comité de Distribución del Fondo, en función de las necesidades financieras </w:t>
      </w:r>
      <w:r w:rsidR="003D0DA3" w:rsidRPr="00BF1854">
        <w:rPr>
          <w:rFonts w:ascii="NewBaskerville" w:hAnsi="NewBaskerville"/>
        </w:rPr>
        <w:t xml:space="preserve"> globales  motivadas por la diferente situación competitiva </w:t>
      </w:r>
      <w:r w:rsidR="00240F9A" w:rsidRPr="00BF1854">
        <w:rPr>
          <w:rFonts w:ascii="NewBaskerville" w:hAnsi="NewBaskerville"/>
        </w:rPr>
        <w:t xml:space="preserve">en que se encuentran las Autoridades Portuarias sobre la base de no discriminación de tratamiento entre las mismas. </w:t>
      </w:r>
      <w:r w:rsidR="00E318AD">
        <w:rPr>
          <w:rFonts w:ascii="NewBaskerville" w:hAnsi="NewBaskerville"/>
        </w:rPr>
        <w:t xml:space="preserve">Dicho porcentaje se reduce en un 50% para la APB. En la reunión celebrada </w:t>
      </w:r>
      <w:r w:rsidR="00E318AD" w:rsidRPr="00B714D7">
        <w:rPr>
          <w:rFonts w:ascii="NewBaskerville" w:hAnsi="NewBaskerville"/>
        </w:rPr>
        <w:t>el 18 de julio de 2022</w:t>
      </w:r>
      <w:r w:rsidR="00E318AD">
        <w:rPr>
          <w:rFonts w:ascii="NewBaskerville" w:hAnsi="NewBaskerville"/>
        </w:rPr>
        <w:t>, el porcentaje se fijó, con carácter general en el 4%, y por tanto para la APB en el 2%.</w:t>
      </w:r>
    </w:p>
    <w:p w:rsidR="006C7F54" w:rsidRDefault="006C7F54">
      <w:pPr>
        <w:tabs>
          <w:tab w:val="center" w:pos="5671"/>
          <w:tab w:val="center" w:pos="7797"/>
        </w:tabs>
        <w:ind w:firstLine="567"/>
        <w:jc w:val="both"/>
        <w:rPr>
          <w:rFonts w:ascii="NewBaskerville" w:hAnsi="NewBaskerville"/>
        </w:rPr>
      </w:pPr>
    </w:p>
    <w:p w:rsidR="001349EC" w:rsidRPr="00BF1854" w:rsidRDefault="001349EC">
      <w:pPr>
        <w:tabs>
          <w:tab w:val="center" w:pos="5671"/>
          <w:tab w:val="center" w:pos="7797"/>
        </w:tabs>
        <w:ind w:firstLine="567"/>
        <w:jc w:val="both"/>
        <w:rPr>
          <w:rFonts w:ascii="NewBaskerville" w:hAnsi="NewBaskerville"/>
        </w:rPr>
      </w:pPr>
      <w:r>
        <w:rPr>
          <w:rFonts w:ascii="NewBaskerville" w:hAnsi="NewBaskerville"/>
        </w:rPr>
        <w:t>Considerando que el Comité de Distribución del Fondo en su reunión del 22 de marzo de 2018 acordó, para un período mínimo de cuatro años</w:t>
      </w:r>
      <w:r w:rsidR="00E318AD">
        <w:rPr>
          <w:rFonts w:ascii="NewBaskerville" w:hAnsi="NewBaskerville"/>
        </w:rPr>
        <w:t xml:space="preserve">, prorrogados por otros cuatro en su reunión del </w:t>
      </w:r>
      <w:r w:rsidR="00802A41">
        <w:rPr>
          <w:rFonts w:ascii="NewBaskerville" w:hAnsi="NewBaskerville"/>
        </w:rPr>
        <w:t>30 de junio de 2021</w:t>
      </w:r>
      <w:r>
        <w:rPr>
          <w:rFonts w:ascii="NewBaskerville" w:hAnsi="NewBaskerville"/>
        </w:rPr>
        <w:t>, la aportación de un 1% anual adicional del porcentaje a aplicar correspondiente al apartado b) del citado artículo, dedicado exclusivamente para actuaciones y programas de investigación y desarrollo de interés portuario, y que dicha aportación adicional ser</w:t>
      </w:r>
      <w:r w:rsidR="00F52C1B">
        <w:rPr>
          <w:rFonts w:ascii="NewBaskerville" w:hAnsi="NewBaskerville"/>
        </w:rPr>
        <w:t>ía</w:t>
      </w:r>
      <w:r>
        <w:rPr>
          <w:rFonts w:ascii="NewBaskerville" w:hAnsi="NewBaskerville"/>
        </w:rPr>
        <w:t xml:space="preserve"> del 0,5% para las Autoridades Portuarias que realizan aportaciones re</w:t>
      </w:r>
      <w:r w:rsidR="00F52C1B">
        <w:rPr>
          <w:rFonts w:ascii="NewBaskerville" w:hAnsi="NewBaskerville"/>
        </w:rPr>
        <w:t>ducidas a dicho fondo, resultando</w:t>
      </w:r>
      <w:r>
        <w:rPr>
          <w:rFonts w:ascii="NewBaskerville" w:hAnsi="NewBaskerville"/>
        </w:rPr>
        <w:t xml:space="preserve"> la efectiva aplicación de un por</w:t>
      </w:r>
      <w:r w:rsidR="00F37105">
        <w:rPr>
          <w:rFonts w:ascii="NewBaskerville" w:hAnsi="NewBaskerville"/>
        </w:rPr>
        <w:t>centaje total del 5%, y para la</w:t>
      </w:r>
      <w:r>
        <w:rPr>
          <w:rFonts w:ascii="NewBaskerville" w:hAnsi="NewBaskerville"/>
        </w:rPr>
        <w:t xml:space="preserve"> APB</w:t>
      </w:r>
      <w:r w:rsidR="00F52C1B">
        <w:rPr>
          <w:rFonts w:ascii="NewBaskerville" w:hAnsi="NewBaskerville"/>
        </w:rPr>
        <w:t xml:space="preserve"> un</w:t>
      </w:r>
      <w:r w:rsidR="00802A41">
        <w:rPr>
          <w:rFonts w:ascii="NewBaskerville" w:hAnsi="NewBaskerville"/>
        </w:rPr>
        <w:t xml:space="preserve"> porcentaje</w:t>
      </w:r>
      <w:r w:rsidR="00F52C1B">
        <w:rPr>
          <w:rFonts w:ascii="NewBaskerville" w:hAnsi="NewBaskerville"/>
        </w:rPr>
        <w:t xml:space="preserve"> efectivo 2,5%. </w:t>
      </w:r>
    </w:p>
    <w:p w:rsidR="008873C5" w:rsidRPr="00BF1854" w:rsidRDefault="008873C5">
      <w:pPr>
        <w:tabs>
          <w:tab w:val="center" w:pos="5671"/>
          <w:tab w:val="center" w:pos="7797"/>
        </w:tabs>
        <w:ind w:firstLine="567"/>
        <w:jc w:val="both"/>
        <w:rPr>
          <w:rFonts w:ascii="NewBaskerville" w:hAnsi="NewBaskerville"/>
        </w:rPr>
      </w:pPr>
    </w:p>
    <w:p w:rsidR="0017441D" w:rsidRPr="00BF1854" w:rsidRDefault="001F2D6C" w:rsidP="005F35CD">
      <w:pPr>
        <w:tabs>
          <w:tab w:val="center" w:pos="5671"/>
          <w:tab w:val="center" w:pos="7797"/>
        </w:tabs>
        <w:ind w:firstLine="567"/>
        <w:jc w:val="both"/>
        <w:rPr>
          <w:rFonts w:ascii="NewBaskerville" w:hAnsi="NewBaskerville"/>
        </w:rPr>
      </w:pPr>
      <w:r w:rsidRPr="00BF1854">
        <w:rPr>
          <w:rFonts w:ascii="NewBaskerville" w:hAnsi="NewBaskerville"/>
        </w:rPr>
        <w:t>Las aportaciones de la AP</w:t>
      </w:r>
      <w:r w:rsidR="006C7F54">
        <w:rPr>
          <w:rFonts w:ascii="NewBaskerville" w:hAnsi="NewBaskerville"/>
        </w:rPr>
        <w:t>B</w:t>
      </w:r>
      <w:r w:rsidRPr="00BF1854">
        <w:rPr>
          <w:rFonts w:ascii="NewBaskerville" w:hAnsi="NewBaskerville"/>
        </w:rPr>
        <w:t xml:space="preserve"> tienen la consideración de gasto no</w:t>
      </w:r>
      <w:r w:rsidR="00E0278B" w:rsidRPr="00BF1854">
        <w:rPr>
          <w:rFonts w:ascii="NewBaskerville" w:hAnsi="NewBaskerville"/>
        </w:rPr>
        <w:t xml:space="preserve"> </w:t>
      </w:r>
      <w:r w:rsidRPr="00BF1854">
        <w:rPr>
          <w:rFonts w:ascii="NewBaskerville" w:hAnsi="NewBaskerville"/>
        </w:rPr>
        <w:t>reinteg</w:t>
      </w:r>
      <w:r w:rsidR="00A60572" w:rsidRPr="00BF1854">
        <w:rPr>
          <w:rFonts w:ascii="NewBaskerville" w:hAnsi="NewBaskerville"/>
        </w:rPr>
        <w:t>r</w:t>
      </w:r>
      <w:r w:rsidRPr="00BF1854">
        <w:rPr>
          <w:rFonts w:ascii="NewBaskerville" w:hAnsi="NewBaskerville"/>
        </w:rPr>
        <w:t>able</w:t>
      </w:r>
      <w:r w:rsidR="00E0278B" w:rsidRPr="00BF1854">
        <w:rPr>
          <w:rFonts w:ascii="NewBaskerville" w:hAnsi="NewBaskerville"/>
        </w:rPr>
        <w:t>.</w:t>
      </w:r>
      <w:r w:rsidRPr="00BF1854">
        <w:rPr>
          <w:rFonts w:ascii="NewBaskerville" w:hAnsi="NewBaskerville"/>
        </w:rPr>
        <w:t xml:space="preserve"> </w:t>
      </w:r>
    </w:p>
    <w:p w:rsidR="00DF2800" w:rsidRDefault="00DF2800" w:rsidP="001F2D6C">
      <w:pPr>
        <w:pStyle w:val="Sangradetextonormal"/>
        <w:tabs>
          <w:tab w:val="clear" w:pos="8364"/>
          <w:tab w:val="center" w:pos="5671"/>
          <w:tab w:val="center" w:pos="7797"/>
        </w:tabs>
        <w:overflowPunct/>
        <w:autoSpaceDE/>
        <w:autoSpaceDN/>
        <w:adjustRightInd/>
        <w:ind w:firstLine="0"/>
        <w:textAlignment w:val="auto"/>
        <w:rPr>
          <w:color w:val="000000"/>
          <w:sz w:val="20"/>
        </w:rPr>
      </w:pPr>
    </w:p>
    <w:p w:rsidR="0017441D" w:rsidRPr="00F52C1B" w:rsidRDefault="0017441D" w:rsidP="005D0B44">
      <w:pPr>
        <w:numPr>
          <w:ilvl w:val="0"/>
          <w:numId w:val="2"/>
        </w:numPr>
        <w:tabs>
          <w:tab w:val="center" w:pos="5671"/>
          <w:tab w:val="center" w:pos="7797"/>
        </w:tabs>
        <w:jc w:val="both"/>
        <w:rPr>
          <w:rFonts w:ascii="NewBaskerville" w:hAnsi="NewBaskerville"/>
        </w:rPr>
      </w:pPr>
      <w:r w:rsidRPr="00F52C1B">
        <w:rPr>
          <w:rFonts w:ascii="NewBaskerville" w:hAnsi="NewBaskerville"/>
        </w:rPr>
        <w:t xml:space="preserve">Fondo de Compensación </w:t>
      </w:r>
      <w:proofErr w:type="spellStart"/>
      <w:r w:rsidRPr="00F52C1B">
        <w:rPr>
          <w:rFonts w:ascii="NewBaskerville" w:hAnsi="NewBaskerville"/>
        </w:rPr>
        <w:t>Interportuario</w:t>
      </w:r>
      <w:proofErr w:type="spellEnd"/>
      <w:r w:rsidRPr="00F52C1B">
        <w:rPr>
          <w:rFonts w:ascii="NewBaskerville" w:hAnsi="NewBaskerville"/>
        </w:rPr>
        <w:t xml:space="preserve"> a recibir</w:t>
      </w:r>
    </w:p>
    <w:p w:rsidR="0017441D" w:rsidRPr="00F52C1B" w:rsidRDefault="0017441D" w:rsidP="0017441D">
      <w:pPr>
        <w:tabs>
          <w:tab w:val="center" w:pos="5671"/>
          <w:tab w:val="center" w:pos="7797"/>
        </w:tabs>
        <w:ind w:left="426"/>
        <w:jc w:val="both"/>
        <w:rPr>
          <w:rFonts w:ascii="NewBaskerville" w:hAnsi="NewBaskerville"/>
          <w:b/>
          <w:bCs/>
          <w:highlight w:val="yellow"/>
        </w:rPr>
      </w:pPr>
    </w:p>
    <w:p w:rsidR="0017441D" w:rsidRPr="00F52C1B" w:rsidRDefault="0017441D" w:rsidP="0017441D">
      <w:pPr>
        <w:tabs>
          <w:tab w:val="center" w:pos="5671"/>
          <w:tab w:val="center" w:pos="7797"/>
        </w:tabs>
        <w:ind w:firstLine="567"/>
        <w:jc w:val="both"/>
        <w:rPr>
          <w:rFonts w:ascii="NewBaskerville" w:hAnsi="NewBaskerville"/>
        </w:rPr>
      </w:pPr>
      <w:r w:rsidRPr="00F52C1B">
        <w:rPr>
          <w:rFonts w:ascii="NewBaskerville" w:hAnsi="NewBaskerville"/>
        </w:rPr>
        <w:t xml:space="preserve">La distribución del Fondo de Compensación </w:t>
      </w:r>
      <w:proofErr w:type="spellStart"/>
      <w:r w:rsidRPr="00F52C1B">
        <w:rPr>
          <w:rFonts w:ascii="NewBaskerville" w:hAnsi="NewBaskerville"/>
        </w:rPr>
        <w:t>Interportuario</w:t>
      </w:r>
      <w:proofErr w:type="spellEnd"/>
      <w:r w:rsidRPr="00F52C1B">
        <w:rPr>
          <w:rFonts w:ascii="NewBaskerville" w:hAnsi="NewBaskerville"/>
        </w:rPr>
        <w:t xml:space="preserve"> entre Puertos del Estado y Autoridades Portuarias se realiza atendiendo a los siguientes criterios:</w:t>
      </w:r>
    </w:p>
    <w:p w:rsidR="0017441D" w:rsidRPr="00F52C1B" w:rsidRDefault="0017441D" w:rsidP="0017441D">
      <w:pPr>
        <w:tabs>
          <w:tab w:val="center" w:pos="5671"/>
          <w:tab w:val="center" w:pos="7797"/>
        </w:tabs>
        <w:ind w:firstLine="567"/>
        <w:jc w:val="both"/>
        <w:rPr>
          <w:rFonts w:ascii="NewBaskerville" w:hAnsi="NewBaskerville"/>
        </w:rPr>
      </w:pPr>
    </w:p>
    <w:p w:rsidR="0017441D" w:rsidRPr="00F52C1B" w:rsidRDefault="0017441D" w:rsidP="0017441D">
      <w:pPr>
        <w:tabs>
          <w:tab w:val="center" w:pos="5671"/>
          <w:tab w:val="center" w:pos="7797"/>
        </w:tabs>
        <w:ind w:left="851" w:hanging="425"/>
        <w:jc w:val="both"/>
        <w:rPr>
          <w:rFonts w:ascii="NewBaskerville" w:hAnsi="NewBaskerville"/>
        </w:rPr>
      </w:pPr>
      <w:r w:rsidRPr="00F52C1B">
        <w:rPr>
          <w:rFonts w:ascii="NewBaskerville" w:hAnsi="NewBaskerville"/>
        </w:rPr>
        <w:t>1.</w:t>
      </w:r>
      <w:r w:rsidRPr="00F52C1B">
        <w:rPr>
          <w:rFonts w:ascii="NewBaskerville" w:hAnsi="NewBaskerville"/>
        </w:rPr>
        <w:tab/>
      </w:r>
      <w:r w:rsidR="005E62B9" w:rsidRPr="00F52C1B">
        <w:rPr>
          <w:rFonts w:ascii="NewBaskerville" w:hAnsi="NewBaskerville"/>
        </w:rPr>
        <w:t xml:space="preserve"> Las aportaciones del apartado</w:t>
      </w:r>
      <w:r w:rsidR="0044094D" w:rsidRPr="00F52C1B">
        <w:rPr>
          <w:rFonts w:ascii="NewBaskerville" w:hAnsi="NewBaskerville"/>
        </w:rPr>
        <w:t xml:space="preserve"> 3.</w:t>
      </w:r>
      <w:r w:rsidR="005E62B9" w:rsidRPr="00F52C1B">
        <w:rPr>
          <w:rFonts w:ascii="NewBaskerville" w:hAnsi="NewBaskerville"/>
        </w:rPr>
        <w:t>a)</w:t>
      </w:r>
      <w:r w:rsidRPr="00F52C1B">
        <w:rPr>
          <w:rFonts w:ascii="NewBaskerville" w:hAnsi="NewBaskerville"/>
        </w:rPr>
        <w:t xml:space="preserve"> </w:t>
      </w:r>
      <w:r w:rsidR="0044094D" w:rsidRPr="00F52C1B">
        <w:rPr>
          <w:rFonts w:ascii="NewBaskerville" w:hAnsi="NewBaskerville"/>
        </w:rPr>
        <w:t xml:space="preserve">del art.159.5 </w:t>
      </w:r>
      <w:r w:rsidR="005E62B9" w:rsidRPr="00F52C1B">
        <w:rPr>
          <w:rFonts w:ascii="NewBaskerville" w:hAnsi="NewBaskerville"/>
        </w:rPr>
        <w:t xml:space="preserve">se distribuirán en función de </w:t>
      </w:r>
      <w:r w:rsidR="00E73B09" w:rsidRPr="00F52C1B">
        <w:rPr>
          <w:rFonts w:ascii="NewBaskerville" w:hAnsi="NewBaskerville"/>
        </w:rPr>
        <w:t>las</w:t>
      </w:r>
      <w:r w:rsidRPr="00F52C1B">
        <w:rPr>
          <w:rFonts w:ascii="NewBaskerville" w:hAnsi="NewBaskerville"/>
        </w:rPr>
        <w:t xml:space="preserve"> ayudas a la </w:t>
      </w:r>
      <w:r w:rsidR="00E73B09" w:rsidRPr="00F52C1B">
        <w:rPr>
          <w:rFonts w:ascii="NewBaskerville" w:hAnsi="NewBaskerville"/>
        </w:rPr>
        <w:t>n</w:t>
      </w:r>
      <w:r w:rsidRPr="00F52C1B">
        <w:rPr>
          <w:rFonts w:ascii="NewBaskerville" w:hAnsi="NewBaskerville"/>
        </w:rPr>
        <w:t xml:space="preserve">avegación </w:t>
      </w:r>
      <w:r w:rsidR="00E73B09" w:rsidRPr="00F52C1B">
        <w:rPr>
          <w:rFonts w:ascii="NewBaskerville" w:hAnsi="NewBaskerville"/>
        </w:rPr>
        <w:t>m</w:t>
      </w:r>
      <w:r w:rsidRPr="00F52C1B">
        <w:rPr>
          <w:rFonts w:ascii="NewBaskerville" w:hAnsi="NewBaskerville"/>
        </w:rPr>
        <w:t>arítima asignadas a cada Autoridad Portuaria</w:t>
      </w:r>
      <w:r w:rsidR="001E4D8C" w:rsidRPr="00F52C1B">
        <w:rPr>
          <w:rFonts w:ascii="NewBaskerville" w:hAnsi="NewBaskerville"/>
        </w:rPr>
        <w:t>.</w:t>
      </w:r>
      <w:r w:rsidRPr="00F52C1B">
        <w:rPr>
          <w:rFonts w:ascii="NewBaskerville" w:hAnsi="NewBaskerville"/>
        </w:rPr>
        <w:t xml:space="preserve"> </w:t>
      </w:r>
    </w:p>
    <w:p w:rsidR="0017441D" w:rsidRPr="00F52C1B" w:rsidRDefault="0017441D" w:rsidP="00F10C4A">
      <w:pPr>
        <w:tabs>
          <w:tab w:val="center" w:pos="5671"/>
          <w:tab w:val="center" w:pos="7797"/>
        </w:tabs>
        <w:jc w:val="both"/>
        <w:rPr>
          <w:rFonts w:ascii="NewBaskerville" w:hAnsi="NewBaskerville"/>
        </w:rPr>
      </w:pPr>
    </w:p>
    <w:p w:rsidR="0049376B" w:rsidRPr="00F52C1B" w:rsidRDefault="0017441D" w:rsidP="00901A98">
      <w:pPr>
        <w:pStyle w:val="Sangra3detindependiente"/>
        <w:ind w:left="851" w:hanging="425"/>
        <w:rPr>
          <w:rFonts w:ascii="NewBaskerville" w:hAnsi="NewBaskerville"/>
          <w:sz w:val="20"/>
          <w:szCs w:val="20"/>
        </w:rPr>
      </w:pPr>
      <w:r w:rsidRPr="00F52C1B">
        <w:rPr>
          <w:rFonts w:ascii="NewBaskerville" w:hAnsi="NewBaskerville"/>
          <w:sz w:val="20"/>
          <w:szCs w:val="20"/>
        </w:rPr>
        <w:lastRenderedPageBreak/>
        <w:t>2.</w:t>
      </w:r>
      <w:r w:rsidRPr="00F52C1B">
        <w:rPr>
          <w:rFonts w:ascii="NewBaskerville" w:hAnsi="NewBaskerville"/>
          <w:sz w:val="20"/>
          <w:szCs w:val="20"/>
        </w:rPr>
        <w:tab/>
      </w:r>
      <w:r w:rsidR="00823D66" w:rsidRPr="00F52C1B">
        <w:rPr>
          <w:rFonts w:ascii="NewBaskerville" w:hAnsi="NewBaskerville"/>
          <w:sz w:val="20"/>
          <w:szCs w:val="20"/>
        </w:rPr>
        <w:t xml:space="preserve">Las aportaciones previstas en el apartado </w:t>
      </w:r>
      <w:r w:rsidR="003D4191">
        <w:rPr>
          <w:rFonts w:ascii="NewBaskerville" w:hAnsi="NewBaskerville"/>
          <w:sz w:val="20"/>
          <w:szCs w:val="20"/>
        </w:rPr>
        <w:t>3.</w:t>
      </w:r>
      <w:r w:rsidR="00823D66" w:rsidRPr="00F52C1B">
        <w:rPr>
          <w:rFonts w:ascii="NewBaskerville" w:hAnsi="NewBaskerville"/>
          <w:sz w:val="20"/>
          <w:szCs w:val="20"/>
        </w:rPr>
        <w:t>b)</w:t>
      </w:r>
      <w:r w:rsidR="0044094D" w:rsidRPr="00F52C1B">
        <w:rPr>
          <w:rFonts w:ascii="NewBaskerville" w:hAnsi="NewBaskerville"/>
          <w:sz w:val="20"/>
          <w:szCs w:val="20"/>
        </w:rPr>
        <w:t xml:space="preserve"> y 4 </w:t>
      </w:r>
      <w:r w:rsidRPr="00F52C1B">
        <w:rPr>
          <w:rFonts w:ascii="NewBaskerville" w:hAnsi="NewBaskerville"/>
          <w:sz w:val="20"/>
          <w:szCs w:val="20"/>
        </w:rPr>
        <w:t xml:space="preserve"> </w:t>
      </w:r>
      <w:r w:rsidR="00823D66" w:rsidRPr="00F52C1B">
        <w:rPr>
          <w:rFonts w:ascii="NewBaskerville" w:hAnsi="NewBaskerville"/>
          <w:sz w:val="20"/>
          <w:szCs w:val="20"/>
        </w:rPr>
        <w:t xml:space="preserve">tendrán carácter finalista y su aplicación estará condicionada a su ejecución efectiva destinándose entre otras a financiar inversiones en infraestructuras, planes de saneamiento, actuaciones </w:t>
      </w:r>
      <w:r w:rsidR="00DF2800" w:rsidRPr="00F52C1B">
        <w:rPr>
          <w:rFonts w:ascii="NewBaskerville" w:hAnsi="NewBaskerville"/>
          <w:sz w:val="20"/>
          <w:szCs w:val="20"/>
        </w:rPr>
        <w:t>medioambientales y de seguridad</w:t>
      </w:r>
      <w:r w:rsidR="00823D66" w:rsidRPr="00F52C1B">
        <w:rPr>
          <w:rFonts w:ascii="NewBaskerville" w:hAnsi="NewBaskerville"/>
          <w:sz w:val="20"/>
          <w:szCs w:val="20"/>
        </w:rPr>
        <w:t>, actuaciones o programas de desarrollo e innovación de interés portuario y daños físicos o situaciones económicas excepcionales no previstas.</w:t>
      </w:r>
      <w:r w:rsidRPr="00F52C1B">
        <w:rPr>
          <w:rFonts w:ascii="NewBaskerville" w:hAnsi="NewBaskerville"/>
          <w:sz w:val="20"/>
          <w:szCs w:val="20"/>
        </w:rPr>
        <w:t xml:space="preserve"> </w:t>
      </w:r>
    </w:p>
    <w:p w:rsidR="00472775" w:rsidRPr="00F52C1B" w:rsidRDefault="00472775" w:rsidP="00514E88">
      <w:pPr>
        <w:pStyle w:val="Sangra3detindependiente"/>
        <w:ind w:left="426" w:firstLine="0"/>
        <w:rPr>
          <w:rFonts w:ascii="NewBaskerville" w:hAnsi="NewBaskerville"/>
          <w:sz w:val="20"/>
          <w:szCs w:val="20"/>
        </w:rPr>
      </w:pPr>
    </w:p>
    <w:p w:rsidR="0017441D" w:rsidRPr="00F52C1B" w:rsidRDefault="001D30F9" w:rsidP="00F52C1B">
      <w:pPr>
        <w:pStyle w:val="Sangra3detindependiente"/>
        <w:ind w:firstLine="567"/>
        <w:rPr>
          <w:rFonts w:ascii="NewBaskerville" w:hAnsi="NewBaskerville"/>
          <w:sz w:val="20"/>
          <w:szCs w:val="20"/>
        </w:rPr>
      </w:pPr>
      <w:r w:rsidRPr="00F52C1B">
        <w:rPr>
          <w:rFonts w:ascii="NewBaskerville" w:hAnsi="NewBaskerville"/>
          <w:sz w:val="20"/>
          <w:szCs w:val="20"/>
        </w:rPr>
        <w:t>A</w:t>
      </w:r>
      <w:r w:rsidR="00823D66" w:rsidRPr="00F52C1B">
        <w:rPr>
          <w:rFonts w:ascii="NewBaskerville" w:hAnsi="NewBaskerville"/>
          <w:sz w:val="20"/>
          <w:szCs w:val="20"/>
        </w:rPr>
        <w:t>simismo se destinarán a compensar los menores ingresos estructurales de las Autoridades Portuarias de C</w:t>
      </w:r>
      <w:r w:rsidR="00DF2800" w:rsidRPr="00F52C1B">
        <w:rPr>
          <w:rFonts w:ascii="NewBaskerville" w:hAnsi="NewBaskerville"/>
          <w:sz w:val="20"/>
          <w:szCs w:val="20"/>
        </w:rPr>
        <w:t>euta y Melilla y las insulares, debido a las reducciones y bonificaciones de las tasas del buque, pasaje y mercancía.</w:t>
      </w:r>
      <w:r w:rsidR="0017441D" w:rsidRPr="00F52C1B">
        <w:rPr>
          <w:rFonts w:ascii="NewBaskerville" w:hAnsi="NewBaskerville"/>
          <w:sz w:val="20"/>
          <w:szCs w:val="20"/>
        </w:rPr>
        <w:t xml:space="preserve"> </w:t>
      </w:r>
      <w:r w:rsidR="00915006" w:rsidRPr="00F52C1B">
        <w:rPr>
          <w:rFonts w:ascii="NewBaskerville" w:hAnsi="NewBaskerville"/>
          <w:sz w:val="20"/>
          <w:szCs w:val="20"/>
        </w:rPr>
        <w:t xml:space="preserve">Las cantidades a recibir por estas compensaciones se sujetarán a los siguientes criterios: </w:t>
      </w:r>
    </w:p>
    <w:p w:rsidR="00915006" w:rsidRPr="00F52C1B" w:rsidRDefault="00915006" w:rsidP="00F52C1B">
      <w:pPr>
        <w:pStyle w:val="Sangra3detindependiente"/>
        <w:ind w:firstLine="567"/>
        <w:rPr>
          <w:rFonts w:ascii="NewBaskerville" w:hAnsi="NewBaskerville"/>
          <w:sz w:val="20"/>
          <w:szCs w:val="20"/>
        </w:rPr>
      </w:pPr>
    </w:p>
    <w:p w:rsidR="00915006" w:rsidRPr="00F52C1B" w:rsidRDefault="00915006" w:rsidP="00F52C1B">
      <w:pPr>
        <w:tabs>
          <w:tab w:val="center" w:pos="5671"/>
          <w:tab w:val="center" w:pos="7797"/>
        </w:tabs>
        <w:ind w:firstLine="567"/>
        <w:jc w:val="both"/>
        <w:rPr>
          <w:rFonts w:ascii="NewBaskerville" w:hAnsi="NewBaskerville"/>
        </w:rPr>
      </w:pPr>
      <w:r w:rsidRPr="00F52C1B">
        <w:rPr>
          <w:rFonts w:ascii="NewBaskerville" w:hAnsi="NewBaskerville"/>
        </w:rPr>
        <w:t xml:space="preserve">El volumen total de estas compensaciones será la aportación mínima al </w:t>
      </w:r>
      <w:r w:rsidR="003F24D6">
        <w:rPr>
          <w:rFonts w:ascii="NewBaskerville" w:hAnsi="NewBaskerville"/>
        </w:rPr>
        <w:t>F</w:t>
      </w:r>
      <w:r w:rsidRPr="00F52C1B">
        <w:rPr>
          <w:rFonts w:ascii="NewBaskerville" w:hAnsi="NewBaskerville"/>
        </w:rPr>
        <w:t xml:space="preserve">ondo de </w:t>
      </w:r>
      <w:r w:rsidR="003F24D6">
        <w:rPr>
          <w:rFonts w:ascii="NewBaskerville" w:hAnsi="NewBaskerville"/>
        </w:rPr>
        <w:t>C</w:t>
      </w:r>
      <w:r w:rsidRPr="00F52C1B">
        <w:rPr>
          <w:rFonts w:ascii="NewBaskerville" w:hAnsi="NewBaskerville"/>
        </w:rPr>
        <w:t xml:space="preserve">ompensación </w:t>
      </w:r>
      <w:proofErr w:type="spellStart"/>
      <w:r w:rsidR="003F24D6">
        <w:rPr>
          <w:rFonts w:ascii="NewBaskerville" w:hAnsi="NewBaskerville"/>
        </w:rPr>
        <w:t>I</w:t>
      </w:r>
      <w:r w:rsidRPr="00F52C1B">
        <w:rPr>
          <w:rFonts w:ascii="NewBaskerville" w:hAnsi="NewBaskerville"/>
        </w:rPr>
        <w:t>n</w:t>
      </w:r>
      <w:r w:rsidR="00A61BF7" w:rsidRPr="00F52C1B">
        <w:rPr>
          <w:rFonts w:ascii="NewBaskerville" w:hAnsi="NewBaskerville"/>
        </w:rPr>
        <w:t>ter</w:t>
      </w:r>
      <w:r w:rsidRPr="00F52C1B">
        <w:rPr>
          <w:rFonts w:ascii="NewBaskerville" w:hAnsi="NewBaskerville"/>
        </w:rPr>
        <w:t>portuario</w:t>
      </w:r>
      <w:proofErr w:type="spellEnd"/>
      <w:r w:rsidRPr="00F52C1B">
        <w:rPr>
          <w:rFonts w:ascii="NewBaskerville" w:hAnsi="NewBaskerville"/>
        </w:rPr>
        <w:t xml:space="preserve"> establecido en el apartado 3.b) art 159.</w:t>
      </w:r>
    </w:p>
    <w:p w:rsidR="00915006" w:rsidRPr="00F52C1B" w:rsidRDefault="00915006" w:rsidP="00F52C1B">
      <w:pPr>
        <w:tabs>
          <w:tab w:val="center" w:pos="5671"/>
          <w:tab w:val="center" w:pos="7797"/>
        </w:tabs>
        <w:ind w:firstLine="567"/>
        <w:jc w:val="both"/>
        <w:rPr>
          <w:rFonts w:ascii="NewBaskerville" w:hAnsi="NewBaskerville"/>
        </w:rPr>
      </w:pPr>
    </w:p>
    <w:p w:rsidR="00915006" w:rsidRPr="00F52C1B" w:rsidRDefault="00915006" w:rsidP="00F52C1B">
      <w:pPr>
        <w:tabs>
          <w:tab w:val="center" w:pos="5671"/>
          <w:tab w:val="center" w:pos="7797"/>
        </w:tabs>
        <w:ind w:firstLine="567"/>
        <w:jc w:val="both"/>
        <w:rPr>
          <w:rFonts w:ascii="NewBaskerville" w:hAnsi="NewBaskerville"/>
        </w:rPr>
      </w:pPr>
      <w:r w:rsidRPr="00F52C1B">
        <w:rPr>
          <w:rFonts w:ascii="NewBaskerville" w:hAnsi="NewBaskerville"/>
        </w:rPr>
        <w:t>Se distribuirán de forma proporcional a las canti</w:t>
      </w:r>
      <w:r w:rsidR="00F656B3" w:rsidRPr="00F52C1B">
        <w:rPr>
          <w:rFonts w:ascii="NewBaskerville" w:hAnsi="NewBaskerville"/>
        </w:rPr>
        <w:t>d</w:t>
      </w:r>
      <w:r w:rsidRPr="00F52C1B">
        <w:rPr>
          <w:rFonts w:ascii="NewBaskerville" w:hAnsi="NewBaskerville"/>
        </w:rPr>
        <w:t xml:space="preserve">ades que se han dejado de percibir como consecuencia de la aplicación a las tasas del buque, pasaje y mercancía de los coeficientes reductores por concepto de </w:t>
      </w:r>
      <w:proofErr w:type="spellStart"/>
      <w:r w:rsidRPr="00F52C1B">
        <w:rPr>
          <w:rFonts w:ascii="NewBaskerville" w:hAnsi="NewBaskerville"/>
        </w:rPr>
        <w:t>interinsularidad</w:t>
      </w:r>
      <w:proofErr w:type="spellEnd"/>
      <w:r w:rsidRPr="00F52C1B">
        <w:rPr>
          <w:rFonts w:ascii="NewBaskerville" w:hAnsi="NewBaskerville"/>
        </w:rPr>
        <w:t xml:space="preserve"> y de las bonificaciones por insularidad, </w:t>
      </w:r>
      <w:r w:rsidR="007B5A25" w:rsidRPr="00F52C1B">
        <w:rPr>
          <w:rFonts w:ascii="NewBaskerville" w:hAnsi="NewBaskerville"/>
        </w:rPr>
        <w:t xml:space="preserve">especial aislamiento y </w:t>
      </w:r>
      <w:proofErr w:type="spellStart"/>
      <w:r w:rsidR="007B5A25" w:rsidRPr="00F52C1B">
        <w:rPr>
          <w:rFonts w:ascii="NewBaskerville" w:hAnsi="NewBaskerville"/>
        </w:rPr>
        <w:t>ultraper</w:t>
      </w:r>
      <w:r w:rsidRPr="00F52C1B">
        <w:rPr>
          <w:rFonts w:ascii="NewBaskerville" w:hAnsi="NewBaskerville"/>
        </w:rPr>
        <w:t>ifericidad</w:t>
      </w:r>
      <w:proofErr w:type="spellEnd"/>
      <w:r w:rsidRPr="00F52C1B">
        <w:rPr>
          <w:rFonts w:ascii="NewBaskerville" w:hAnsi="NewBaskerville"/>
        </w:rPr>
        <w:t>, correspondientes al año inmediatamente anterior.</w:t>
      </w:r>
    </w:p>
    <w:p w:rsidR="00915006" w:rsidRPr="00F52C1B" w:rsidRDefault="00915006" w:rsidP="00F52C1B">
      <w:pPr>
        <w:pStyle w:val="Sangra3detindependiente"/>
        <w:ind w:firstLine="567"/>
        <w:rPr>
          <w:rFonts w:ascii="NewBaskerville" w:hAnsi="NewBaskerville"/>
          <w:sz w:val="20"/>
          <w:szCs w:val="20"/>
        </w:rPr>
      </w:pPr>
    </w:p>
    <w:p w:rsidR="00901A98" w:rsidRDefault="00A61BF7" w:rsidP="00F52C1B">
      <w:pPr>
        <w:pStyle w:val="Sangra3detindependiente"/>
        <w:ind w:firstLine="567"/>
        <w:rPr>
          <w:rFonts w:ascii="NewBaskerville" w:hAnsi="NewBaskerville"/>
          <w:sz w:val="20"/>
          <w:szCs w:val="20"/>
        </w:rPr>
      </w:pPr>
      <w:r w:rsidRPr="00F52C1B">
        <w:rPr>
          <w:rFonts w:ascii="NewBaskerville" w:hAnsi="NewBaskerville"/>
          <w:sz w:val="20"/>
          <w:szCs w:val="20"/>
        </w:rPr>
        <w:t xml:space="preserve"> </w:t>
      </w:r>
      <w:r w:rsidR="00915006" w:rsidRPr="00F52C1B">
        <w:rPr>
          <w:rFonts w:ascii="NewBaskerville" w:hAnsi="NewBaskerville"/>
          <w:sz w:val="20"/>
          <w:szCs w:val="20"/>
        </w:rPr>
        <w:t>El importe a recibir por cada Autoridad Portuaria n</w:t>
      </w:r>
      <w:r w:rsidR="002114E5" w:rsidRPr="00F52C1B">
        <w:rPr>
          <w:rFonts w:ascii="NewBaskerville" w:hAnsi="NewBaskerville"/>
          <w:sz w:val="20"/>
          <w:szCs w:val="20"/>
        </w:rPr>
        <w:t xml:space="preserve">o podrá ser superior al importe </w:t>
      </w:r>
      <w:r w:rsidR="00915006" w:rsidRPr="00F52C1B">
        <w:rPr>
          <w:rFonts w:ascii="NewBaskerville" w:hAnsi="NewBaskerville"/>
          <w:sz w:val="20"/>
          <w:szCs w:val="20"/>
        </w:rPr>
        <w:t>de las reducciones y bonificaciones efectivamente practicad</w:t>
      </w:r>
      <w:r w:rsidR="002114E5" w:rsidRPr="00F52C1B">
        <w:rPr>
          <w:rFonts w:ascii="NewBaskerville" w:hAnsi="NewBaskerville"/>
          <w:sz w:val="20"/>
          <w:szCs w:val="20"/>
        </w:rPr>
        <w:t>a</w:t>
      </w:r>
      <w:r w:rsidR="00915006" w:rsidRPr="00F52C1B">
        <w:rPr>
          <w:rFonts w:ascii="NewBaskerville" w:hAnsi="NewBaskerville"/>
          <w:sz w:val="20"/>
          <w:szCs w:val="20"/>
        </w:rPr>
        <w:t xml:space="preserve">s en dicho año </w:t>
      </w:r>
      <w:r w:rsidR="002114E5" w:rsidRPr="00F52C1B">
        <w:rPr>
          <w:rFonts w:ascii="NewBaskerville" w:hAnsi="NewBaskerville"/>
          <w:sz w:val="20"/>
          <w:szCs w:val="20"/>
        </w:rPr>
        <w:t>y nunca superior al importe que le permitiera alcanzar la rentabilidad anual objetivo del sistema portuario correspondiente a ese año, calculados los ingresos por tasas de utilización con coeficientes correctores valor uno.</w:t>
      </w:r>
    </w:p>
    <w:p w:rsidR="00F37105" w:rsidRDefault="00F37105" w:rsidP="00F52C1B">
      <w:pPr>
        <w:pStyle w:val="Sangra3detindependiente"/>
        <w:ind w:firstLine="567"/>
        <w:rPr>
          <w:rFonts w:ascii="NewBaskerville" w:hAnsi="NewBaskerville"/>
          <w:sz w:val="20"/>
          <w:szCs w:val="20"/>
        </w:rPr>
      </w:pPr>
    </w:p>
    <w:p w:rsidR="00F37105" w:rsidRDefault="00F37105" w:rsidP="00F52C1B">
      <w:pPr>
        <w:pStyle w:val="Sangra3detindependiente"/>
        <w:ind w:firstLine="567"/>
        <w:rPr>
          <w:rFonts w:ascii="NewBaskerville" w:hAnsi="NewBaskerville"/>
          <w:sz w:val="20"/>
          <w:szCs w:val="20"/>
        </w:rPr>
      </w:pPr>
      <w:r>
        <w:rPr>
          <w:rFonts w:ascii="NewBaskerville" w:hAnsi="NewBaskerville"/>
          <w:sz w:val="20"/>
          <w:szCs w:val="20"/>
        </w:rPr>
        <w:t xml:space="preserve">Como criterio de reparto del Fondo de Compensación </w:t>
      </w:r>
      <w:proofErr w:type="spellStart"/>
      <w:r>
        <w:rPr>
          <w:rFonts w:ascii="NewBaskerville" w:hAnsi="NewBaskerville"/>
          <w:sz w:val="20"/>
          <w:szCs w:val="20"/>
        </w:rPr>
        <w:t>Interportuario</w:t>
      </w:r>
      <w:proofErr w:type="spellEnd"/>
      <w:r>
        <w:rPr>
          <w:rFonts w:ascii="NewBaskerville" w:hAnsi="NewBaskerville"/>
          <w:sz w:val="20"/>
          <w:szCs w:val="20"/>
        </w:rPr>
        <w:t xml:space="preserve"> del 2023 se establece la pérdida de ingresos en que incurran la Autoridades Portuarias, como consecuencia de la exención en la tasa de la pesca fresca por aplicación del Real Decreto ley 6/2022 y Real Decreto ley 20/2022. Siendo de aplicación para la APB.</w:t>
      </w:r>
    </w:p>
    <w:p w:rsidR="00802A41" w:rsidRDefault="00802A41" w:rsidP="00F52C1B">
      <w:pPr>
        <w:pStyle w:val="Sangra3detindependiente"/>
        <w:ind w:firstLine="567"/>
        <w:rPr>
          <w:rFonts w:ascii="NewBaskerville" w:hAnsi="NewBaskerville"/>
          <w:sz w:val="20"/>
          <w:szCs w:val="20"/>
        </w:rPr>
      </w:pPr>
    </w:p>
    <w:p w:rsidR="0017441D" w:rsidRPr="00F52C1B" w:rsidRDefault="0017441D" w:rsidP="00F52C1B">
      <w:pPr>
        <w:pStyle w:val="Sangra3detindependiente"/>
        <w:ind w:firstLine="567"/>
        <w:rPr>
          <w:rFonts w:ascii="NewBaskerville" w:hAnsi="NewBaskerville"/>
          <w:sz w:val="20"/>
          <w:szCs w:val="20"/>
        </w:rPr>
      </w:pPr>
      <w:r w:rsidRPr="00F52C1B">
        <w:rPr>
          <w:rFonts w:ascii="NewBaskerville" w:hAnsi="NewBaskerville"/>
          <w:sz w:val="20"/>
          <w:szCs w:val="20"/>
        </w:rPr>
        <w:t>La asignación tendrá la consideración de ingreso del ejercicio en que ef</w:t>
      </w:r>
      <w:r w:rsidR="00823D66" w:rsidRPr="00F52C1B">
        <w:rPr>
          <w:rFonts w:ascii="NewBaskerville" w:hAnsi="NewBaskerville"/>
          <w:sz w:val="20"/>
          <w:szCs w:val="20"/>
        </w:rPr>
        <w:t>ectivamente se aplique la misma.</w:t>
      </w:r>
    </w:p>
    <w:p w:rsidR="0017441D" w:rsidRPr="00F52C1B" w:rsidRDefault="0017441D" w:rsidP="00F52C1B">
      <w:pPr>
        <w:tabs>
          <w:tab w:val="center" w:pos="5671"/>
          <w:tab w:val="center" w:pos="7797"/>
        </w:tabs>
        <w:ind w:firstLine="567"/>
        <w:jc w:val="both"/>
        <w:rPr>
          <w:rFonts w:ascii="NewBaskerville" w:hAnsi="NewBaskerville"/>
        </w:rPr>
      </w:pPr>
    </w:p>
    <w:p w:rsidR="00625D2A" w:rsidRDefault="0017441D" w:rsidP="00F52C1B">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r w:rsidRPr="00F52C1B">
        <w:rPr>
          <w:rFonts w:ascii="NewBaskerville" w:hAnsi="NewBaskerville"/>
          <w:sz w:val="20"/>
        </w:rPr>
        <w:t xml:space="preserve">El Fondo de Compensación </w:t>
      </w:r>
      <w:proofErr w:type="spellStart"/>
      <w:r w:rsidRPr="00F52C1B">
        <w:rPr>
          <w:rFonts w:ascii="NewBaskerville" w:hAnsi="NewBaskerville"/>
          <w:sz w:val="20"/>
        </w:rPr>
        <w:t>Interportuario</w:t>
      </w:r>
      <w:proofErr w:type="spellEnd"/>
      <w:r w:rsidRPr="00F52C1B">
        <w:rPr>
          <w:rFonts w:ascii="NewBaskerville" w:hAnsi="NewBaskerville"/>
          <w:sz w:val="20"/>
        </w:rPr>
        <w:t xml:space="preserve"> recibido y aportado en el ejercicio se registra en la cuenta de pérdidas y ganancias como un ingreso y gasto del ejercicio respectivamente.</w:t>
      </w:r>
    </w:p>
    <w:p w:rsidR="00625D2A" w:rsidRDefault="00625D2A" w:rsidP="00F52C1B">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17441D" w:rsidRDefault="00625D2A" w:rsidP="00625D2A">
      <w:pPr>
        <w:pStyle w:val="Sangradetextonormal"/>
        <w:numPr>
          <w:ilvl w:val="0"/>
          <w:numId w:val="41"/>
        </w:numPr>
        <w:tabs>
          <w:tab w:val="clear" w:pos="8364"/>
          <w:tab w:val="center" w:pos="5671"/>
          <w:tab w:val="center" w:pos="7797"/>
        </w:tabs>
        <w:overflowPunct/>
        <w:autoSpaceDE/>
        <w:autoSpaceDN/>
        <w:adjustRightInd/>
        <w:textAlignment w:val="auto"/>
        <w:rPr>
          <w:rFonts w:ascii="NewBaskerville" w:hAnsi="NewBaskerville"/>
          <w:sz w:val="20"/>
        </w:rPr>
      </w:pPr>
      <w:r>
        <w:rPr>
          <w:rFonts w:ascii="NewBaskerville" w:hAnsi="NewBaskerville"/>
          <w:sz w:val="20"/>
        </w:rPr>
        <w:t>Importe</w:t>
      </w:r>
      <w:r w:rsidR="004F2D58">
        <w:rPr>
          <w:rFonts w:ascii="NewBaskerville" w:hAnsi="NewBaskerville"/>
          <w:sz w:val="20"/>
        </w:rPr>
        <w:t xml:space="preserve"> Neto</w:t>
      </w:r>
      <w:r>
        <w:rPr>
          <w:rFonts w:ascii="NewBaskerville" w:hAnsi="NewBaskerville"/>
          <w:sz w:val="20"/>
        </w:rPr>
        <w:t xml:space="preserve"> de la Cifra de Negocio</w:t>
      </w:r>
      <w:r w:rsidR="00F6622D">
        <w:rPr>
          <w:rFonts w:ascii="NewBaskerville" w:hAnsi="NewBaskerville"/>
          <w:sz w:val="20"/>
        </w:rPr>
        <w:t>s</w:t>
      </w:r>
      <w:r w:rsidR="004F2D58">
        <w:rPr>
          <w:rFonts w:ascii="NewBaskerville" w:hAnsi="NewBaskerville"/>
          <w:sz w:val="20"/>
        </w:rPr>
        <w:t>.</w:t>
      </w:r>
    </w:p>
    <w:p w:rsidR="004F2D58" w:rsidRDefault="004F2D58" w:rsidP="00CA42B3">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4F2D58" w:rsidRDefault="004F2D58" w:rsidP="00CA42B3">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r>
        <w:rPr>
          <w:rFonts w:ascii="NewBaskerville" w:hAnsi="NewBaskerville"/>
          <w:sz w:val="20"/>
        </w:rPr>
        <w:t>El importe neto de la cifra de negocios se determina deduciendo del importe de la contraprestación</w:t>
      </w:r>
      <w:r w:rsidR="00CA42B3">
        <w:rPr>
          <w:rFonts w:ascii="NewBaskerville" w:hAnsi="NewBaskerville"/>
          <w:sz w:val="20"/>
        </w:rPr>
        <w:t xml:space="preserve"> por la transferencia de los servicios comprometidos con usuarios u otros ingresos correspondientes a las actividades ordinarias de la Entidad, el importe de cualquier reducción, bonificación, y similar, así como el impuesto sobre el valor añadido que deba ser objeto de repercusión.</w:t>
      </w:r>
    </w:p>
    <w:p w:rsidR="00CA42B3" w:rsidRDefault="00CA42B3" w:rsidP="00CA42B3">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CA42B3" w:rsidRDefault="00862883" w:rsidP="00CA42B3">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r>
        <w:rPr>
          <w:rFonts w:ascii="NewBaskerville" w:hAnsi="NewBaskerville"/>
          <w:sz w:val="20"/>
        </w:rPr>
        <w:t xml:space="preserve">Determinando el concepto como el cómputo de los ingresos de la actividad ordinaria de la Entidad, en la medida en que se obtengan de forma regular y </w:t>
      </w:r>
      <w:r w:rsidR="003F24D6">
        <w:rPr>
          <w:rFonts w:ascii="NewBaskerville" w:hAnsi="NewBaskerville"/>
          <w:sz w:val="20"/>
        </w:rPr>
        <w:t>periódica</w:t>
      </w:r>
      <w:r>
        <w:rPr>
          <w:rFonts w:ascii="NewBaskerville" w:hAnsi="NewBaskerville"/>
          <w:sz w:val="20"/>
        </w:rPr>
        <w:t xml:space="preserve"> y se deriven del ciclo económico de producción, comercialización o prestación de servicios propios de la Entidad.</w:t>
      </w:r>
    </w:p>
    <w:p w:rsidR="00862883" w:rsidRDefault="00862883" w:rsidP="00CA42B3">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862883" w:rsidRDefault="00F6622D" w:rsidP="00CA42B3">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r>
        <w:rPr>
          <w:rFonts w:ascii="NewBaskerville" w:hAnsi="NewBaskerville"/>
          <w:sz w:val="20"/>
        </w:rPr>
        <w:t>El Importe Neto de la Cifra de Negocios lo componen los ingresos por:</w:t>
      </w:r>
    </w:p>
    <w:p w:rsidR="00F6622D" w:rsidRDefault="00F6622D" w:rsidP="00F6622D">
      <w:pPr>
        <w:pStyle w:val="Sangradetextonormal"/>
        <w:numPr>
          <w:ilvl w:val="0"/>
          <w:numId w:val="6"/>
        </w:numPr>
        <w:tabs>
          <w:tab w:val="clear" w:pos="8364"/>
          <w:tab w:val="center" w:pos="5671"/>
          <w:tab w:val="center" w:pos="7797"/>
        </w:tabs>
        <w:overflowPunct/>
        <w:autoSpaceDE/>
        <w:autoSpaceDN/>
        <w:adjustRightInd/>
        <w:textAlignment w:val="auto"/>
        <w:rPr>
          <w:rFonts w:ascii="NewBaskerville" w:hAnsi="NewBaskerville"/>
          <w:sz w:val="20"/>
        </w:rPr>
      </w:pPr>
      <w:r>
        <w:rPr>
          <w:rFonts w:ascii="NewBaskerville" w:hAnsi="NewBaskerville"/>
          <w:sz w:val="20"/>
        </w:rPr>
        <w:t>Tasas Portuarias</w:t>
      </w:r>
    </w:p>
    <w:p w:rsidR="00F6622D" w:rsidRDefault="00F6622D" w:rsidP="00F6622D">
      <w:pPr>
        <w:pStyle w:val="Sangradetextonormal"/>
        <w:numPr>
          <w:ilvl w:val="0"/>
          <w:numId w:val="6"/>
        </w:numPr>
        <w:tabs>
          <w:tab w:val="clear" w:pos="8364"/>
          <w:tab w:val="center" w:pos="5671"/>
          <w:tab w:val="center" w:pos="7797"/>
        </w:tabs>
        <w:overflowPunct/>
        <w:autoSpaceDE/>
        <w:autoSpaceDN/>
        <w:adjustRightInd/>
        <w:textAlignment w:val="auto"/>
        <w:rPr>
          <w:rFonts w:ascii="NewBaskerville" w:hAnsi="NewBaskerville"/>
          <w:sz w:val="20"/>
        </w:rPr>
      </w:pPr>
      <w:r>
        <w:rPr>
          <w:rFonts w:ascii="NewBaskerville" w:hAnsi="NewBaskerville"/>
          <w:sz w:val="20"/>
        </w:rPr>
        <w:t>Importes adicionales a las tasas</w:t>
      </w:r>
    </w:p>
    <w:p w:rsidR="00FA0EC0" w:rsidRPr="00FA0EC0" w:rsidRDefault="00FA0EC0" w:rsidP="00FA0EC0">
      <w:pPr>
        <w:pStyle w:val="Sangradetextonormal"/>
        <w:numPr>
          <w:ilvl w:val="0"/>
          <w:numId w:val="6"/>
        </w:numPr>
        <w:tabs>
          <w:tab w:val="clear" w:pos="8364"/>
          <w:tab w:val="center" w:pos="5671"/>
          <w:tab w:val="center" w:pos="7797"/>
        </w:tabs>
        <w:overflowPunct/>
        <w:autoSpaceDE/>
        <w:autoSpaceDN/>
        <w:adjustRightInd/>
        <w:textAlignment w:val="auto"/>
        <w:rPr>
          <w:rFonts w:ascii="NewBaskerville" w:hAnsi="NewBaskerville"/>
          <w:sz w:val="20"/>
        </w:rPr>
      </w:pPr>
      <w:r w:rsidRPr="00FA0EC0">
        <w:rPr>
          <w:rFonts w:ascii="NewBaskerville" w:hAnsi="NewBaskerville"/>
          <w:sz w:val="20"/>
        </w:rPr>
        <w:t>Tarifas por servicios comerciales</w:t>
      </w:r>
    </w:p>
    <w:p w:rsidR="00FA0EC0" w:rsidRDefault="00FA0EC0" w:rsidP="00F6622D">
      <w:pPr>
        <w:pStyle w:val="Sangradetextonormal"/>
        <w:numPr>
          <w:ilvl w:val="0"/>
          <w:numId w:val="6"/>
        </w:numPr>
        <w:tabs>
          <w:tab w:val="clear" w:pos="8364"/>
          <w:tab w:val="center" w:pos="5671"/>
          <w:tab w:val="center" w:pos="7797"/>
        </w:tabs>
        <w:overflowPunct/>
        <w:autoSpaceDE/>
        <w:autoSpaceDN/>
        <w:adjustRightInd/>
        <w:textAlignment w:val="auto"/>
        <w:rPr>
          <w:rFonts w:ascii="NewBaskerville" w:hAnsi="NewBaskerville"/>
          <w:sz w:val="20"/>
        </w:rPr>
      </w:pPr>
      <w:r>
        <w:rPr>
          <w:rFonts w:ascii="NewBaskerville" w:hAnsi="NewBaskerville"/>
          <w:sz w:val="20"/>
        </w:rPr>
        <w:lastRenderedPageBreak/>
        <w:t>Tarifas por el servicio de recepción de desechos</w:t>
      </w:r>
    </w:p>
    <w:p w:rsidR="00B31427" w:rsidRDefault="00B31427" w:rsidP="00B31427">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B31427" w:rsidRDefault="00B31427" w:rsidP="00B31427">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r>
        <w:rPr>
          <w:rFonts w:ascii="NewBaskerville" w:hAnsi="NewBaskerville"/>
          <w:sz w:val="20"/>
        </w:rPr>
        <w:t>Según redacción del TRLPEMM</w:t>
      </w:r>
      <w:r w:rsidR="008829DA">
        <w:rPr>
          <w:rFonts w:ascii="NewBaskerville" w:hAnsi="NewBaskerville"/>
          <w:sz w:val="20"/>
        </w:rPr>
        <w:t>.</w:t>
      </w:r>
    </w:p>
    <w:p w:rsidR="008829DA" w:rsidRDefault="008829DA" w:rsidP="00B31427">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625D2A" w:rsidRDefault="008829DA" w:rsidP="00625D2A">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r>
        <w:rPr>
          <w:rFonts w:ascii="NewBaskerville" w:hAnsi="NewBaskerville"/>
          <w:sz w:val="20"/>
        </w:rPr>
        <w:t xml:space="preserve">Registrándose en la partida de “Otros ingresos de explotación”, que queda excluida del importe neto de la cifra de negocios, entre otros, ingresos no obtenidos con carácter </w:t>
      </w:r>
      <w:r w:rsidR="003F24D6">
        <w:rPr>
          <w:rFonts w:ascii="NewBaskerville" w:hAnsi="NewBaskerville"/>
          <w:sz w:val="20"/>
        </w:rPr>
        <w:t>periódico</w:t>
      </w:r>
      <w:r>
        <w:rPr>
          <w:rFonts w:ascii="NewBaskerville" w:hAnsi="NewBaskerville"/>
          <w:sz w:val="20"/>
        </w:rPr>
        <w:t xml:space="preserve"> o contraprestaciones de carácter indemnizatorio. </w:t>
      </w:r>
      <w:r w:rsidR="00B31427">
        <w:rPr>
          <w:rFonts w:ascii="NewBaskerville" w:hAnsi="NewBaskerville"/>
          <w:sz w:val="20"/>
        </w:rPr>
        <w:t xml:space="preserve"> </w:t>
      </w:r>
    </w:p>
    <w:p w:rsidR="006C7F54" w:rsidRDefault="006C7F54" w:rsidP="00625D2A">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6C7F54" w:rsidRDefault="006C7F54" w:rsidP="00625D2A">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6C7F54" w:rsidRDefault="006C7F54" w:rsidP="00625D2A">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6C7F54" w:rsidRDefault="006C7F54" w:rsidP="00625D2A">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CC5923" w:rsidRPr="00D467DC" w:rsidRDefault="003F24D6" w:rsidP="00F348FE">
      <w:pPr>
        <w:pStyle w:val="ListParagraph1"/>
        <w:ind w:left="0"/>
        <w:rPr>
          <w:rFonts w:ascii="NewBaskerville" w:hAnsi="NewBaskerville"/>
          <w:b/>
          <w:bCs/>
          <w:sz w:val="24"/>
          <w:szCs w:val="24"/>
        </w:rPr>
      </w:pPr>
      <w:r w:rsidRPr="00D467DC">
        <w:rPr>
          <w:rFonts w:ascii="NewBaskerville" w:hAnsi="NewBaskerville"/>
          <w:b/>
          <w:bCs/>
          <w:sz w:val="24"/>
          <w:szCs w:val="24"/>
        </w:rPr>
        <w:t>5</w:t>
      </w:r>
      <w:r>
        <w:rPr>
          <w:b/>
          <w:bCs/>
          <w:sz w:val="24"/>
          <w:szCs w:val="24"/>
        </w:rPr>
        <w:t>.</w:t>
      </w:r>
      <w:r w:rsidRPr="00D467DC">
        <w:rPr>
          <w:rFonts w:ascii="NewBaskerville" w:hAnsi="NewBaskerville"/>
          <w:b/>
          <w:bCs/>
          <w:sz w:val="24"/>
          <w:szCs w:val="24"/>
        </w:rPr>
        <w:t xml:space="preserve"> Inmovilizado</w:t>
      </w:r>
      <w:r w:rsidR="00CC5923" w:rsidRPr="00D467DC">
        <w:rPr>
          <w:rFonts w:ascii="NewBaskerville" w:hAnsi="NewBaskerville"/>
          <w:b/>
          <w:bCs/>
          <w:sz w:val="24"/>
          <w:szCs w:val="24"/>
        </w:rPr>
        <w:t xml:space="preserve"> intangible</w:t>
      </w:r>
    </w:p>
    <w:p w:rsidR="00CC5923" w:rsidRPr="00072D1A" w:rsidRDefault="00CC5923" w:rsidP="00CC5923">
      <w:pPr>
        <w:pStyle w:val="Sangradetextonormal"/>
        <w:tabs>
          <w:tab w:val="clear" w:pos="8364"/>
          <w:tab w:val="center" w:pos="5671"/>
          <w:tab w:val="center" w:pos="7797"/>
        </w:tabs>
        <w:ind w:firstLine="0"/>
        <w:rPr>
          <w:sz w:val="20"/>
        </w:rPr>
      </w:pPr>
    </w:p>
    <w:p w:rsidR="00DF2800" w:rsidRDefault="00CC5923" w:rsidP="003E055E">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r w:rsidRPr="009B0DDE">
        <w:rPr>
          <w:rFonts w:ascii="NewBaskerville" w:hAnsi="NewBaskerville"/>
          <w:sz w:val="20"/>
        </w:rPr>
        <w:t>La composición de este epígrafe y sus movimientos dur</w:t>
      </w:r>
      <w:r w:rsidR="000C1BC0" w:rsidRPr="009B0DDE">
        <w:rPr>
          <w:rFonts w:ascii="NewBaskerville" w:hAnsi="NewBaskerville"/>
          <w:sz w:val="20"/>
        </w:rPr>
        <w:t>ante los ejercicios 202</w:t>
      </w:r>
      <w:r w:rsidR="00F93CE1">
        <w:rPr>
          <w:rFonts w:ascii="NewBaskerville" w:hAnsi="NewBaskerville"/>
          <w:sz w:val="20"/>
        </w:rPr>
        <w:t>3</w:t>
      </w:r>
      <w:r w:rsidR="000C1BC0" w:rsidRPr="009B0DDE">
        <w:rPr>
          <w:rFonts w:ascii="NewBaskerville" w:hAnsi="NewBaskerville"/>
          <w:sz w:val="20"/>
        </w:rPr>
        <w:t xml:space="preserve"> y 202</w:t>
      </w:r>
      <w:r w:rsidR="00F93CE1">
        <w:rPr>
          <w:rFonts w:ascii="NewBaskerville" w:hAnsi="NewBaskerville"/>
          <w:sz w:val="20"/>
        </w:rPr>
        <w:t>2</w:t>
      </w:r>
      <w:r w:rsidR="00530948" w:rsidRPr="009B0DDE">
        <w:rPr>
          <w:rFonts w:ascii="NewBaskerville" w:hAnsi="NewBaskerville"/>
          <w:sz w:val="20"/>
        </w:rPr>
        <w:t xml:space="preserve"> son los siguiente</w:t>
      </w:r>
      <w:r w:rsidR="00462BE1" w:rsidRPr="009B0DDE">
        <w:rPr>
          <w:rFonts w:ascii="NewBaskerville" w:hAnsi="NewBaskerville"/>
          <w:sz w:val="20"/>
        </w:rPr>
        <w:t>s</w:t>
      </w:r>
      <w:r w:rsidR="00530948" w:rsidRPr="009B0DDE">
        <w:rPr>
          <w:rFonts w:ascii="NewBaskerville" w:hAnsi="NewBaskerville"/>
          <w:sz w:val="20"/>
        </w:rPr>
        <w:t>:</w:t>
      </w:r>
    </w:p>
    <w:p w:rsidR="00F93CE1" w:rsidRDefault="00F93CE1" w:rsidP="003E055E">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9E6275" w:rsidRDefault="009E6275" w:rsidP="003E055E">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9E6275" w:rsidRDefault="009E6275" w:rsidP="003E055E">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tbl>
      <w:tblPr>
        <w:tblW w:w="6028" w:type="dxa"/>
        <w:tblInd w:w="70" w:type="dxa"/>
        <w:tblCellMar>
          <w:left w:w="70" w:type="dxa"/>
          <w:right w:w="70" w:type="dxa"/>
        </w:tblCellMar>
        <w:tblLook w:val="04A0" w:firstRow="1" w:lastRow="0" w:firstColumn="1" w:lastColumn="0" w:noHBand="0" w:noVBand="1"/>
      </w:tblPr>
      <w:tblGrid>
        <w:gridCol w:w="2856"/>
        <w:gridCol w:w="1516"/>
        <w:gridCol w:w="1656"/>
      </w:tblGrid>
      <w:tr w:rsidR="009E6275" w:rsidRPr="009E6275" w:rsidTr="009E6275">
        <w:trPr>
          <w:trHeight w:val="300"/>
        </w:trPr>
        <w:tc>
          <w:tcPr>
            <w:tcW w:w="2856" w:type="dxa"/>
            <w:tcBorders>
              <w:top w:val="nil"/>
              <w:left w:val="nil"/>
              <w:bottom w:val="nil"/>
              <w:right w:val="nil"/>
            </w:tcBorders>
            <w:shd w:val="clear" w:color="auto" w:fill="auto"/>
            <w:noWrap/>
            <w:vAlign w:val="bottom"/>
            <w:hideMark/>
          </w:tcPr>
          <w:p w:rsidR="009E6275" w:rsidRPr="009E6275" w:rsidRDefault="009E6275" w:rsidP="009E6275">
            <w:pPr>
              <w:rPr>
                <w:rFonts w:ascii="Lucida Bright" w:hAnsi="Lucida Bright" w:cs="Calibri"/>
                <w:b/>
                <w:bCs/>
                <w:color w:val="000000"/>
                <w:sz w:val="18"/>
                <w:szCs w:val="18"/>
                <w:lang w:val="es-ES"/>
              </w:rPr>
            </w:pPr>
            <w:r w:rsidRPr="009E6275">
              <w:rPr>
                <w:rFonts w:ascii="Lucida Bright" w:hAnsi="Lucida Bright" w:cs="Calibri"/>
                <w:b/>
                <w:bCs/>
                <w:color w:val="000000"/>
                <w:sz w:val="18"/>
                <w:szCs w:val="18"/>
                <w:lang w:val="es-ES"/>
              </w:rPr>
              <w:t>Saldo a 31/12/2022</w:t>
            </w:r>
          </w:p>
        </w:tc>
        <w:tc>
          <w:tcPr>
            <w:tcW w:w="1516" w:type="dxa"/>
            <w:tcBorders>
              <w:top w:val="nil"/>
              <w:left w:val="nil"/>
              <w:bottom w:val="nil"/>
              <w:right w:val="nil"/>
            </w:tcBorders>
            <w:shd w:val="clear" w:color="auto" w:fill="auto"/>
            <w:noWrap/>
            <w:vAlign w:val="bottom"/>
            <w:hideMark/>
          </w:tcPr>
          <w:p w:rsidR="009E6275" w:rsidRPr="009E6275" w:rsidRDefault="009E6275" w:rsidP="009E6275">
            <w:pPr>
              <w:rPr>
                <w:rFonts w:ascii="Calibri" w:hAnsi="Calibri" w:cs="Calibri"/>
                <w:color w:val="000000"/>
                <w:sz w:val="22"/>
                <w:szCs w:val="22"/>
                <w:lang w:val="es-ES"/>
              </w:rPr>
            </w:pPr>
          </w:p>
        </w:tc>
        <w:tc>
          <w:tcPr>
            <w:tcW w:w="1656" w:type="dxa"/>
            <w:tcBorders>
              <w:top w:val="nil"/>
              <w:left w:val="nil"/>
              <w:bottom w:val="nil"/>
              <w:right w:val="nil"/>
            </w:tcBorders>
            <w:shd w:val="clear" w:color="auto" w:fill="auto"/>
            <w:noWrap/>
            <w:vAlign w:val="bottom"/>
            <w:hideMark/>
          </w:tcPr>
          <w:p w:rsidR="009E6275" w:rsidRPr="009E6275" w:rsidRDefault="009E6275" w:rsidP="009E6275">
            <w:pPr>
              <w:jc w:val="right"/>
              <w:rPr>
                <w:rFonts w:ascii="Lucida Bright" w:hAnsi="Lucida Bright" w:cs="Calibri"/>
                <w:b/>
                <w:bCs/>
                <w:color w:val="000000"/>
                <w:sz w:val="18"/>
                <w:szCs w:val="18"/>
                <w:lang w:val="es-ES"/>
              </w:rPr>
            </w:pPr>
            <w:r w:rsidRPr="009E6275">
              <w:rPr>
                <w:rFonts w:ascii="Lucida Bright" w:hAnsi="Lucida Bright" w:cs="Calibri"/>
                <w:b/>
                <w:bCs/>
                <w:color w:val="000000"/>
                <w:sz w:val="18"/>
                <w:szCs w:val="18"/>
                <w:lang w:val="es-ES"/>
              </w:rPr>
              <w:t xml:space="preserve">892.211,33  </w:t>
            </w:r>
          </w:p>
        </w:tc>
      </w:tr>
      <w:tr w:rsidR="009E6275" w:rsidRPr="009E6275" w:rsidTr="009E6275">
        <w:trPr>
          <w:trHeight w:val="300"/>
        </w:trPr>
        <w:tc>
          <w:tcPr>
            <w:tcW w:w="4372" w:type="dxa"/>
            <w:gridSpan w:val="2"/>
            <w:tcBorders>
              <w:top w:val="nil"/>
              <w:left w:val="nil"/>
              <w:bottom w:val="nil"/>
              <w:right w:val="nil"/>
            </w:tcBorders>
            <w:shd w:val="clear" w:color="auto" w:fill="auto"/>
            <w:noWrap/>
            <w:vAlign w:val="bottom"/>
            <w:hideMark/>
          </w:tcPr>
          <w:p w:rsidR="009E6275" w:rsidRPr="009E6275" w:rsidRDefault="009E6275" w:rsidP="009E6275">
            <w:pPr>
              <w:rPr>
                <w:rFonts w:ascii="Lucida Bright" w:hAnsi="Lucida Bright" w:cs="Calibri"/>
                <w:color w:val="000000"/>
                <w:sz w:val="18"/>
                <w:szCs w:val="18"/>
                <w:lang w:val="es-ES"/>
              </w:rPr>
            </w:pPr>
            <w:r w:rsidRPr="009E6275">
              <w:rPr>
                <w:rFonts w:ascii="Lucida Bright" w:hAnsi="Lucida Bright" w:cs="Calibri"/>
                <w:color w:val="000000"/>
                <w:sz w:val="18"/>
                <w:szCs w:val="18"/>
                <w:lang w:val="es-ES"/>
              </w:rPr>
              <w:t>(+) Reclasificaciones de inmovilizado en curso</w:t>
            </w:r>
          </w:p>
        </w:tc>
        <w:tc>
          <w:tcPr>
            <w:tcW w:w="1656" w:type="dxa"/>
            <w:tcBorders>
              <w:top w:val="nil"/>
              <w:left w:val="nil"/>
              <w:bottom w:val="nil"/>
              <w:right w:val="nil"/>
            </w:tcBorders>
            <w:shd w:val="clear" w:color="auto" w:fill="auto"/>
            <w:noWrap/>
            <w:vAlign w:val="bottom"/>
            <w:hideMark/>
          </w:tcPr>
          <w:p w:rsidR="009E6275" w:rsidRPr="009E6275" w:rsidRDefault="009E6275" w:rsidP="009E6275">
            <w:pPr>
              <w:jc w:val="right"/>
              <w:rPr>
                <w:rFonts w:ascii="Lucida Bright" w:hAnsi="Lucida Bright" w:cs="Calibri"/>
                <w:color w:val="000000"/>
                <w:sz w:val="18"/>
                <w:szCs w:val="18"/>
                <w:lang w:val="es-ES"/>
              </w:rPr>
            </w:pPr>
            <w:r w:rsidRPr="009E6275">
              <w:rPr>
                <w:rFonts w:ascii="Lucida Bright" w:hAnsi="Lucida Bright" w:cs="Calibri"/>
                <w:color w:val="000000"/>
                <w:sz w:val="18"/>
                <w:szCs w:val="18"/>
                <w:lang w:val="es-ES"/>
              </w:rPr>
              <w:t xml:space="preserve">359.952,03  </w:t>
            </w:r>
          </w:p>
        </w:tc>
      </w:tr>
      <w:tr w:rsidR="009E6275" w:rsidRPr="009E6275" w:rsidTr="009E6275">
        <w:trPr>
          <w:trHeight w:val="300"/>
        </w:trPr>
        <w:tc>
          <w:tcPr>
            <w:tcW w:w="4372" w:type="dxa"/>
            <w:gridSpan w:val="2"/>
            <w:tcBorders>
              <w:top w:val="nil"/>
              <w:left w:val="nil"/>
              <w:bottom w:val="nil"/>
              <w:right w:val="nil"/>
            </w:tcBorders>
            <w:shd w:val="clear" w:color="auto" w:fill="auto"/>
            <w:noWrap/>
            <w:vAlign w:val="bottom"/>
            <w:hideMark/>
          </w:tcPr>
          <w:p w:rsidR="009E6275" w:rsidRPr="009E6275" w:rsidRDefault="009E6275" w:rsidP="009E6275">
            <w:pPr>
              <w:rPr>
                <w:rFonts w:ascii="Lucida Bright" w:hAnsi="Lucida Bright" w:cs="Calibri"/>
                <w:color w:val="000000"/>
                <w:sz w:val="18"/>
                <w:szCs w:val="18"/>
                <w:lang w:val="es-ES"/>
              </w:rPr>
            </w:pPr>
            <w:r w:rsidRPr="009E6275">
              <w:rPr>
                <w:rFonts w:ascii="Lucida Bright" w:hAnsi="Lucida Bright" w:cs="Calibri"/>
                <w:color w:val="000000"/>
                <w:sz w:val="18"/>
                <w:szCs w:val="18"/>
                <w:lang w:val="es-ES"/>
              </w:rPr>
              <w:t>(+/-) Reclasificaciones a gastos</w:t>
            </w:r>
          </w:p>
        </w:tc>
        <w:tc>
          <w:tcPr>
            <w:tcW w:w="1656" w:type="dxa"/>
            <w:tcBorders>
              <w:top w:val="nil"/>
              <w:left w:val="nil"/>
              <w:bottom w:val="nil"/>
              <w:right w:val="nil"/>
            </w:tcBorders>
            <w:shd w:val="clear" w:color="auto" w:fill="auto"/>
            <w:noWrap/>
            <w:vAlign w:val="bottom"/>
            <w:hideMark/>
          </w:tcPr>
          <w:p w:rsidR="009E6275" w:rsidRPr="009E6275" w:rsidRDefault="009E6275" w:rsidP="009E6275">
            <w:pPr>
              <w:jc w:val="right"/>
              <w:rPr>
                <w:rFonts w:ascii="Lucida Bright" w:hAnsi="Lucida Bright" w:cs="Calibri"/>
                <w:color w:val="000000"/>
                <w:sz w:val="18"/>
                <w:szCs w:val="18"/>
                <w:lang w:val="es-ES"/>
              </w:rPr>
            </w:pPr>
            <w:r w:rsidRPr="009E6275">
              <w:rPr>
                <w:rFonts w:ascii="Lucida Bright" w:hAnsi="Lucida Bright" w:cs="Calibri"/>
                <w:color w:val="000000"/>
                <w:sz w:val="18"/>
                <w:szCs w:val="18"/>
                <w:lang w:val="es-ES"/>
              </w:rPr>
              <w:t xml:space="preserve">(0,26)  </w:t>
            </w:r>
          </w:p>
        </w:tc>
      </w:tr>
      <w:tr w:rsidR="009E6275" w:rsidRPr="009E6275" w:rsidTr="009E6275">
        <w:trPr>
          <w:trHeight w:val="300"/>
        </w:trPr>
        <w:tc>
          <w:tcPr>
            <w:tcW w:w="2856" w:type="dxa"/>
            <w:tcBorders>
              <w:top w:val="nil"/>
              <w:left w:val="nil"/>
              <w:bottom w:val="nil"/>
              <w:right w:val="nil"/>
            </w:tcBorders>
            <w:shd w:val="clear" w:color="auto" w:fill="auto"/>
            <w:noWrap/>
            <w:vAlign w:val="bottom"/>
            <w:hideMark/>
          </w:tcPr>
          <w:p w:rsidR="009E6275" w:rsidRPr="009E6275" w:rsidRDefault="009E6275" w:rsidP="009E6275">
            <w:pPr>
              <w:rPr>
                <w:rFonts w:ascii="Lucida Bright" w:hAnsi="Lucida Bright" w:cs="Calibri"/>
                <w:color w:val="000000"/>
                <w:sz w:val="18"/>
                <w:szCs w:val="18"/>
                <w:lang w:val="es-ES"/>
              </w:rPr>
            </w:pPr>
            <w:r w:rsidRPr="009E6275">
              <w:rPr>
                <w:rFonts w:ascii="Lucida Bright" w:hAnsi="Lucida Bright" w:cs="Calibri"/>
                <w:color w:val="000000"/>
                <w:sz w:val="18"/>
                <w:szCs w:val="18"/>
                <w:lang w:val="es-ES"/>
              </w:rPr>
              <w:t xml:space="preserve">(-) Retiros y bajas </w:t>
            </w:r>
          </w:p>
        </w:tc>
        <w:tc>
          <w:tcPr>
            <w:tcW w:w="1516" w:type="dxa"/>
            <w:tcBorders>
              <w:top w:val="nil"/>
              <w:left w:val="nil"/>
              <w:bottom w:val="nil"/>
              <w:right w:val="nil"/>
            </w:tcBorders>
            <w:shd w:val="clear" w:color="auto" w:fill="auto"/>
            <w:noWrap/>
            <w:vAlign w:val="bottom"/>
            <w:hideMark/>
          </w:tcPr>
          <w:p w:rsidR="009E6275" w:rsidRPr="009E6275" w:rsidRDefault="009E6275" w:rsidP="009E6275">
            <w:pPr>
              <w:rPr>
                <w:rFonts w:ascii="Calibri" w:hAnsi="Calibri" w:cs="Calibri"/>
                <w:color w:val="000000"/>
                <w:sz w:val="22"/>
                <w:szCs w:val="22"/>
                <w:lang w:val="es-ES"/>
              </w:rPr>
            </w:pPr>
          </w:p>
        </w:tc>
        <w:tc>
          <w:tcPr>
            <w:tcW w:w="1656" w:type="dxa"/>
            <w:tcBorders>
              <w:top w:val="nil"/>
              <w:left w:val="nil"/>
              <w:bottom w:val="nil"/>
              <w:right w:val="nil"/>
            </w:tcBorders>
            <w:shd w:val="clear" w:color="auto" w:fill="auto"/>
            <w:noWrap/>
            <w:vAlign w:val="bottom"/>
            <w:hideMark/>
          </w:tcPr>
          <w:p w:rsidR="009E6275" w:rsidRPr="009E6275" w:rsidRDefault="009E6275" w:rsidP="009E6275">
            <w:pPr>
              <w:jc w:val="right"/>
              <w:rPr>
                <w:rFonts w:ascii="Lucida Bright" w:hAnsi="Lucida Bright" w:cs="Calibri"/>
                <w:color w:val="000000"/>
                <w:sz w:val="18"/>
                <w:szCs w:val="18"/>
                <w:lang w:val="es-ES"/>
              </w:rPr>
            </w:pPr>
            <w:r w:rsidRPr="009E6275">
              <w:rPr>
                <w:rFonts w:ascii="Lucida Bright" w:hAnsi="Lucida Bright" w:cs="Calibri"/>
                <w:color w:val="000000"/>
                <w:sz w:val="18"/>
                <w:szCs w:val="18"/>
                <w:lang w:val="es-ES"/>
              </w:rPr>
              <w:t xml:space="preserve">(2.054.486,07)  </w:t>
            </w:r>
          </w:p>
        </w:tc>
      </w:tr>
      <w:tr w:rsidR="009E6275" w:rsidRPr="009E6275" w:rsidTr="009E6275">
        <w:trPr>
          <w:trHeight w:val="300"/>
        </w:trPr>
        <w:tc>
          <w:tcPr>
            <w:tcW w:w="2856" w:type="dxa"/>
            <w:tcBorders>
              <w:top w:val="nil"/>
              <w:left w:val="nil"/>
              <w:bottom w:val="nil"/>
              <w:right w:val="nil"/>
            </w:tcBorders>
            <w:shd w:val="clear" w:color="auto" w:fill="auto"/>
            <w:noWrap/>
            <w:vAlign w:val="bottom"/>
            <w:hideMark/>
          </w:tcPr>
          <w:p w:rsidR="009E6275" w:rsidRPr="009E6275" w:rsidRDefault="009E6275" w:rsidP="009E6275">
            <w:pPr>
              <w:rPr>
                <w:rFonts w:ascii="Lucida Bright" w:hAnsi="Lucida Bright" w:cs="Calibri"/>
                <w:color w:val="000000"/>
                <w:sz w:val="18"/>
                <w:szCs w:val="18"/>
                <w:lang w:val="es-ES"/>
              </w:rPr>
            </w:pPr>
            <w:r w:rsidRPr="009E6275">
              <w:rPr>
                <w:rFonts w:ascii="Lucida Bright" w:hAnsi="Lucida Bright" w:cs="Calibri"/>
                <w:color w:val="000000"/>
                <w:sz w:val="18"/>
                <w:szCs w:val="18"/>
                <w:lang w:val="es-ES"/>
              </w:rPr>
              <w:t>(-) Amortización del ejercicio</w:t>
            </w:r>
          </w:p>
        </w:tc>
        <w:tc>
          <w:tcPr>
            <w:tcW w:w="1516" w:type="dxa"/>
            <w:tcBorders>
              <w:top w:val="nil"/>
              <w:left w:val="nil"/>
              <w:bottom w:val="nil"/>
              <w:right w:val="nil"/>
            </w:tcBorders>
            <w:shd w:val="clear" w:color="auto" w:fill="auto"/>
            <w:noWrap/>
            <w:vAlign w:val="bottom"/>
            <w:hideMark/>
          </w:tcPr>
          <w:p w:rsidR="009E6275" w:rsidRPr="009E6275" w:rsidRDefault="009E6275" w:rsidP="009E6275">
            <w:pPr>
              <w:rPr>
                <w:rFonts w:ascii="Calibri" w:hAnsi="Calibri" w:cs="Calibri"/>
                <w:color w:val="000000"/>
                <w:sz w:val="22"/>
                <w:szCs w:val="22"/>
                <w:lang w:val="es-ES"/>
              </w:rPr>
            </w:pPr>
          </w:p>
        </w:tc>
        <w:tc>
          <w:tcPr>
            <w:tcW w:w="1656" w:type="dxa"/>
            <w:tcBorders>
              <w:top w:val="nil"/>
              <w:left w:val="nil"/>
              <w:bottom w:val="nil"/>
              <w:right w:val="nil"/>
            </w:tcBorders>
            <w:shd w:val="clear" w:color="auto" w:fill="auto"/>
            <w:noWrap/>
            <w:vAlign w:val="bottom"/>
            <w:hideMark/>
          </w:tcPr>
          <w:p w:rsidR="009E6275" w:rsidRPr="009E6275" w:rsidRDefault="009E6275" w:rsidP="009E6275">
            <w:pPr>
              <w:jc w:val="right"/>
              <w:rPr>
                <w:rFonts w:ascii="Lucida Bright" w:hAnsi="Lucida Bright" w:cs="Calibri"/>
                <w:color w:val="000000"/>
                <w:sz w:val="18"/>
                <w:szCs w:val="18"/>
                <w:lang w:val="es-ES"/>
              </w:rPr>
            </w:pPr>
            <w:r w:rsidRPr="009E6275">
              <w:rPr>
                <w:rFonts w:ascii="Lucida Bright" w:hAnsi="Lucida Bright" w:cs="Calibri"/>
                <w:color w:val="000000"/>
                <w:sz w:val="18"/>
                <w:szCs w:val="18"/>
                <w:lang w:val="es-ES"/>
              </w:rPr>
              <w:t xml:space="preserve">(519.548,51)  </w:t>
            </w:r>
          </w:p>
        </w:tc>
      </w:tr>
      <w:tr w:rsidR="009E6275" w:rsidRPr="009E6275" w:rsidTr="009E6275">
        <w:trPr>
          <w:trHeight w:val="300"/>
        </w:trPr>
        <w:tc>
          <w:tcPr>
            <w:tcW w:w="4372" w:type="dxa"/>
            <w:gridSpan w:val="2"/>
            <w:tcBorders>
              <w:top w:val="nil"/>
              <w:left w:val="nil"/>
              <w:bottom w:val="nil"/>
              <w:right w:val="nil"/>
            </w:tcBorders>
            <w:shd w:val="clear" w:color="auto" w:fill="auto"/>
            <w:noWrap/>
            <w:vAlign w:val="bottom"/>
            <w:hideMark/>
          </w:tcPr>
          <w:p w:rsidR="009E6275" w:rsidRPr="009E6275" w:rsidRDefault="009E6275" w:rsidP="009E6275">
            <w:pPr>
              <w:rPr>
                <w:rFonts w:ascii="Lucida Bright" w:hAnsi="Lucida Bright" w:cs="Calibri"/>
                <w:color w:val="000000"/>
                <w:sz w:val="18"/>
                <w:szCs w:val="18"/>
                <w:lang w:val="es-ES"/>
              </w:rPr>
            </w:pPr>
            <w:r w:rsidRPr="009E6275">
              <w:rPr>
                <w:rFonts w:ascii="Lucida Bright" w:hAnsi="Lucida Bright" w:cs="Calibri"/>
                <w:color w:val="000000"/>
                <w:sz w:val="18"/>
                <w:szCs w:val="18"/>
                <w:lang w:val="es-ES"/>
              </w:rPr>
              <w:t xml:space="preserve">(+) Amortización </w:t>
            </w:r>
            <w:proofErr w:type="spellStart"/>
            <w:r w:rsidRPr="009E6275">
              <w:rPr>
                <w:rFonts w:ascii="Lucida Bright" w:hAnsi="Lucida Bright" w:cs="Calibri"/>
                <w:color w:val="000000"/>
                <w:sz w:val="18"/>
                <w:szCs w:val="18"/>
                <w:lang w:val="es-ES"/>
              </w:rPr>
              <w:t>acda</w:t>
            </w:r>
            <w:proofErr w:type="spellEnd"/>
            <w:r w:rsidRPr="009E6275">
              <w:rPr>
                <w:rFonts w:ascii="Lucida Bright" w:hAnsi="Lucida Bright" w:cs="Calibri"/>
                <w:color w:val="000000"/>
                <w:sz w:val="18"/>
                <w:szCs w:val="18"/>
                <w:lang w:val="es-ES"/>
              </w:rPr>
              <w:t xml:space="preserve"> de retiros y bajas</w:t>
            </w:r>
          </w:p>
        </w:tc>
        <w:tc>
          <w:tcPr>
            <w:tcW w:w="1656" w:type="dxa"/>
            <w:tcBorders>
              <w:top w:val="nil"/>
              <w:left w:val="nil"/>
              <w:bottom w:val="nil"/>
              <w:right w:val="nil"/>
            </w:tcBorders>
            <w:shd w:val="clear" w:color="auto" w:fill="auto"/>
            <w:noWrap/>
            <w:vAlign w:val="bottom"/>
            <w:hideMark/>
          </w:tcPr>
          <w:p w:rsidR="009E6275" w:rsidRPr="009E6275" w:rsidRDefault="009E6275" w:rsidP="009E6275">
            <w:pPr>
              <w:jc w:val="right"/>
              <w:rPr>
                <w:rFonts w:ascii="Lucida Bright" w:hAnsi="Lucida Bright" w:cs="Calibri"/>
                <w:color w:val="000000"/>
                <w:sz w:val="18"/>
                <w:szCs w:val="18"/>
                <w:lang w:val="es-ES"/>
              </w:rPr>
            </w:pPr>
            <w:r w:rsidRPr="009E6275">
              <w:rPr>
                <w:rFonts w:ascii="Lucida Bright" w:hAnsi="Lucida Bright" w:cs="Calibri"/>
                <w:color w:val="000000"/>
                <w:sz w:val="18"/>
                <w:szCs w:val="18"/>
                <w:lang w:val="es-ES"/>
              </w:rPr>
              <w:t xml:space="preserve">2.054.486,07  </w:t>
            </w:r>
          </w:p>
        </w:tc>
      </w:tr>
      <w:tr w:rsidR="009E6275" w:rsidRPr="009E6275" w:rsidTr="009E6275">
        <w:trPr>
          <w:trHeight w:val="300"/>
        </w:trPr>
        <w:tc>
          <w:tcPr>
            <w:tcW w:w="4372" w:type="dxa"/>
            <w:gridSpan w:val="2"/>
            <w:tcBorders>
              <w:top w:val="nil"/>
              <w:left w:val="nil"/>
              <w:bottom w:val="nil"/>
              <w:right w:val="nil"/>
            </w:tcBorders>
            <w:shd w:val="clear" w:color="auto" w:fill="auto"/>
            <w:noWrap/>
            <w:vAlign w:val="bottom"/>
            <w:hideMark/>
          </w:tcPr>
          <w:p w:rsidR="009E6275" w:rsidRPr="009E6275" w:rsidRDefault="009E6275" w:rsidP="009E6275">
            <w:pPr>
              <w:rPr>
                <w:rFonts w:ascii="Lucida Bright" w:hAnsi="Lucida Bright" w:cs="Calibri"/>
                <w:color w:val="000000"/>
                <w:sz w:val="18"/>
                <w:szCs w:val="18"/>
                <w:lang w:val="es-ES"/>
              </w:rPr>
            </w:pPr>
            <w:r w:rsidRPr="009E6275">
              <w:rPr>
                <w:rFonts w:ascii="Lucida Bright" w:hAnsi="Lucida Bright" w:cs="Calibri"/>
                <w:color w:val="000000"/>
                <w:sz w:val="18"/>
                <w:szCs w:val="18"/>
                <w:lang w:val="es-ES"/>
              </w:rPr>
              <w:t xml:space="preserve">(+/-) Reclasificaciones de la amortización </w:t>
            </w:r>
            <w:proofErr w:type="spellStart"/>
            <w:r w:rsidRPr="009E6275">
              <w:rPr>
                <w:rFonts w:ascii="Lucida Bright" w:hAnsi="Lucida Bright" w:cs="Calibri"/>
                <w:color w:val="000000"/>
                <w:sz w:val="18"/>
                <w:szCs w:val="18"/>
                <w:lang w:val="es-ES"/>
              </w:rPr>
              <w:t>acda</w:t>
            </w:r>
            <w:proofErr w:type="spellEnd"/>
          </w:p>
        </w:tc>
        <w:tc>
          <w:tcPr>
            <w:tcW w:w="1656" w:type="dxa"/>
            <w:tcBorders>
              <w:top w:val="nil"/>
              <w:left w:val="nil"/>
              <w:bottom w:val="nil"/>
              <w:right w:val="nil"/>
            </w:tcBorders>
            <w:shd w:val="clear" w:color="auto" w:fill="auto"/>
            <w:noWrap/>
            <w:vAlign w:val="bottom"/>
            <w:hideMark/>
          </w:tcPr>
          <w:p w:rsidR="009E6275" w:rsidRPr="009E6275" w:rsidRDefault="009E6275" w:rsidP="009E6275">
            <w:pPr>
              <w:jc w:val="right"/>
              <w:rPr>
                <w:rFonts w:ascii="Lucida Bright" w:hAnsi="Lucida Bright" w:cs="Calibri"/>
                <w:color w:val="000000"/>
                <w:sz w:val="18"/>
                <w:szCs w:val="18"/>
                <w:lang w:val="es-ES"/>
              </w:rPr>
            </w:pPr>
            <w:r w:rsidRPr="009E6275">
              <w:rPr>
                <w:rFonts w:ascii="Lucida Bright" w:hAnsi="Lucida Bright" w:cs="Calibri"/>
                <w:color w:val="000000"/>
                <w:sz w:val="18"/>
                <w:szCs w:val="18"/>
                <w:lang w:val="es-ES"/>
              </w:rPr>
              <w:t xml:space="preserve">0,14  </w:t>
            </w:r>
          </w:p>
        </w:tc>
      </w:tr>
      <w:tr w:rsidR="009E6275" w:rsidRPr="009E6275" w:rsidTr="009E6275">
        <w:trPr>
          <w:trHeight w:val="300"/>
        </w:trPr>
        <w:tc>
          <w:tcPr>
            <w:tcW w:w="2856" w:type="dxa"/>
            <w:tcBorders>
              <w:top w:val="nil"/>
              <w:left w:val="nil"/>
              <w:bottom w:val="nil"/>
              <w:right w:val="nil"/>
            </w:tcBorders>
            <w:shd w:val="clear" w:color="auto" w:fill="auto"/>
            <w:noWrap/>
            <w:vAlign w:val="bottom"/>
            <w:hideMark/>
          </w:tcPr>
          <w:p w:rsidR="009E6275" w:rsidRPr="009E6275" w:rsidRDefault="009E6275" w:rsidP="009E6275">
            <w:pPr>
              <w:rPr>
                <w:rFonts w:ascii="Lucida Bright" w:hAnsi="Lucida Bright" w:cs="Calibri"/>
                <w:b/>
                <w:bCs/>
                <w:color w:val="000000"/>
                <w:sz w:val="18"/>
                <w:szCs w:val="18"/>
                <w:lang w:val="es-ES"/>
              </w:rPr>
            </w:pPr>
            <w:r w:rsidRPr="009E6275">
              <w:rPr>
                <w:rFonts w:ascii="Lucida Bright" w:hAnsi="Lucida Bright" w:cs="Calibri"/>
                <w:b/>
                <w:bCs/>
                <w:color w:val="000000"/>
                <w:sz w:val="18"/>
                <w:szCs w:val="18"/>
                <w:lang w:val="es-ES"/>
              </w:rPr>
              <w:t>Saldo a 31/12/2023</w:t>
            </w:r>
          </w:p>
        </w:tc>
        <w:tc>
          <w:tcPr>
            <w:tcW w:w="1516" w:type="dxa"/>
            <w:tcBorders>
              <w:top w:val="nil"/>
              <w:left w:val="nil"/>
              <w:bottom w:val="nil"/>
              <w:right w:val="nil"/>
            </w:tcBorders>
            <w:shd w:val="clear" w:color="auto" w:fill="auto"/>
            <w:noWrap/>
            <w:vAlign w:val="bottom"/>
            <w:hideMark/>
          </w:tcPr>
          <w:p w:rsidR="009E6275" w:rsidRPr="009E6275" w:rsidRDefault="009E6275" w:rsidP="009E6275">
            <w:pPr>
              <w:rPr>
                <w:rFonts w:ascii="Calibri" w:hAnsi="Calibri" w:cs="Calibri"/>
                <w:color w:val="000000"/>
                <w:sz w:val="22"/>
                <w:szCs w:val="22"/>
                <w:lang w:val="es-ES"/>
              </w:rPr>
            </w:pPr>
          </w:p>
        </w:tc>
        <w:tc>
          <w:tcPr>
            <w:tcW w:w="1656" w:type="dxa"/>
            <w:tcBorders>
              <w:top w:val="nil"/>
              <w:left w:val="nil"/>
              <w:bottom w:val="nil"/>
              <w:right w:val="nil"/>
            </w:tcBorders>
            <w:shd w:val="clear" w:color="auto" w:fill="auto"/>
            <w:noWrap/>
            <w:vAlign w:val="bottom"/>
            <w:hideMark/>
          </w:tcPr>
          <w:p w:rsidR="009E6275" w:rsidRPr="009E6275" w:rsidRDefault="009E6275" w:rsidP="009E6275">
            <w:pPr>
              <w:jc w:val="right"/>
              <w:rPr>
                <w:rFonts w:ascii="Lucida Bright" w:hAnsi="Lucida Bright" w:cs="Calibri"/>
                <w:b/>
                <w:bCs/>
                <w:color w:val="000000"/>
                <w:sz w:val="18"/>
                <w:szCs w:val="18"/>
                <w:lang w:val="es-ES"/>
              </w:rPr>
            </w:pPr>
            <w:r w:rsidRPr="009E6275">
              <w:rPr>
                <w:rFonts w:ascii="Lucida Bright" w:hAnsi="Lucida Bright" w:cs="Calibri"/>
                <w:b/>
                <w:bCs/>
                <w:color w:val="000000"/>
                <w:sz w:val="18"/>
                <w:szCs w:val="18"/>
                <w:lang w:val="es-ES"/>
              </w:rPr>
              <w:t xml:space="preserve">732.614,73  </w:t>
            </w:r>
          </w:p>
        </w:tc>
      </w:tr>
      <w:tr w:rsidR="009E6275" w:rsidRPr="009E6275" w:rsidTr="009E6275">
        <w:trPr>
          <w:trHeight w:val="300"/>
        </w:trPr>
        <w:tc>
          <w:tcPr>
            <w:tcW w:w="2856" w:type="dxa"/>
            <w:tcBorders>
              <w:top w:val="nil"/>
              <w:left w:val="nil"/>
              <w:bottom w:val="nil"/>
              <w:right w:val="nil"/>
            </w:tcBorders>
            <w:shd w:val="clear" w:color="auto" w:fill="auto"/>
            <w:noWrap/>
            <w:vAlign w:val="bottom"/>
            <w:hideMark/>
          </w:tcPr>
          <w:p w:rsidR="009E6275" w:rsidRPr="009E6275" w:rsidRDefault="009E6275" w:rsidP="009E6275">
            <w:pPr>
              <w:rPr>
                <w:rFonts w:ascii="Lucida Bright" w:hAnsi="Lucida Bright" w:cs="Calibri"/>
                <w:color w:val="000000"/>
                <w:sz w:val="18"/>
                <w:szCs w:val="18"/>
                <w:lang w:val="es-ES"/>
              </w:rPr>
            </w:pPr>
          </w:p>
        </w:tc>
        <w:tc>
          <w:tcPr>
            <w:tcW w:w="1516" w:type="dxa"/>
            <w:tcBorders>
              <w:top w:val="nil"/>
              <w:left w:val="nil"/>
              <w:bottom w:val="nil"/>
              <w:right w:val="nil"/>
            </w:tcBorders>
            <w:shd w:val="clear" w:color="auto" w:fill="auto"/>
            <w:noWrap/>
            <w:vAlign w:val="bottom"/>
            <w:hideMark/>
          </w:tcPr>
          <w:p w:rsidR="009E6275" w:rsidRPr="009E6275" w:rsidRDefault="009E6275" w:rsidP="009E6275">
            <w:pPr>
              <w:rPr>
                <w:rFonts w:ascii="Calibri" w:hAnsi="Calibri" w:cs="Calibri"/>
                <w:color w:val="000000"/>
                <w:sz w:val="22"/>
                <w:szCs w:val="22"/>
                <w:lang w:val="es-ES"/>
              </w:rPr>
            </w:pPr>
          </w:p>
        </w:tc>
        <w:tc>
          <w:tcPr>
            <w:tcW w:w="1656" w:type="dxa"/>
            <w:tcBorders>
              <w:top w:val="nil"/>
              <w:left w:val="nil"/>
              <w:bottom w:val="nil"/>
              <w:right w:val="nil"/>
            </w:tcBorders>
            <w:shd w:val="clear" w:color="auto" w:fill="auto"/>
            <w:noWrap/>
            <w:vAlign w:val="bottom"/>
            <w:hideMark/>
          </w:tcPr>
          <w:p w:rsidR="009E6275" w:rsidRPr="009E6275" w:rsidRDefault="009E6275" w:rsidP="009E6275">
            <w:pPr>
              <w:rPr>
                <w:rFonts w:ascii="Calibri" w:hAnsi="Calibri" w:cs="Calibri"/>
                <w:color w:val="000000"/>
                <w:sz w:val="22"/>
                <w:szCs w:val="22"/>
                <w:lang w:val="es-ES"/>
              </w:rPr>
            </w:pPr>
          </w:p>
        </w:tc>
      </w:tr>
      <w:tr w:rsidR="009E6275" w:rsidRPr="009E6275" w:rsidTr="009E6275">
        <w:trPr>
          <w:trHeight w:val="300"/>
        </w:trPr>
        <w:tc>
          <w:tcPr>
            <w:tcW w:w="2856" w:type="dxa"/>
            <w:tcBorders>
              <w:top w:val="nil"/>
              <w:left w:val="nil"/>
              <w:bottom w:val="nil"/>
              <w:right w:val="nil"/>
            </w:tcBorders>
            <w:shd w:val="clear" w:color="auto" w:fill="auto"/>
            <w:noWrap/>
            <w:vAlign w:val="bottom"/>
            <w:hideMark/>
          </w:tcPr>
          <w:p w:rsidR="009E6275" w:rsidRPr="009E6275" w:rsidRDefault="009E6275" w:rsidP="009E6275">
            <w:pPr>
              <w:rPr>
                <w:rFonts w:ascii="Lucida Bright" w:hAnsi="Lucida Bright" w:cs="Calibri"/>
                <w:b/>
                <w:bCs/>
                <w:color w:val="000000"/>
                <w:sz w:val="18"/>
                <w:szCs w:val="18"/>
                <w:lang w:val="es-ES"/>
              </w:rPr>
            </w:pPr>
            <w:r w:rsidRPr="009E6275">
              <w:rPr>
                <w:rFonts w:ascii="Lucida Bright" w:hAnsi="Lucida Bright" w:cs="Calibri"/>
                <w:b/>
                <w:bCs/>
                <w:color w:val="000000"/>
                <w:sz w:val="18"/>
                <w:szCs w:val="18"/>
                <w:lang w:val="es-ES"/>
              </w:rPr>
              <w:t>Saldo a 31/12/2021</w:t>
            </w:r>
          </w:p>
        </w:tc>
        <w:tc>
          <w:tcPr>
            <w:tcW w:w="1516" w:type="dxa"/>
            <w:tcBorders>
              <w:top w:val="nil"/>
              <w:left w:val="nil"/>
              <w:bottom w:val="nil"/>
              <w:right w:val="nil"/>
            </w:tcBorders>
            <w:shd w:val="clear" w:color="auto" w:fill="auto"/>
            <w:noWrap/>
            <w:vAlign w:val="bottom"/>
            <w:hideMark/>
          </w:tcPr>
          <w:p w:rsidR="009E6275" w:rsidRPr="009E6275" w:rsidRDefault="009E6275" w:rsidP="009E6275">
            <w:pPr>
              <w:rPr>
                <w:rFonts w:ascii="Calibri" w:hAnsi="Calibri" w:cs="Calibri"/>
                <w:color w:val="000000"/>
                <w:sz w:val="22"/>
                <w:szCs w:val="22"/>
                <w:lang w:val="es-ES"/>
              </w:rPr>
            </w:pPr>
          </w:p>
        </w:tc>
        <w:tc>
          <w:tcPr>
            <w:tcW w:w="1656" w:type="dxa"/>
            <w:tcBorders>
              <w:top w:val="nil"/>
              <w:left w:val="nil"/>
              <w:bottom w:val="nil"/>
              <w:right w:val="nil"/>
            </w:tcBorders>
            <w:shd w:val="clear" w:color="auto" w:fill="auto"/>
            <w:noWrap/>
            <w:vAlign w:val="bottom"/>
            <w:hideMark/>
          </w:tcPr>
          <w:p w:rsidR="009E6275" w:rsidRPr="009E6275" w:rsidRDefault="009E6275" w:rsidP="009E6275">
            <w:pPr>
              <w:jc w:val="right"/>
              <w:rPr>
                <w:rFonts w:ascii="Lucida Bright" w:hAnsi="Lucida Bright" w:cs="Calibri"/>
                <w:b/>
                <w:bCs/>
                <w:color w:val="000000"/>
                <w:sz w:val="18"/>
                <w:szCs w:val="18"/>
                <w:lang w:val="es-ES"/>
              </w:rPr>
            </w:pPr>
            <w:r w:rsidRPr="009E6275">
              <w:rPr>
                <w:rFonts w:ascii="Lucida Bright" w:hAnsi="Lucida Bright" w:cs="Calibri"/>
                <w:b/>
                <w:bCs/>
                <w:color w:val="000000"/>
                <w:sz w:val="18"/>
                <w:szCs w:val="18"/>
                <w:lang w:val="es-ES"/>
              </w:rPr>
              <w:t xml:space="preserve">1.198.822,61  </w:t>
            </w:r>
          </w:p>
        </w:tc>
      </w:tr>
      <w:tr w:rsidR="009E6275" w:rsidRPr="009E6275" w:rsidTr="009E6275">
        <w:trPr>
          <w:trHeight w:val="300"/>
        </w:trPr>
        <w:tc>
          <w:tcPr>
            <w:tcW w:w="2856" w:type="dxa"/>
            <w:tcBorders>
              <w:top w:val="nil"/>
              <w:left w:val="nil"/>
              <w:bottom w:val="nil"/>
              <w:right w:val="nil"/>
            </w:tcBorders>
            <w:shd w:val="clear" w:color="auto" w:fill="auto"/>
            <w:noWrap/>
            <w:vAlign w:val="bottom"/>
            <w:hideMark/>
          </w:tcPr>
          <w:p w:rsidR="009E6275" w:rsidRPr="009E6275" w:rsidRDefault="009E6275" w:rsidP="009E6275">
            <w:pPr>
              <w:rPr>
                <w:rFonts w:ascii="Lucida Bright" w:hAnsi="Lucida Bright" w:cs="Calibri"/>
                <w:color w:val="000000"/>
                <w:sz w:val="18"/>
                <w:szCs w:val="18"/>
                <w:lang w:val="es-ES"/>
              </w:rPr>
            </w:pPr>
            <w:r w:rsidRPr="009E6275">
              <w:rPr>
                <w:rFonts w:ascii="Lucida Bright" w:hAnsi="Lucida Bright" w:cs="Calibri"/>
                <w:color w:val="000000"/>
                <w:sz w:val="18"/>
                <w:szCs w:val="18"/>
                <w:lang w:val="es-ES"/>
              </w:rPr>
              <w:t>(+) Reclasificaciones</w:t>
            </w:r>
          </w:p>
        </w:tc>
        <w:tc>
          <w:tcPr>
            <w:tcW w:w="1516" w:type="dxa"/>
            <w:tcBorders>
              <w:top w:val="nil"/>
              <w:left w:val="nil"/>
              <w:bottom w:val="nil"/>
              <w:right w:val="nil"/>
            </w:tcBorders>
            <w:shd w:val="clear" w:color="auto" w:fill="auto"/>
            <w:noWrap/>
            <w:vAlign w:val="bottom"/>
            <w:hideMark/>
          </w:tcPr>
          <w:p w:rsidR="009E6275" w:rsidRPr="009E6275" w:rsidRDefault="009E6275" w:rsidP="009E6275">
            <w:pPr>
              <w:rPr>
                <w:rFonts w:ascii="Calibri" w:hAnsi="Calibri" w:cs="Calibri"/>
                <w:color w:val="000000"/>
                <w:sz w:val="22"/>
                <w:szCs w:val="22"/>
                <w:lang w:val="es-ES"/>
              </w:rPr>
            </w:pPr>
          </w:p>
        </w:tc>
        <w:tc>
          <w:tcPr>
            <w:tcW w:w="1656" w:type="dxa"/>
            <w:tcBorders>
              <w:top w:val="nil"/>
              <w:left w:val="nil"/>
              <w:bottom w:val="nil"/>
              <w:right w:val="nil"/>
            </w:tcBorders>
            <w:shd w:val="clear" w:color="auto" w:fill="auto"/>
            <w:noWrap/>
            <w:vAlign w:val="bottom"/>
            <w:hideMark/>
          </w:tcPr>
          <w:p w:rsidR="009E6275" w:rsidRPr="009E6275" w:rsidRDefault="009E6275" w:rsidP="009E6275">
            <w:pPr>
              <w:jc w:val="right"/>
              <w:rPr>
                <w:rFonts w:ascii="Lucida Bright" w:hAnsi="Lucida Bright" w:cs="Calibri"/>
                <w:color w:val="000000"/>
                <w:sz w:val="18"/>
                <w:szCs w:val="18"/>
                <w:lang w:val="es-ES"/>
              </w:rPr>
            </w:pPr>
            <w:r w:rsidRPr="009E6275">
              <w:rPr>
                <w:rFonts w:ascii="Lucida Bright" w:hAnsi="Lucida Bright" w:cs="Calibri"/>
                <w:color w:val="000000"/>
                <w:sz w:val="18"/>
                <w:szCs w:val="18"/>
                <w:lang w:val="es-ES"/>
              </w:rPr>
              <w:t xml:space="preserve">119.074,17  </w:t>
            </w:r>
          </w:p>
        </w:tc>
      </w:tr>
      <w:tr w:rsidR="009E6275" w:rsidRPr="009E6275" w:rsidTr="009E6275">
        <w:trPr>
          <w:trHeight w:val="300"/>
        </w:trPr>
        <w:tc>
          <w:tcPr>
            <w:tcW w:w="2856" w:type="dxa"/>
            <w:tcBorders>
              <w:top w:val="nil"/>
              <w:left w:val="nil"/>
              <w:bottom w:val="nil"/>
              <w:right w:val="nil"/>
            </w:tcBorders>
            <w:shd w:val="clear" w:color="auto" w:fill="auto"/>
            <w:noWrap/>
            <w:vAlign w:val="bottom"/>
            <w:hideMark/>
          </w:tcPr>
          <w:p w:rsidR="009E6275" w:rsidRPr="009E6275" w:rsidRDefault="009E6275" w:rsidP="009E6275">
            <w:pPr>
              <w:rPr>
                <w:rFonts w:ascii="Lucida Bright" w:hAnsi="Lucida Bright" w:cs="Calibri"/>
                <w:color w:val="000000"/>
                <w:sz w:val="18"/>
                <w:szCs w:val="18"/>
                <w:lang w:val="es-ES"/>
              </w:rPr>
            </w:pPr>
            <w:r w:rsidRPr="009E6275">
              <w:rPr>
                <w:rFonts w:ascii="Lucida Bright" w:hAnsi="Lucida Bright" w:cs="Calibri"/>
                <w:color w:val="000000"/>
                <w:sz w:val="18"/>
                <w:szCs w:val="18"/>
                <w:lang w:val="es-ES"/>
              </w:rPr>
              <w:t>(-) Amortización del ejercicio</w:t>
            </w:r>
          </w:p>
        </w:tc>
        <w:tc>
          <w:tcPr>
            <w:tcW w:w="1516" w:type="dxa"/>
            <w:tcBorders>
              <w:top w:val="nil"/>
              <w:left w:val="nil"/>
              <w:bottom w:val="nil"/>
              <w:right w:val="nil"/>
            </w:tcBorders>
            <w:shd w:val="clear" w:color="auto" w:fill="auto"/>
            <w:noWrap/>
            <w:vAlign w:val="bottom"/>
            <w:hideMark/>
          </w:tcPr>
          <w:p w:rsidR="009E6275" w:rsidRPr="009E6275" w:rsidRDefault="009E6275" w:rsidP="009E6275">
            <w:pPr>
              <w:rPr>
                <w:rFonts w:ascii="Calibri" w:hAnsi="Calibri" w:cs="Calibri"/>
                <w:color w:val="000000"/>
                <w:sz w:val="22"/>
                <w:szCs w:val="22"/>
                <w:lang w:val="es-ES"/>
              </w:rPr>
            </w:pPr>
          </w:p>
        </w:tc>
        <w:tc>
          <w:tcPr>
            <w:tcW w:w="1656" w:type="dxa"/>
            <w:tcBorders>
              <w:top w:val="nil"/>
              <w:left w:val="nil"/>
              <w:bottom w:val="nil"/>
              <w:right w:val="nil"/>
            </w:tcBorders>
            <w:shd w:val="clear" w:color="auto" w:fill="auto"/>
            <w:noWrap/>
            <w:vAlign w:val="bottom"/>
            <w:hideMark/>
          </w:tcPr>
          <w:p w:rsidR="009E6275" w:rsidRPr="009E6275" w:rsidRDefault="009E6275" w:rsidP="009E6275">
            <w:pPr>
              <w:jc w:val="right"/>
              <w:rPr>
                <w:rFonts w:ascii="Lucida Bright" w:hAnsi="Lucida Bright" w:cs="Calibri"/>
                <w:color w:val="000000"/>
                <w:sz w:val="18"/>
                <w:szCs w:val="18"/>
                <w:lang w:val="es-ES"/>
              </w:rPr>
            </w:pPr>
            <w:r w:rsidRPr="009E6275">
              <w:rPr>
                <w:rFonts w:ascii="Lucida Bright" w:hAnsi="Lucida Bright" w:cs="Calibri"/>
                <w:color w:val="000000"/>
                <w:sz w:val="18"/>
                <w:szCs w:val="18"/>
                <w:lang w:val="es-ES"/>
              </w:rPr>
              <w:t xml:space="preserve">(425.685,45)  </w:t>
            </w:r>
          </w:p>
        </w:tc>
      </w:tr>
      <w:tr w:rsidR="009E6275" w:rsidRPr="009E6275" w:rsidTr="009E6275">
        <w:trPr>
          <w:trHeight w:val="300"/>
        </w:trPr>
        <w:tc>
          <w:tcPr>
            <w:tcW w:w="2856" w:type="dxa"/>
            <w:tcBorders>
              <w:top w:val="nil"/>
              <w:left w:val="nil"/>
              <w:bottom w:val="nil"/>
              <w:right w:val="nil"/>
            </w:tcBorders>
            <w:shd w:val="clear" w:color="auto" w:fill="auto"/>
            <w:noWrap/>
            <w:vAlign w:val="bottom"/>
            <w:hideMark/>
          </w:tcPr>
          <w:p w:rsidR="009E6275" w:rsidRPr="009E6275" w:rsidRDefault="009E6275" w:rsidP="009E6275">
            <w:pPr>
              <w:rPr>
                <w:rFonts w:ascii="Lucida Bright" w:hAnsi="Lucida Bright" w:cs="Calibri"/>
                <w:b/>
                <w:bCs/>
                <w:color w:val="000000"/>
                <w:sz w:val="18"/>
                <w:szCs w:val="18"/>
                <w:lang w:val="es-ES"/>
              </w:rPr>
            </w:pPr>
            <w:r w:rsidRPr="009E6275">
              <w:rPr>
                <w:rFonts w:ascii="Lucida Bright" w:hAnsi="Lucida Bright" w:cs="Calibri"/>
                <w:b/>
                <w:bCs/>
                <w:color w:val="000000"/>
                <w:sz w:val="18"/>
                <w:szCs w:val="18"/>
                <w:lang w:val="es-ES"/>
              </w:rPr>
              <w:t>Saldo a 31/12/2022</w:t>
            </w:r>
          </w:p>
        </w:tc>
        <w:tc>
          <w:tcPr>
            <w:tcW w:w="1516" w:type="dxa"/>
            <w:tcBorders>
              <w:top w:val="nil"/>
              <w:left w:val="nil"/>
              <w:bottom w:val="nil"/>
              <w:right w:val="nil"/>
            </w:tcBorders>
            <w:shd w:val="clear" w:color="auto" w:fill="auto"/>
            <w:noWrap/>
            <w:vAlign w:val="bottom"/>
            <w:hideMark/>
          </w:tcPr>
          <w:p w:rsidR="009E6275" w:rsidRPr="009E6275" w:rsidRDefault="009E6275" w:rsidP="009E6275">
            <w:pPr>
              <w:rPr>
                <w:rFonts w:ascii="Calibri" w:hAnsi="Calibri" w:cs="Calibri"/>
                <w:color w:val="000000"/>
                <w:sz w:val="22"/>
                <w:szCs w:val="22"/>
                <w:lang w:val="es-ES"/>
              </w:rPr>
            </w:pPr>
          </w:p>
        </w:tc>
        <w:tc>
          <w:tcPr>
            <w:tcW w:w="1656" w:type="dxa"/>
            <w:tcBorders>
              <w:top w:val="nil"/>
              <w:left w:val="nil"/>
              <w:bottom w:val="nil"/>
              <w:right w:val="nil"/>
            </w:tcBorders>
            <w:shd w:val="clear" w:color="auto" w:fill="auto"/>
            <w:noWrap/>
            <w:vAlign w:val="bottom"/>
            <w:hideMark/>
          </w:tcPr>
          <w:p w:rsidR="009E6275" w:rsidRPr="009E6275" w:rsidRDefault="009E6275" w:rsidP="009E6275">
            <w:pPr>
              <w:jc w:val="right"/>
              <w:rPr>
                <w:rFonts w:ascii="Lucida Bright" w:hAnsi="Lucida Bright" w:cs="Calibri"/>
                <w:b/>
                <w:bCs/>
                <w:color w:val="000000"/>
                <w:sz w:val="18"/>
                <w:szCs w:val="18"/>
                <w:lang w:val="es-ES"/>
              </w:rPr>
            </w:pPr>
            <w:r w:rsidRPr="009E6275">
              <w:rPr>
                <w:rFonts w:ascii="Lucida Bright" w:hAnsi="Lucida Bright" w:cs="Calibri"/>
                <w:b/>
                <w:bCs/>
                <w:color w:val="000000"/>
                <w:sz w:val="18"/>
                <w:szCs w:val="18"/>
                <w:lang w:val="es-ES"/>
              </w:rPr>
              <w:t xml:space="preserve">892.211,33  </w:t>
            </w:r>
          </w:p>
        </w:tc>
      </w:tr>
    </w:tbl>
    <w:p w:rsidR="006574F8" w:rsidRPr="009B0DDE" w:rsidRDefault="006574F8" w:rsidP="003E055E">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p>
    <w:p w:rsidR="00CF6C70" w:rsidRPr="003E004A" w:rsidRDefault="00CF6C70" w:rsidP="003E055E">
      <w:pPr>
        <w:pStyle w:val="Sangradetextonormal"/>
        <w:tabs>
          <w:tab w:val="clear" w:pos="8364"/>
          <w:tab w:val="center" w:pos="5671"/>
          <w:tab w:val="center" w:pos="7797"/>
        </w:tabs>
        <w:overflowPunct/>
        <w:autoSpaceDE/>
        <w:autoSpaceDN/>
        <w:adjustRightInd/>
        <w:textAlignment w:val="auto"/>
        <w:rPr>
          <w:sz w:val="20"/>
        </w:rPr>
      </w:pPr>
    </w:p>
    <w:p w:rsidR="00FD1B8E" w:rsidRDefault="00FD1B8E" w:rsidP="003E055E">
      <w:pPr>
        <w:tabs>
          <w:tab w:val="left" w:pos="4395"/>
        </w:tabs>
        <w:ind w:left="709" w:hanging="142"/>
        <w:jc w:val="both"/>
        <w:rPr>
          <w:b/>
          <w:color w:val="FF0000"/>
          <w:sz w:val="24"/>
        </w:rPr>
      </w:pPr>
    </w:p>
    <w:p w:rsidR="00E928C6" w:rsidRDefault="00E521C2" w:rsidP="003E055E">
      <w:pPr>
        <w:pStyle w:val="Sangradetextonormal"/>
        <w:tabs>
          <w:tab w:val="clear" w:pos="8364"/>
          <w:tab w:val="center" w:pos="5671"/>
          <w:tab w:val="center" w:pos="7797"/>
        </w:tabs>
        <w:overflowPunct/>
        <w:autoSpaceDE/>
        <w:autoSpaceDN/>
        <w:adjustRightInd/>
        <w:textAlignment w:val="auto"/>
        <w:rPr>
          <w:rFonts w:ascii="NewBaskerville" w:hAnsi="NewBaskerville"/>
          <w:bCs/>
          <w:sz w:val="20"/>
        </w:rPr>
      </w:pPr>
      <w:r>
        <w:rPr>
          <w:rFonts w:ascii="NewBaskerville" w:hAnsi="NewBaskerville"/>
          <w:bCs/>
          <w:sz w:val="20"/>
        </w:rPr>
        <w:t xml:space="preserve">En el ejercicio 2023 se han dado de baja por </w:t>
      </w:r>
      <w:r w:rsidR="00DD448C">
        <w:rPr>
          <w:rFonts w:ascii="NewBaskerville" w:hAnsi="NewBaskerville"/>
          <w:bCs/>
          <w:sz w:val="20"/>
        </w:rPr>
        <w:t>obsolescencia</w:t>
      </w:r>
      <w:r>
        <w:rPr>
          <w:rFonts w:ascii="NewBaskerville" w:hAnsi="NewBaskerville"/>
          <w:bCs/>
          <w:sz w:val="20"/>
        </w:rPr>
        <w:t xml:space="preserve"> y fuera de uso aplicaciones informáticas totalmente amortizadas, cuyo precio de adquisición y amortización acumulada ascendían a 2.054.486,07 euros.</w:t>
      </w:r>
    </w:p>
    <w:p w:rsidR="00E521C2" w:rsidRDefault="00E521C2" w:rsidP="003E055E">
      <w:pPr>
        <w:pStyle w:val="Sangradetextonormal"/>
        <w:tabs>
          <w:tab w:val="clear" w:pos="8364"/>
          <w:tab w:val="center" w:pos="5671"/>
          <w:tab w:val="center" w:pos="7797"/>
        </w:tabs>
        <w:overflowPunct/>
        <w:autoSpaceDE/>
        <w:autoSpaceDN/>
        <w:adjustRightInd/>
        <w:textAlignment w:val="auto"/>
        <w:rPr>
          <w:rFonts w:ascii="NewBaskerville" w:hAnsi="NewBaskerville"/>
          <w:bCs/>
          <w:sz w:val="20"/>
        </w:rPr>
      </w:pPr>
    </w:p>
    <w:p w:rsidR="00381A73" w:rsidRPr="008D6C60" w:rsidRDefault="002C4355" w:rsidP="003E055E">
      <w:pPr>
        <w:pStyle w:val="Sangradetextonormal"/>
        <w:tabs>
          <w:tab w:val="clear" w:pos="8364"/>
          <w:tab w:val="center" w:pos="5671"/>
          <w:tab w:val="center" w:pos="7797"/>
        </w:tabs>
        <w:overflowPunct/>
        <w:autoSpaceDE/>
        <w:autoSpaceDN/>
        <w:adjustRightInd/>
        <w:textAlignment w:val="auto"/>
        <w:rPr>
          <w:rFonts w:ascii="NewBaskerville" w:hAnsi="NewBaskerville"/>
          <w:sz w:val="20"/>
        </w:rPr>
      </w:pPr>
      <w:r w:rsidRPr="008D6C60">
        <w:rPr>
          <w:rFonts w:ascii="NewBaskerville" w:hAnsi="NewBaskerville"/>
          <w:sz w:val="20"/>
        </w:rPr>
        <w:t>Existen bienes totalm</w:t>
      </w:r>
      <w:r w:rsidR="00160B53" w:rsidRPr="008D6C60">
        <w:rPr>
          <w:rFonts w:ascii="NewBaskerville" w:hAnsi="NewBaskerville"/>
          <w:sz w:val="20"/>
        </w:rPr>
        <w:t xml:space="preserve">ente amortizados por importe de </w:t>
      </w:r>
      <w:r w:rsidR="00E521C2">
        <w:rPr>
          <w:rFonts w:ascii="NewBaskerville" w:hAnsi="NewBaskerville"/>
          <w:sz w:val="20"/>
        </w:rPr>
        <w:t>1</w:t>
      </w:r>
      <w:r w:rsidR="00321ECE" w:rsidRPr="008D6C60">
        <w:rPr>
          <w:rFonts w:ascii="NewBaskerville" w:hAnsi="NewBaskerville"/>
          <w:sz w:val="20"/>
        </w:rPr>
        <w:t>.</w:t>
      </w:r>
      <w:r w:rsidR="00E521C2">
        <w:rPr>
          <w:rFonts w:ascii="NewBaskerville" w:hAnsi="NewBaskerville"/>
          <w:sz w:val="20"/>
        </w:rPr>
        <w:t>482</w:t>
      </w:r>
      <w:r w:rsidR="00321ECE" w:rsidRPr="008D6C60">
        <w:rPr>
          <w:rFonts w:ascii="NewBaskerville" w:hAnsi="NewBaskerville"/>
          <w:sz w:val="20"/>
        </w:rPr>
        <w:t>.</w:t>
      </w:r>
      <w:r w:rsidR="00E521C2">
        <w:rPr>
          <w:rFonts w:ascii="NewBaskerville" w:hAnsi="NewBaskerville"/>
          <w:sz w:val="20"/>
        </w:rPr>
        <w:t>641</w:t>
      </w:r>
      <w:r w:rsidR="00321ECE" w:rsidRPr="008D6C60">
        <w:rPr>
          <w:rFonts w:ascii="NewBaskerville" w:hAnsi="NewBaskerville"/>
          <w:sz w:val="20"/>
        </w:rPr>
        <w:t>,</w:t>
      </w:r>
      <w:r w:rsidR="00E521C2">
        <w:rPr>
          <w:rFonts w:ascii="NewBaskerville" w:hAnsi="NewBaskerville"/>
          <w:sz w:val="20"/>
        </w:rPr>
        <w:t>81</w:t>
      </w:r>
      <w:r w:rsidR="00321ECE" w:rsidRPr="008D6C60">
        <w:rPr>
          <w:rFonts w:ascii="NewBaskerville" w:hAnsi="NewBaskerville"/>
          <w:sz w:val="20"/>
        </w:rPr>
        <w:t xml:space="preserve"> </w:t>
      </w:r>
      <w:r w:rsidRPr="008D6C60">
        <w:rPr>
          <w:rFonts w:ascii="NewBaskerville" w:hAnsi="NewBaskerville"/>
          <w:sz w:val="20"/>
        </w:rPr>
        <w:t xml:space="preserve">euros. El ejercicio anterior los bienes totalmente amortizados ascendían a un total de </w:t>
      </w:r>
      <w:r w:rsidR="00321ECE" w:rsidRPr="008D6C60">
        <w:rPr>
          <w:rFonts w:ascii="NewBaskerville" w:hAnsi="NewBaskerville"/>
          <w:sz w:val="20"/>
        </w:rPr>
        <w:t>2.</w:t>
      </w:r>
      <w:r w:rsidR="00E521C2">
        <w:rPr>
          <w:rFonts w:ascii="NewBaskerville" w:hAnsi="NewBaskerville"/>
          <w:sz w:val="20"/>
        </w:rPr>
        <w:t>962</w:t>
      </w:r>
      <w:r w:rsidR="00321ECE" w:rsidRPr="008D6C60">
        <w:rPr>
          <w:rFonts w:ascii="NewBaskerville" w:hAnsi="NewBaskerville"/>
          <w:sz w:val="20"/>
        </w:rPr>
        <w:t>.</w:t>
      </w:r>
      <w:r w:rsidR="00E521C2">
        <w:rPr>
          <w:rFonts w:ascii="NewBaskerville" w:hAnsi="NewBaskerville"/>
          <w:sz w:val="20"/>
        </w:rPr>
        <w:t>311</w:t>
      </w:r>
      <w:r w:rsidR="00321ECE" w:rsidRPr="008D6C60">
        <w:rPr>
          <w:rFonts w:ascii="NewBaskerville" w:hAnsi="NewBaskerville"/>
          <w:sz w:val="20"/>
        </w:rPr>
        <w:t>,</w:t>
      </w:r>
      <w:r w:rsidR="00E521C2">
        <w:rPr>
          <w:rFonts w:ascii="NewBaskerville" w:hAnsi="NewBaskerville"/>
          <w:sz w:val="20"/>
        </w:rPr>
        <w:t>1</w:t>
      </w:r>
      <w:r w:rsidR="00321ECE" w:rsidRPr="008D6C60">
        <w:rPr>
          <w:rFonts w:ascii="NewBaskerville" w:hAnsi="NewBaskerville"/>
          <w:sz w:val="20"/>
        </w:rPr>
        <w:t xml:space="preserve">2 </w:t>
      </w:r>
      <w:r w:rsidR="00ED0577" w:rsidRPr="008D6C60">
        <w:rPr>
          <w:rFonts w:ascii="NewBaskerville" w:hAnsi="NewBaskerville"/>
          <w:sz w:val="20"/>
        </w:rPr>
        <w:t>euros</w:t>
      </w:r>
      <w:r w:rsidRPr="008D6C60">
        <w:rPr>
          <w:rFonts w:ascii="NewBaskerville" w:hAnsi="NewBaskerville"/>
          <w:sz w:val="20"/>
        </w:rPr>
        <w:t>.</w:t>
      </w:r>
    </w:p>
    <w:p w:rsidR="00462BE1" w:rsidRPr="003E004A" w:rsidRDefault="00462BE1" w:rsidP="003E055E">
      <w:pPr>
        <w:pStyle w:val="Sangradetextonormal"/>
        <w:tabs>
          <w:tab w:val="clear" w:pos="8364"/>
          <w:tab w:val="center" w:pos="5671"/>
          <w:tab w:val="center" w:pos="7797"/>
        </w:tabs>
        <w:overflowPunct/>
        <w:autoSpaceDE/>
        <w:autoSpaceDN/>
        <w:adjustRightInd/>
        <w:textAlignment w:val="auto"/>
        <w:rPr>
          <w:sz w:val="20"/>
        </w:rPr>
      </w:pPr>
    </w:p>
    <w:p w:rsidR="002C4355" w:rsidRDefault="005B6067" w:rsidP="00B607D8">
      <w:pPr>
        <w:tabs>
          <w:tab w:val="left" w:leader="dot" w:pos="4395"/>
        </w:tabs>
        <w:ind w:firstLine="709"/>
        <w:jc w:val="both"/>
        <w:rPr>
          <w:rFonts w:ascii="NewBaskerville" w:hAnsi="NewBaskerville"/>
          <w:bCs/>
          <w:color w:val="FF0000"/>
        </w:rPr>
      </w:pPr>
      <w:r w:rsidRPr="008D6C60">
        <w:rPr>
          <w:rFonts w:ascii="NewBaskerville" w:hAnsi="NewBaskerville"/>
          <w:bCs/>
        </w:rPr>
        <w:t>A 31 de diciembre del 2</w:t>
      </w:r>
      <w:r w:rsidR="00321ECE" w:rsidRPr="008D6C60">
        <w:rPr>
          <w:rFonts w:ascii="NewBaskerville" w:hAnsi="NewBaskerville"/>
          <w:bCs/>
        </w:rPr>
        <w:t>02</w:t>
      </w:r>
      <w:r w:rsidR="00E928C6">
        <w:rPr>
          <w:rFonts w:ascii="NewBaskerville" w:hAnsi="NewBaskerville"/>
          <w:bCs/>
        </w:rPr>
        <w:t>3</w:t>
      </w:r>
      <w:r w:rsidR="00321ECE" w:rsidRPr="008D6C60">
        <w:rPr>
          <w:rFonts w:ascii="NewBaskerville" w:hAnsi="NewBaskerville"/>
          <w:bCs/>
        </w:rPr>
        <w:t xml:space="preserve"> y 202</w:t>
      </w:r>
      <w:r w:rsidR="00E928C6">
        <w:rPr>
          <w:rFonts w:ascii="NewBaskerville" w:hAnsi="NewBaskerville"/>
          <w:bCs/>
        </w:rPr>
        <w:t>2</w:t>
      </w:r>
      <w:r w:rsidR="00FD65D8" w:rsidRPr="008D6C60">
        <w:rPr>
          <w:rFonts w:ascii="NewBaskerville" w:hAnsi="NewBaskerville"/>
          <w:bCs/>
        </w:rPr>
        <w:t xml:space="preserve"> no existen </w:t>
      </w:r>
      <w:r w:rsidR="00764B1E" w:rsidRPr="008D6C60">
        <w:rPr>
          <w:rFonts w:ascii="NewBaskerville" w:hAnsi="NewBaskerville"/>
          <w:bCs/>
        </w:rPr>
        <w:t>i</w:t>
      </w:r>
      <w:r w:rsidR="00FD65D8" w:rsidRPr="008D6C60">
        <w:rPr>
          <w:rFonts w:ascii="NewBaskerville" w:hAnsi="NewBaskerville"/>
          <w:bCs/>
        </w:rPr>
        <w:t>ndicios de deteri</w:t>
      </w:r>
      <w:r w:rsidR="00B607D8" w:rsidRPr="008D6C60">
        <w:rPr>
          <w:rFonts w:ascii="NewBaskerville" w:hAnsi="NewBaskerville"/>
          <w:bCs/>
        </w:rPr>
        <w:t>oro de inmovilizado intangible</w:t>
      </w:r>
      <w:r w:rsidR="00B607D8" w:rsidRPr="008D6C60">
        <w:rPr>
          <w:rFonts w:ascii="NewBaskerville" w:hAnsi="NewBaskerville"/>
          <w:bCs/>
          <w:color w:val="FF0000"/>
        </w:rPr>
        <w:t>.</w:t>
      </w:r>
    </w:p>
    <w:p w:rsidR="008D6C60" w:rsidRDefault="008D6C60" w:rsidP="00B607D8">
      <w:pPr>
        <w:tabs>
          <w:tab w:val="left" w:leader="dot" w:pos="4395"/>
        </w:tabs>
        <w:ind w:firstLine="709"/>
        <w:jc w:val="both"/>
        <w:rPr>
          <w:rFonts w:ascii="NewBaskerville" w:hAnsi="NewBaskerville"/>
          <w:bCs/>
          <w:color w:val="FF0000"/>
        </w:rPr>
      </w:pPr>
    </w:p>
    <w:p w:rsidR="008D6C60" w:rsidRDefault="008D6C60" w:rsidP="00B607D8">
      <w:pPr>
        <w:tabs>
          <w:tab w:val="left" w:leader="dot" w:pos="4395"/>
        </w:tabs>
        <w:ind w:firstLine="709"/>
        <w:jc w:val="both"/>
        <w:rPr>
          <w:rFonts w:ascii="NewBaskerville" w:hAnsi="NewBaskerville"/>
          <w:bCs/>
        </w:rPr>
      </w:pPr>
      <w:r>
        <w:rPr>
          <w:rFonts w:ascii="NewBaskerville" w:hAnsi="NewBaskerville"/>
          <w:bCs/>
        </w:rPr>
        <w:t>Los cuadros de movimientos del inmovilizado intangible durante los ejercicios 202</w:t>
      </w:r>
      <w:r w:rsidR="00F93CE1">
        <w:rPr>
          <w:rFonts w:ascii="NewBaskerville" w:hAnsi="NewBaskerville"/>
          <w:bCs/>
        </w:rPr>
        <w:t>3</w:t>
      </w:r>
      <w:r>
        <w:rPr>
          <w:rFonts w:ascii="NewBaskerville" w:hAnsi="NewBaskerville"/>
          <w:bCs/>
        </w:rPr>
        <w:t xml:space="preserve"> y 202</w:t>
      </w:r>
      <w:r w:rsidR="00F93CE1">
        <w:rPr>
          <w:rFonts w:ascii="NewBaskerville" w:hAnsi="NewBaskerville"/>
          <w:bCs/>
        </w:rPr>
        <w:t>2</w:t>
      </w:r>
      <w:r>
        <w:rPr>
          <w:rFonts w:ascii="NewBaskerville" w:hAnsi="NewBaskerville"/>
          <w:bCs/>
        </w:rPr>
        <w:t>, así como el de su amortización, vienen detallados en los cuadros adjuntos desglosados por cada epígrafe. Las altas del inmovilizado intangible proceden de reclasificaciones de inmovilizado en curso.</w:t>
      </w:r>
    </w:p>
    <w:p w:rsidR="00F93CE1" w:rsidRDefault="00F93CE1" w:rsidP="00B607D8">
      <w:pPr>
        <w:tabs>
          <w:tab w:val="left" w:leader="dot" w:pos="4395"/>
        </w:tabs>
        <w:ind w:firstLine="709"/>
        <w:jc w:val="both"/>
        <w:rPr>
          <w:rFonts w:ascii="NewBaskerville" w:hAnsi="NewBaskerville"/>
          <w:bCs/>
        </w:rPr>
      </w:pPr>
    </w:p>
    <w:p w:rsidR="00F93CE1" w:rsidRDefault="00F93CE1" w:rsidP="00B607D8">
      <w:pPr>
        <w:tabs>
          <w:tab w:val="left" w:leader="dot" w:pos="4395"/>
        </w:tabs>
        <w:ind w:firstLine="709"/>
        <w:jc w:val="both"/>
        <w:rPr>
          <w:rFonts w:ascii="NewBaskerville" w:hAnsi="NewBaskerville"/>
          <w:bCs/>
        </w:rPr>
      </w:pPr>
    </w:p>
    <w:tbl>
      <w:tblPr>
        <w:tblW w:w="5000" w:type="pct"/>
        <w:tblCellMar>
          <w:left w:w="70" w:type="dxa"/>
          <w:right w:w="70" w:type="dxa"/>
        </w:tblCellMar>
        <w:tblLook w:val="04A0" w:firstRow="1" w:lastRow="0" w:firstColumn="1" w:lastColumn="0" w:noHBand="0" w:noVBand="1"/>
      </w:tblPr>
      <w:tblGrid>
        <w:gridCol w:w="1393"/>
        <w:gridCol w:w="1451"/>
        <w:gridCol w:w="1450"/>
        <w:gridCol w:w="1450"/>
        <w:gridCol w:w="1450"/>
        <w:gridCol w:w="1450"/>
      </w:tblGrid>
      <w:tr w:rsidR="008D6125" w:rsidRPr="008D6125" w:rsidTr="008D6125">
        <w:trPr>
          <w:trHeight w:val="555"/>
        </w:trPr>
        <w:tc>
          <w:tcPr>
            <w:tcW w:w="805" w:type="pct"/>
            <w:tcBorders>
              <w:top w:val="single" w:sz="8" w:space="0" w:color="auto"/>
              <w:left w:val="single" w:sz="8" w:space="0" w:color="auto"/>
              <w:bottom w:val="single" w:sz="8" w:space="0" w:color="auto"/>
              <w:right w:val="single" w:sz="8" w:space="0" w:color="auto"/>
            </w:tcBorders>
            <w:shd w:val="clear" w:color="000000" w:fill="CCFFCC"/>
            <w:vAlign w:val="center"/>
            <w:hideMark/>
          </w:tcPr>
          <w:p w:rsidR="008D6125" w:rsidRPr="008D6125" w:rsidRDefault="008D6125" w:rsidP="008D6125">
            <w:pPr>
              <w:jc w:val="cente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INMOVILIZADO INTANGIBLE</w:t>
            </w:r>
          </w:p>
        </w:tc>
        <w:tc>
          <w:tcPr>
            <w:tcW w:w="839" w:type="pct"/>
            <w:tcBorders>
              <w:top w:val="single" w:sz="8" w:space="0" w:color="auto"/>
              <w:left w:val="nil"/>
              <w:bottom w:val="single" w:sz="8" w:space="0" w:color="auto"/>
              <w:right w:val="single" w:sz="8" w:space="0" w:color="auto"/>
            </w:tcBorders>
            <w:shd w:val="clear" w:color="000000" w:fill="CCFFCC"/>
            <w:vAlign w:val="center"/>
            <w:hideMark/>
          </w:tcPr>
          <w:p w:rsidR="008D6125" w:rsidRPr="008D6125" w:rsidRDefault="008D6125" w:rsidP="008D6125">
            <w:pPr>
              <w:jc w:val="cente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Saldo a</w:t>
            </w:r>
            <w:r w:rsidRPr="008D6125">
              <w:rPr>
                <w:rFonts w:ascii="Lucida Bright" w:hAnsi="Lucida Bright" w:cs="Calibri"/>
                <w:b/>
                <w:bCs/>
                <w:color w:val="000000"/>
                <w:sz w:val="14"/>
                <w:szCs w:val="14"/>
                <w:lang w:val="es-ES"/>
              </w:rPr>
              <w:br/>
              <w:t>31-12-22</w:t>
            </w:r>
          </w:p>
        </w:tc>
        <w:tc>
          <w:tcPr>
            <w:tcW w:w="839" w:type="pct"/>
            <w:tcBorders>
              <w:top w:val="single" w:sz="8" w:space="0" w:color="auto"/>
              <w:left w:val="nil"/>
              <w:bottom w:val="single" w:sz="8" w:space="0" w:color="auto"/>
              <w:right w:val="single" w:sz="8" w:space="0" w:color="auto"/>
            </w:tcBorders>
            <w:shd w:val="clear" w:color="000000" w:fill="CCFFCC"/>
            <w:vAlign w:val="center"/>
            <w:hideMark/>
          </w:tcPr>
          <w:p w:rsidR="008D6125" w:rsidRPr="008D6125" w:rsidRDefault="008D6125" w:rsidP="008D6125">
            <w:pPr>
              <w:jc w:val="cente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Adquisiciones</w:t>
            </w:r>
            <w:r w:rsidRPr="008D6125">
              <w:rPr>
                <w:rFonts w:ascii="Lucida Bright" w:hAnsi="Lucida Bright" w:cs="Calibri"/>
                <w:b/>
                <w:bCs/>
                <w:color w:val="000000"/>
                <w:sz w:val="14"/>
                <w:szCs w:val="14"/>
                <w:lang w:val="es-ES"/>
              </w:rPr>
              <w:br/>
              <w:t>(+)</w:t>
            </w:r>
          </w:p>
        </w:tc>
        <w:tc>
          <w:tcPr>
            <w:tcW w:w="839" w:type="pct"/>
            <w:tcBorders>
              <w:top w:val="single" w:sz="8" w:space="0" w:color="auto"/>
              <w:left w:val="nil"/>
              <w:bottom w:val="single" w:sz="8" w:space="0" w:color="auto"/>
              <w:right w:val="single" w:sz="8" w:space="0" w:color="auto"/>
            </w:tcBorders>
            <w:shd w:val="clear" w:color="000000" w:fill="CCFFCC"/>
            <w:vAlign w:val="center"/>
            <w:hideMark/>
          </w:tcPr>
          <w:p w:rsidR="008D6125" w:rsidRPr="008D6125" w:rsidRDefault="008D6125" w:rsidP="008D6125">
            <w:pPr>
              <w:jc w:val="cente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Ventas, retiros</w:t>
            </w:r>
            <w:r w:rsidRPr="008D6125">
              <w:rPr>
                <w:rFonts w:ascii="Lucida Bright" w:hAnsi="Lucida Bright" w:cs="Calibri"/>
                <w:b/>
                <w:bCs/>
                <w:color w:val="000000"/>
                <w:sz w:val="14"/>
                <w:szCs w:val="14"/>
                <w:lang w:val="es-ES"/>
              </w:rPr>
              <w:br/>
              <w:t>y bajas</w:t>
            </w:r>
            <w:r w:rsidRPr="008D6125">
              <w:rPr>
                <w:rFonts w:ascii="Lucida Bright" w:hAnsi="Lucida Bright" w:cs="Calibri"/>
                <w:b/>
                <w:bCs/>
                <w:color w:val="000000"/>
                <w:sz w:val="14"/>
                <w:szCs w:val="14"/>
                <w:lang w:val="es-ES"/>
              </w:rPr>
              <w:br/>
              <w:t>(-)</w:t>
            </w:r>
          </w:p>
        </w:tc>
        <w:tc>
          <w:tcPr>
            <w:tcW w:w="839" w:type="pct"/>
            <w:tcBorders>
              <w:top w:val="single" w:sz="8" w:space="0" w:color="auto"/>
              <w:left w:val="nil"/>
              <w:bottom w:val="single" w:sz="8" w:space="0" w:color="auto"/>
              <w:right w:val="single" w:sz="8" w:space="0" w:color="auto"/>
            </w:tcBorders>
            <w:shd w:val="clear" w:color="000000" w:fill="CCFFCC"/>
            <w:vAlign w:val="center"/>
            <w:hideMark/>
          </w:tcPr>
          <w:p w:rsidR="008D6125" w:rsidRPr="008D6125" w:rsidRDefault="008D6125" w:rsidP="008D6125">
            <w:pPr>
              <w:jc w:val="cente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Reclasificaciones</w:t>
            </w:r>
            <w:r w:rsidRPr="008D6125">
              <w:rPr>
                <w:rFonts w:ascii="Lucida Bright" w:hAnsi="Lucida Bright" w:cs="Calibri"/>
                <w:b/>
                <w:bCs/>
                <w:color w:val="000000"/>
                <w:sz w:val="14"/>
                <w:szCs w:val="14"/>
                <w:lang w:val="es-ES"/>
              </w:rPr>
              <w:br/>
              <w:t>(+/-)</w:t>
            </w:r>
          </w:p>
        </w:tc>
        <w:tc>
          <w:tcPr>
            <w:tcW w:w="839" w:type="pct"/>
            <w:tcBorders>
              <w:top w:val="single" w:sz="8" w:space="0" w:color="auto"/>
              <w:left w:val="nil"/>
              <w:bottom w:val="single" w:sz="8" w:space="0" w:color="auto"/>
              <w:right w:val="single" w:sz="8" w:space="0" w:color="auto"/>
            </w:tcBorders>
            <w:shd w:val="clear" w:color="000000" w:fill="CCFFCC"/>
            <w:vAlign w:val="center"/>
            <w:hideMark/>
          </w:tcPr>
          <w:p w:rsidR="008D6125" w:rsidRPr="008D6125" w:rsidRDefault="008D6125" w:rsidP="008D6125">
            <w:pPr>
              <w:jc w:val="cente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Saldo a</w:t>
            </w:r>
            <w:r w:rsidRPr="008D6125">
              <w:rPr>
                <w:rFonts w:ascii="Lucida Bright" w:hAnsi="Lucida Bright" w:cs="Calibri"/>
                <w:b/>
                <w:bCs/>
                <w:color w:val="000000"/>
                <w:sz w:val="14"/>
                <w:szCs w:val="14"/>
                <w:lang w:val="es-ES"/>
              </w:rPr>
              <w:br/>
              <w:t>31-12-23</w:t>
            </w:r>
          </w:p>
        </w:tc>
      </w:tr>
      <w:tr w:rsidR="008D6125" w:rsidRPr="008D6125" w:rsidTr="008D6125">
        <w:trPr>
          <w:trHeight w:val="390"/>
        </w:trPr>
        <w:tc>
          <w:tcPr>
            <w:tcW w:w="805" w:type="pct"/>
            <w:tcBorders>
              <w:top w:val="nil"/>
              <w:left w:val="single" w:sz="8" w:space="0" w:color="auto"/>
              <w:bottom w:val="single" w:sz="4" w:space="0" w:color="auto"/>
              <w:right w:val="single" w:sz="4" w:space="0" w:color="auto"/>
            </w:tcBorders>
            <w:shd w:val="clear" w:color="auto" w:fill="auto"/>
            <w:vAlign w:val="center"/>
            <w:hideMark/>
          </w:tcPr>
          <w:p w:rsidR="008D6125" w:rsidRPr="008D6125" w:rsidRDefault="008D6125" w:rsidP="008D6125">
            <w:pPr>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 xml:space="preserve"> Propiedad industrial</w:t>
            </w:r>
          </w:p>
        </w:tc>
        <w:tc>
          <w:tcPr>
            <w:tcW w:w="839"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15.000,00</w:t>
            </w:r>
          </w:p>
        </w:tc>
        <w:tc>
          <w:tcPr>
            <w:tcW w:w="839" w:type="pct"/>
            <w:tcBorders>
              <w:top w:val="single" w:sz="8"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0,00</w:t>
            </w:r>
          </w:p>
        </w:tc>
        <w:tc>
          <w:tcPr>
            <w:tcW w:w="839" w:type="pct"/>
            <w:tcBorders>
              <w:top w:val="single" w:sz="8"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0,00</w:t>
            </w:r>
          </w:p>
        </w:tc>
        <w:tc>
          <w:tcPr>
            <w:tcW w:w="839" w:type="pct"/>
            <w:tcBorders>
              <w:top w:val="single" w:sz="8"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0,00</w:t>
            </w:r>
          </w:p>
        </w:tc>
        <w:tc>
          <w:tcPr>
            <w:tcW w:w="839" w:type="pct"/>
            <w:tcBorders>
              <w:top w:val="nil"/>
              <w:left w:val="single" w:sz="4" w:space="0" w:color="auto"/>
              <w:bottom w:val="nil"/>
              <w:right w:val="single" w:sz="8"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15.000,00</w:t>
            </w:r>
          </w:p>
        </w:tc>
      </w:tr>
      <w:tr w:rsidR="008D6125" w:rsidRPr="008D6125" w:rsidTr="008D6125">
        <w:trPr>
          <w:trHeight w:val="390"/>
        </w:trPr>
        <w:tc>
          <w:tcPr>
            <w:tcW w:w="805" w:type="pct"/>
            <w:tcBorders>
              <w:top w:val="nil"/>
              <w:left w:val="single" w:sz="8" w:space="0" w:color="auto"/>
              <w:bottom w:val="nil"/>
              <w:right w:val="single" w:sz="4" w:space="0" w:color="auto"/>
            </w:tcBorders>
            <w:shd w:val="clear" w:color="auto" w:fill="auto"/>
            <w:vAlign w:val="center"/>
            <w:hideMark/>
          </w:tcPr>
          <w:p w:rsidR="008D6125" w:rsidRPr="008D6125" w:rsidRDefault="008D6125" w:rsidP="008D6125">
            <w:pPr>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 xml:space="preserve"> Aplicaciones informáticas</w:t>
            </w:r>
          </w:p>
        </w:tc>
        <w:tc>
          <w:tcPr>
            <w:tcW w:w="839" w:type="pct"/>
            <w:tcBorders>
              <w:top w:val="single" w:sz="4"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4.787.158,25</w:t>
            </w:r>
          </w:p>
        </w:tc>
        <w:tc>
          <w:tcPr>
            <w:tcW w:w="839" w:type="pct"/>
            <w:tcBorders>
              <w:top w:val="single" w:sz="4"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0,00</w:t>
            </w:r>
          </w:p>
        </w:tc>
        <w:tc>
          <w:tcPr>
            <w:tcW w:w="839" w:type="pct"/>
            <w:tcBorders>
              <w:top w:val="single" w:sz="4"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 xml:space="preserve">(2.054.486,07)  </w:t>
            </w:r>
          </w:p>
        </w:tc>
        <w:tc>
          <w:tcPr>
            <w:tcW w:w="839" w:type="pct"/>
            <w:tcBorders>
              <w:top w:val="single" w:sz="4"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359.951,77</w:t>
            </w:r>
          </w:p>
        </w:tc>
        <w:tc>
          <w:tcPr>
            <w:tcW w:w="839"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3.092.623,95</w:t>
            </w:r>
          </w:p>
        </w:tc>
      </w:tr>
      <w:tr w:rsidR="008D6125" w:rsidRPr="008D6125" w:rsidTr="008D6125">
        <w:trPr>
          <w:trHeight w:val="390"/>
        </w:trPr>
        <w:tc>
          <w:tcPr>
            <w:tcW w:w="805" w:type="pct"/>
            <w:tcBorders>
              <w:top w:val="single" w:sz="4" w:space="0" w:color="auto"/>
              <w:left w:val="single" w:sz="8" w:space="0" w:color="auto"/>
              <w:bottom w:val="single" w:sz="8" w:space="0" w:color="auto"/>
              <w:right w:val="single" w:sz="4" w:space="0" w:color="auto"/>
            </w:tcBorders>
            <w:shd w:val="clear" w:color="auto" w:fill="auto"/>
            <w:noWrap/>
            <w:vAlign w:val="bottom"/>
            <w:hideMark/>
          </w:tcPr>
          <w:p w:rsidR="008D6125" w:rsidRPr="008D6125" w:rsidRDefault="008D6125" w:rsidP="008D6125">
            <w:pP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TOTAL</w:t>
            </w:r>
          </w:p>
        </w:tc>
        <w:tc>
          <w:tcPr>
            <w:tcW w:w="83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4.802.158,25</w:t>
            </w:r>
          </w:p>
        </w:tc>
        <w:tc>
          <w:tcPr>
            <w:tcW w:w="839" w:type="pct"/>
            <w:tcBorders>
              <w:top w:val="single" w:sz="4" w:space="0" w:color="auto"/>
              <w:left w:val="nil"/>
              <w:bottom w:val="single" w:sz="8"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0,00</w:t>
            </w:r>
          </w:p>
        </w:tc>
        <w:tc>
          <w:tcPr>
            <w:tcW w:w="839" w:type="pct"/>
            <w:tcBorders>
              <w:top w:val="single" w:sz="4" w:space="0" w:color="auto"/>
              <w:left w:val="nil"/>
              <w:bottom w:val="single" w:sz="8"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 xml:space="preserve">(2.054.486,07)  </w:t>
            </w:r>
          </w:p>
        </w:tc>
        <w:tc>
          <w:tcPr>
            <w:tcW w:w="839" w:type="pct"/>
            <w:tcBorders>
              <w:top w:val="single" w:sz="4" w:space="0" w:color="auto"/>
              <w:left w:val="nil"/>
              <w:bottom w:val="single" w:sz="8"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359.951,77</w:t>
            </w:r>
          </w:p>
        </w:tc>
        <w:tc>
          <w:tcPr>
            <w:tcW w:w="839" w:type="pct"/>
            <w:tcBorders>
              <w:top w:val="nil"/>
              <w:left w:val="nil"/>
              <w:bottom w:val="single" w:sz="8" w:space="0" w:color="auto"/>
              <w:right w:val="single" w:sz="8" w:space="0" w:color="auto"/>
            </w:tcBorders>
            <w:shd w:val="clear" w:color="auto" w:fill="auto"/>
            <w:noWrap/>
            <w:vAlign w:val="bottom"/>
            <w:hideMark/>
          </w:tcPr>
          <w:p w:rsidR="008D6125" w:rsidRPr="008D6125" w:rsidRDefault="008D6125" w:rsidP="008D6125">
            <w:pPr>
              <w:jc w:val="right"/>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3.107.623,95</w:t>
            </w:r>
          </w:p>
        </w:tc>
      </w:tr>
    </w:tbl>
    <w:p w:rsidR="00F93CE1" w:rsidRDefault="00F93CE1" w:rsidP="00B607D8">
      <w:pPr>
        <w:tabs>
          <w:tab w:val="left" w:leader="dot" w:pos="4395"/>
        </w:tabs>
        <w:ind w:firstLine="709"/>
        <w:jc w:val="both"/>
        <w:rPr>
          <w:rFonts w:ascii="NewBaskerville" w:hAnsi="NewBaskerville"/>
          <w:bCs/>
        </w:rPr>
      </w:pPr>
    </w:p>
    <w:tbl>
      <w:tblPr>
        <w:tblW w:w="5000" w:type="pct"/>
        <w:tblCellMar>
          <w:left w:w="70" w:type="dxa"/>
          <w:right w:w="70" w:type="dxa"/>
        </w:tblCellMar>
        <w:tblLook w:val="04A0" w:firstRow="1" w:lastRow="0" w:firstColumn="1" w:lastColumn="0" w:noHBand="0" w:noVBand="1"/>
      </w:tblPr>
      <w:tblGrid>
        <w:gridCol w:w="1393"/>
        <w:gridCol w:w="1451"/>
        <w:gridCol w:w="1450"/>
        <w:gridCol w:w="1450"/>
        <w:gridCol w:w="1450"/>
        <w:gridCol w:w="1450"/>
      </w:tblGrid>
      <w:tr w:rsidR="008D6125" w:rsidRPr="008D6125" w:rsidTr="008D6125">
        <w:trPr>
          <w:trHeight w:val="555"/>
        </w:trPr>
        <w:tc>
          <w:tcPr>
            <w:tcW w:w="805" w:type="pct"/>
            <w:tcBorders>
              <w:top w:val="single" w:sz="8" w:space="0" w:color="auto"/>
              <w:left w:val="single" w:sz="8" w:space="0" w:color="auto"/>
              <w:bottom w:val="single" w:sz="8" w:space="0" w:color="auto"/>
              <w:right w:val="single" w:sz="8" w:space="0" w:color="auto"/>
            </w:tcBorders>
            <w:shd w:val="clear" w:color="000000" w:fill="CCFFCC"/>
            <w:vAlign w:val="center"/>
            <w:hideMark/>
          </w:tcPr>
          <w:p w:rsidR="008D6125" w:rsidRPr="008D6125" w:rsidRDefault="008D6125" w:rsidP="008D6125">
            <w:pP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AMORTIZACIÓN ACUMULADA</w:t>
            </w:r>
          </w:p>
        </w:tc>
        <w:tc>
          <w:tcPr>
            <w:tcW w:w="839" w:type="pct"/>
            <w:tcBorders>
              <w:top w:val="single" w:sz="8" w:space="0" w:color="auto"/>
              <w:left w:val="nil"/>
              <w:bottom w:val="single" w:sz="8" w:space="0" w:color="auto"/>
              <w:right w:val="single" w:sz="8" w:space="0" w:color="auto"/>
            </w:tcBorders>
            <w:shd w:val="clear" w:color="000000" w:fill="CCFFCC"/>
            <w:vAlign w:val="center"/>
            <w:hideMark/>
          </w:tcPr>
          <w:p w:rsidR="008D6125" w:rsidRPr="008D6125" w:rsidRDefault="008D6125" w:rsidP="008D6125">
            <w:pPr>
              <w:jc w:val="cente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Saldo a</w:t>
            </w:r>
            <w:r w:rsidRPr="008D6125">
              <w:rPr>
                <w:rFonts w:ascii="Lucida Bright" w:hAnsi="Lucida Bright" w:cs="Calibri"/>
                <w:b/>
                <w:bCs/>
                <w:color w:val="000000"/>
                <w:sz w:val="14"/>
                <w:szCs w:val="14"/>
                <w:lang w:val="es-ES"/>
              </w:rPr>
              <w:br/>
              <w:t>31-12-22</w:t>
            </w:r>
          </w:p>
        </w:tc>
        <w:tc>
          <w:tcPr>
            <w:tcW w:w="839" w:type="pct"/>
            <w:tcBorders>
              <w:top w:val="single" w:sz="8" w:space="0" w:color="auto"/>
              <w:left w:val="nil"/>
              <w:bottom w:val="single" w:sz="8" w:space="0" w:color="auto"/>
              <w:right w:val="single" w:sz="8" w:space="0" w:color="auto"/>
            </w:tcBorders>
            <w:shd w:val="clear" w:color="000000" w:fill="CCFFCC"/>
            <w:vAlign w:val="center"/>
            <w:hideMark/>
          </w:tcPr>
          <w:p w:rsidR="008D6125" w:rsidRPr="008D6125" w:rsidRDefault="008D6125" w:rsidP="008D6125">
            <w:pPr>
              <w:jc w:val="cente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Dotaciones</w:t>
            </w:r>
            <w:r w:rsidRPr="008D6125">
              <w:rPr>
                <w:rFonts w:ascii="Lucida Bright" w:hAnsi="Lucida Bright" w:cs="Calibri"/>
                <w:b/>
                <w:bCs/>
                <w:color w:val="000000"/>
                <w:sz w:val="14"/>
                <w:szCs w:val="14"/>
                <w:lang w:val="es-ES"/>
              </w:rPr>
              <w:br/>
              <w:t>(+)</w:t>
            </w:r>
          </w:p>
        </w:tc>
        <w:tc>
          <w:tcPr>
            <w:tcW w:w="839" w:type="pct"/>
            <w:tcBorders>
              <w:top w:val="single" w:sz="8" w:space="0" w:color="auto"/>
              <w:left w:val="nil"/>
              <w:bottom w:val="single" w:sz="8" w:space="0" w:color="auto"/>
              <w:right w:val="single" w:sz="8" w:space="0" w:color="auto"/>
            </w:tcBorders>
            <w:shd w:val="clear" w:color="000000" w:fill="CCFFCC"/>
            <w:vAlign w:val="center"/>
            <w:hideMark/>
          </w:tcPr>
          <w:p w:rsidR="008D6125" w:rsidRPr="008D6125" w:rsidRDefault="008D6125" w:rsidP="008D6125">
            <w:pPr>
              <w:jc w:val="cente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Ventas, retiros</w:t>
            </w:r>
            <w:r w:rsidRPr="008D6125">
              <w:rPr>
                <w:rFonts w:ascii="Lucida Bright" w:hAnsi="Lucida Bright" w:cs="Calibri"/>
                <w:b/>
                <w:bCs/>
                <w:color w:val="000000"/>
                <w:sz w:val="14"/>
                <w:szCs w:val="14"/>
                <w:lang w:val="es-ES"/>
              </w:rPr>
              <w:br/>
              <w:t>y bajas</w:t>
            </w:r>
            <w:r w:rsidRPr="008D6125">
              <w:rPr>
                <w:rFonts w:ascii="Lucida Bright" w:hAnsi="Lucida Bright" w:cs="Calibri"/>
                <w:b/>
                <w:bCs/>
                <w:color w:val="000000"/>
                <w:sz w:val="14"/>
                <w:szCs w:val="14"/>
                <w:lang w:val="es-ES"/>
              </w:rPr>
              <w:br/>
              <w:t>(-)</w:t>
            </w:r>
          </w:p>
        </w:tc>
        <w:tc>
          <w:tcPr>
            <w:tcW w:w="839" w:type="pct"/>
            <w:tcBorders>
              <w:top w:val="single" w:sz="8" w:space="0" w:color="auto"/>
              <w:left w:val="nil"/>
              <w:bottom w:val="single" w:sz="8" w:space="0" w:color="auto"/>
              <w:right w:val="single" w:sz="8" w:space="0" w:color="auto"/>
            </w:tcBorders>
            <w:shd w:val="clear" w:color="000000" w:fill="CCFFCC"/>
            <w:vAlign w:val="center"/>
            <w:hideMark/>
          </w:tcPr>
          <w:p w:rsidR="008D6125" w:rsidRPr="008D6125" w:rsidRDefault="008D6125" w:rsidP="008D6125">
            <w:pPr>
              <w:jc w:val="cente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Reclasificaciones</w:t>
            </w:r>
            <w:r w:rsidRPr="008D6125">
              <w:rPr>
                <w:rFonts w:ascii="Lucida Bright" w:hAnsi="Lucida Bright" w:cs="Calibri"/>
                <w:b/>
                <w:bCs/>
                <w:color w:val="000000"/>
                <w:sz w:val="14"/>
                <w:szCs w:val="14"/>
                <w:lang w:val="es-ES"/>
              </w:rPr>
              <w:br/>
              <w:t>(+/-)</w:t>
            </w:r>
          </w:p>
        </w:tc>
        <w:tc>
          <w:tcPr>
            <w:tcW w:w="839" w:type="pct"/>
            <w:tcBorders>
              <w:top w:val="single" w:sz="8" w:space="0" w:color="auto"/>
              <w:left w:val="nil"/>
              <w:bottom w:val="single" w:sz="8" w:space="0" w:color="auto"/>
              <w:right w:val="single" w:sz="8" w:space="0" w:color="auto"/>
            </w:tcBorders>
            <w:shd w:val="clear" w:color="000000" w:fill="CCFFCC"/>
            <w:vAlign w:val="center"/>
            <w:hideMark/>
          </w:tcPr>
          <w:p w:rsidR="008D6125" w:rsidRPr="008D6125" w:rsidRDefault="008D6125" w:rsidP="008D6125">
            <w:pPr>
              <w:jc w:val="cente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Saldo a</w:t>
            </w:r>
            <w:r w:rsidRPr="008D6125">
              <w:rPr>
                <w:rFonts w:ascii="Lucida Bright" w:hAnsi="Lucida Bright" w:cs="Calibri"/>
                <w:b/>
                <w:bCs/>
                <w:color w:val="000000"/>
                <w:sz w:val="14"/>
                <w:szCs w:val="14"/>
                <w:lang w:val="es-ES"/>
              </w:rPr>
              <w:br/>
              <w:t>31-12-23</w:t>
            </w:r>
          </w:p>
        </w:tc>
      </w:tr>
      <w:tr w:rsidR="008D6125" w:rsidRPr="008D6125" w:rsidTr="008D6125">
        <w:trPr>
          <w:trHeight w:val="420"/>
        </w:trPr>
        <w:tc>
          <w:tcPr>
            <w:tcW w:w="805" w:type="pct"/>
            <w:tcBorders>
              <w:top w:val="nil"/>
              <w:left w:val="single" w:sz="8" w:space="0" w:color="auto"/>
              <w:bottom w:val="single" w:sz="4" w:space="0" w:color="auto"/>
              <w:right w:val="single" w:sz="4" w:space="0" w:color="auto"/>
            </w:tcBorders>
            <w:shd w:val="clear" w:color="auto" w:fill="auto"/>
            <w:vAlign w:val="center"/>
            <w:hideMark/>
          </w:tcPr>
          <w:p w:rsidR="008D6125" w:rsidRPr="008D6125" w:rsidRDefault="008D6125" w:rsidP="008D6125">
            <w:pPr>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 xml:space="preserve"> Propiedad industrial</w:t>
            </w:r>
          </w:p>
        </w:tc>
        <w:tc>
          <w:tcPr>
            <w:tcW w:w="839"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15.000,00</w:t>
            </w:r>
          </w:p>
        </w:tc>
        <w:tc>
          <w:tcPr>
            <w:tcW w:w="839" w:type="pct"/>
            <w:tcBorders>
              <w:top w:val="single" w:sz="8"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0,00</w:t>
            </w:r>
          </w:p>
        </w:tc>
        <w:tc>
          <w:tcPr>
            <w:tcW w:w="839" w:type="pct"/>
            <w:tcBorders>
              <w:top w:val="single" w:sz="8"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0,00</w:t>
            </w:r>
          </w:p>
        </w:tc>
        <w:tc>
          <w:tcPr>
            <w:tcW w:w="839" w:type="pct"/>
            <w:tcBorders>
              <w:top w:val="single" w:sz="8"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0,00</w:t>
            </w:r>
          </w:p>
        </w:tc>
        <w:tc>
          <w:tcPr>
            <w:tcW w:w="839" w:type="pct"/>
            <w:tcBorders>
              <w:top w:val="nil"/>
              <w:left w:val="single" w:sz="4" w:space="0" w:color="auto"/>
              <w:bottom w:val="nil"/>
              <w:right w:val="single" w:sz="8"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15.000,00</w:t>
            </w:r>
          </w:p>
        </w:tc>
      </w:tr>
      <w:tr w:rsidR="008D6125" w:rsidRPr="008D6125" w:rsidTr="008D6125">
        <w:trPr>
          <w:trHeight w:val="420"/>
        </w:trPr>
        <w:tc>
          <w:tcPr>
            <w:tcW w:w="805" w:type="pct"/>
            <w:tcBorders>
              <w:top w:val="nil"/>
              <w:left w:val="single" w:sz="8" w:space="0" w:color="auto"/>
              <w:bottom w:val="single" w:sz="4" w:space="0" w:color="auto"/>
              <w:right w:val="single" w:sz="4" w:space="0" w:color="auto"/>
            </w:tcBorders>
            <w:shd w:val="clear" w:color="auto" w:fill="auto"/>
            <w:vAlign w:val="center"/>
            <w:hideMark/>
          </w:tcPr>
          <w:p w:rsidR="008D6125" w:rsidRPr="008D6125" w:rsidRDefault="008D6125" w:rsidP="008D6125">
            <w:pPr>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 xml:space="preserve"> Aplicaciones informáticas</w:t>
            </w:r>
          </w:p>
        </w:tc>
        <w:tc>
          <w:tcPr>
            <w:tcW w:w="839" w:type="pct"/>
            <w:tcBorders>
              <w:top w:val="single" w:sz="4"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3.894.946,92</w:t>
            </w:r>
          </w:p>
        </w:tc>
        <w:tc>
          <w:tcPr>
            <w:tcW w:w="839" w:type="pct"/>
            <w:tcBorders>
              <w:top w:val="single" w:sz="4"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519.548,51</w:t>
            </w:r>
          </w:p>
        </w:tc>
        <w:tc>
          <w:tcPr>
            <w:tcW w:w="839" w:type="pct"/>
            <w:tcBorders>
              <w:top w:val="single" w:sz="4"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 xml:space="preserve">(2.054.486,07)  </w:t>
            </w:r>
          </w:p>
        </w:tc>
        <w:tc>
          <w:tcPr>
            <w:tcW w:w="839" w:type="pct"/>
            <w:tcBorders>
              <w:top w:val="single" w:sz="4"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 xml:space="preserve">(0,14)  </w:t>
            </w:r>
          </w:p>
        </w:tc>
        <w:tc>
          <w:tcPr>
            <w:tcW w:w="839"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2.360.009,22</w:t>
            </w:r>
          </w:p>
        </w:tc>
      </w:tr>
      <w:tr w:rsidR="008D6125" w:rsidRPr="008D6125" w:rsidTr="008D6125">
        <w:trPr>
          <w:trHeight w:val="375"/>
        </w:trPr>
        <w:tc>
          <w:tcPr>
            <w:tcW w:w="805" w:type="pct"/>
            <w:tcBorders>
              <w:top w:val="nil"/>
              <w:left w:val="single" w:sz="8" w:space="0" w:color="auto"/>
              <w:bottom w:val="single" w:sz="8" w:space="0" w:color="auto"/>
              <w:right w:val="single" w:sz="4" w:space="0" w:color="auto"/>
            </w:tcBorders>
            <w:shd w:val="clear" w:color="auto" w:fill="auto"/>
            <w:noWrap/>
            <w:vAlign w:val="bottom"/>
            <w:hideMark/>
          </w:tcPr>
          <w:p w:rsidR="008D6125" w:rsidRPr="008D6125" w:rsidRDefault="008D6125" w:rsidP="008D6125">
            <w:pP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TOTAL</w:t>
            </w:r>
          </w:p>
        </w:tc>
        <w:tc>
          <w:tcPr>
            <w:tcW w:w="83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3.909.946,92</w:t>
            </w:r>
          </w:p>
        </w:tc>
        <w:tc>
          <w:tcPr>
            <w:tcW w:w="839" w:type="pct"/>
            <w:tcBorders>
              <w:top w:val="single" w:sz="4" w:space="0" w:color="auto"/>
              <w:left w:val="nil"/>
              <w:bottom w:val="single" w:sz="8"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519.548,51</w:t>
            </w:r>
          </w:p>
        </w:tc>
        <w:tc>
          <w:tcPr>
            <w:tcW w:w="839" w:type="pct"/>
            <w:tcBorders>
              <w:top w:val="single" w:sz="4" w:space="0" w:color="auto"/>
              <w:left w:val="nil"/>
              <w:bottom w:val="single" w:sz="8"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 xml:space="preserve">(2.054.486,07)  </w:t>
            </w:r>
          </w:p>
        </w:tc>
        <w:tc>
          <w:tcPr>
            <w:tcW w:w="839" w:type="pct"/>
            <w:tcBorders>
              <w:top w:val="single" w:sz="4" w:space="0" w:color="auto"/>
              <w:left w:val="nil"/>
              <w:bottom w:val="single" w:sz="8"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 xml:space="preserve">(0,14)  </w:t>
            </w:r>
          </w:p>
        </w:tc>
        <w:tc>
          <w:tcPr>
            <w:tcW w:w="839" w:type="pct"/>
            <w:tcBorders>
              <w:top w:val="nil"/>
              <w:left w:val="nil"/>
              <w:bottom w:val="single" w:sz="8" w:space="0" w:color="auto"/>
              <w:right w:val="single" w:sz="8" w:space="0" w:color="auto"/>
            </w:tcBorders>
            <w:shd w:val="clear" w:color="auto" w:fill="auto"/>
            <w:noWrap/>
            <w:vAlign w:val="bottom"/>
            <w:hideMark/>
          </w:tcPr>
          <w:p w:rsidR="008D6125" w:rsidRPr="008D6125" w:rsidRDefault="008D6125" w:rsidP="008D6125">
            <w:pPr>
              <w:jc w:val="right"/>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2.375.009,22</w:t>
            </w:r>
          </w:p>
        </w:tc>
      </w:tr>
    </w:tbl>
    <w:p w:rsidR="00F93CE1" w:rsidRDefault="00F93CE1" w:rsidP="00B607D8">
      <w:pPr>
        <w:tabs>
          <w:tab w:val="left" w:leader="dot" w:pos="4395"/>
        </w:tabs>
        <w:ind w:firstLine="709"/>
        <w:jc w:val="both"/>
        <w:rPr>
          <w:rFonts w:ascii="NewBaskerville" w:hAnsi="NewBaskerville"/>
          <w:bCs/>
        </w:rPr>
      </w:pPr>
    </w:p>
    <w:p w:rsidR="008D6125" w:rsidRDefault="008D6125" w:rsidP="00B607D8">
      <w:pPr>
        <w:tabs>
          <w:tab w:val="left" w:leader="dot" w:pos="4395"/>
        </w:tabs>
        <w:ind w:firstLine="709"/>
        <w:jc w:val="both"/>
        <w:rPr>
          <w:rFonts w:ascii="NewBaskerville" w:hAnsi="NewBaskerville"/>
          <w:bCs/>
        </w:rPr>
      </w:pPr>
    </w:p>
    <w:tbl>
      <w:tblPr>
        <w:tblW w:w="5000" w:type="pct"/>
        <w:tblCellMar>
          <w:left w:w="70" w:type="dxa"/>
          <w:right w:w="70" w:type="dxa"/>
        </w:tblCellMar>
        <w:tblLook w:val="04A0" w:firstRow="1" w:lastRow="0" w:firstColumn="1" w:lastColumn="0" w:noHBand="0" w:noVBand="1"/>
      </w:tblPr>
      <w:tblGrid>
        <w:gridCol w:w="1393"/>
        <w:gridCol w:w="1451"/>
        <w:gridCol w:w="1450"/>
        <w:gridCol w:w="1450"/>
        <w:gridCol w:w="1450"/>
        <w:gridCol w:w="1450"/>
      </w:tblGrid>
      <w:tr w:rsidR="008D6125" w:rsidRPr="008D6125" w:rsidTr="008D6125">
        <w:trPr>
          <w:trHeight w:val="735"/>
        </w:trPr>
        <w:tc>
          <w:tcPr>
            <w:tcW w:w="805" w:type="pct"/>
            <w:tcBorders>
              <w:top w:val="single" w:sz="8" w:space="0" w:color="auto"/>
              <w:left w:val="single" w:sz="8" w:space="0" w:color="auto"/>
              <w:bottom w:val="single" w:sz="8" w:space="0" w:color="auto"/>
              <w:right w:val="single" w:sz="8" w:space="0" w:color="auto"/>
            </w:tcBorders>
            <w:shd w:val="clear" w:color="000000" w:fill="CCFFCC"/>
            <w:vAlign w:val="center"/>
            <w:hideMark/>
          </w:tcPr>
          <w:p w:rsidR="008D6125" w:rsidRPr="008D6125" w:rsidRDefault="008D6125" w:rsidP="008D6125">
            <w:pPr>
              <w:jc w:val="cente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INMOVILIZADO INTANGIBLE</w:t>
            </w:r>
          </w:p>
        </w:tc>
        <w:tc>
          <w:tcPr>
            <w:tcW w:w="839" w:type="pct"/>
            <w:tcBorders>
              <w:top w:val="single" w:sz="8" w:space="0" w:color="auto"/>
              <w:left w:val="nil"/>
              <w:bottom w:val="single" w:sz="8" w:space="0" w:color="auto"/>
              <w:right w:val="single" w:sz="8" w:space="0" w:color="auto"/>
            </w:tcBorders>
            <w:shd w:val="clear" w:color="000000" w:fill="CCFFCC"/>
            <w:vAlign w:val="center"/>
            <w:hideMark/>
          </w:tcPr>
          <w:p w:rsidR="008D6125" w:rsidRPr="008D6125" w:rsidRDefault="008D6125" w:rsidP="008D6125">
            <w:pPr>
              <w:jc w:val="cente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Saldo a</w:t>
            </w:r>
            <w:r w:rsidRPr="008D6125">
              <w:rPr>
                <w:rFonts w:ascii="Lucida Bright" w:hAnsi="Lucida Bright" w:cs="Calibri"/>
                <w:b/>
                <w:bCs/>
                <w:color w:val="000000"/>
                <w:sz w:val="14"/>
                <w:szCs w:val="14"/>
                <w:lang w:val="es-ES"/>
              </w:rPr>
              <w:br/>
              <w:t>31-12-21</w:t>
            </w:r>
          </w:p>
        </w:tc>
        <w:tc>
          <w:tcPr>
            <w:tcW w:w="839" w:type="pct"/>
            <w:tcBorders>
              <w:top w:val="single" w:sz="8" w:space="0" w:color="auto"/>
              <w:left w:val="nil"/>
              <w:bottom w:val="single" w:sz="8" w:space="0" w:color="auto"/>
              <w:right w:val="single" w:sz="8" w:space="0" w:color="auto"/>
            </w:tcBorders>
            <w:shd w:val="clear" w:color="000000" w:fill="CCFFCC"/>
            <w:vAlign w:val="center"/>
            <w:hideMark/>
          </w:tcPr>
          <w:p w:rsidR="008D6125" w:rsidRPr="008D6125" w:rsidRDefault="008D6125" w:rsidP="008D6125">
            <w:pPr>
              <w:jc w:val="cente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Adquisiciones</w:t>
            </w:r>
            <w:r w:rsidRPr="008D6125">
              <w:rPr>
                <w:rFonts w:ascii="Lucida Bright" w:hAnsi="Lucida Bright" w:cs="Calibri"/>
                <w:b/>
                <w:bCs/>
                <w:color w:val="000000"/>
                <w:sz w:val="14"/>
                <w:szCs w:val="14"/>
                <w:lang w:val="es-ES"/>
              </w:rPr>
              <w:br/>
              <w:t>(+)</w:t>
            </w:r>
          </w:p>
        </w:tc>
        <w:tc>
          <w:tcPr>
            <w:tcW w:w="839" w:type="pct"/>
            <w:tcBorders>
              <w:top w:val="single" w:sz="8" w:space="0" w:color="auto"/>
              <w:left w:val="nil"/>
              <w:bottom w:val="single" w:sz="8" w:space="0" w:color="auto"/>
              <w:right w:val="single" w:sz="8" w:space="0" w:color="auto"/>
            </w:tcBorders>
            <w:shd w:val="clear" w:color="000000" w:fill="CCFFCC"/>
            <w:vAlign w:val="center"/>
            <w:hideMark/>
          </w:tcPr>
          <w:p w:rsidR="008D6125" w:rsidRPr="008D6125" w:rsidRDefault="008D6125" w:rsidP="008D6125">
            <w:pPr>
              <w:jc w:val="cente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Ventas, retiros</w:t>
            </w:r>
            <w:r w:rsidRPr="008D6125">
              <w:rPr>
                <w:rFonts w:ascii="Lucida Bright" w:hAnsi="Lucida Bright" w:cs="Calibri"/>
                <w:b/>
                <w:bCs/>
                <w:color w:val="000000"/>
                <w:sz w:val="14"/>
                <w:szCs w:val="14"/>
                <w:lang w:val="es-ES"/>
              </w:rPr>
              <w:br/>
              <w:t>y bajas</w:t>
            </w:r>
            <w:r w:rsidRPr="008D6125">
              <w:rPr>
                <w:rFonts w:ascii="Lucida Bright" w:hAnsi="Lucida Bright" w:cs="Calibri"/>
                <w:b/>
                <w:bCs/>
                <w:color w:val="000000"/>
                <w:sz w:val="14"/>
                <w:szCs w:val="14"/>
                <w:lang w:val="es-ES"/>
              </w:rPr>
              <w:br/>
              <w:t>(-)</w:t>
            </w:r>
          </w:p>
        </w:tc>
        <w:tc>
          <w:tcPr>
            <w:tcW w:w="839" w:type="pct"/>
            <w:tcBorders>
              <w:top w:val="single" w:sz="8" w:space="0" w:color="auto"/>
              <w:left w:val="nil"/>
              <w:bottom w:val="single" w:sz="8" w:space="0" w:color="auto"/>
              <w:right w:val="single" w:sz="8" w:space="0" w:color="auto"/>
            </w:tcBorders>
            <w:shd w:val="clear" w:color="000000" w:fill="CCFFCC"/>
            <w:vAlign w:val="center"/>
            <w:hideMark/>
          </w:tcPr>
          <w:p w:rsidR="008D6125" w:rsidRPr="008D6125" w:rsidRDefault="008D6125" w:rsidP="008D6125">
            <w:pPr>
              <w:jc w:val="cente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Reclasificaciones</w:t>
            </w:r>
            <w:r w:rsidRPr="008D6125">
              <w:rPr>
                <w:rFonts w:ascii="Lucida Bright" w:hAnsi="Lucida Bright" w:cs="Calibri"/>
                <w:b/>
                <w:bCs/>
                <w:color w:val="000000"/>
                <w:sz w:val="14"/>
                <w:szCs w:val="14"/>
                <w:lang w:val="es-ES"/>
              </w:rPr>
              <w:br/>
              <w:t>(+/-)</w:t>
            </w:r>
          </w:p>
        </w:tc>
        <w:tc>
          <w:tcPr>
            <w:tcW w:w="839" w:type="pct"/>
            <w:tcBorders>
              <w:top w:val="single" w:sz="8" w:space="0" w:color="auto"/>
              <w:left w:val="nil"/>
              <w:bottom w:val="single" w:sz="8" w:space="0" w:color="auto"/>
              <w:right w:val="single" w:sz="8" w:space="0" w:color="auto"/>
            </w:tcBorders>
            <w:shd w:val="clear" w:color="000000" w:fill="CCFFCC"/>
            <w:vAlign w:val="center"/>
            <w:hideMark/>
          </w:tcPr>
          <w:p w:rsidR="008D6125" w:rsidRPr="008D6125" w:rsidRDefault="008D6125" w:rsidP="008D6125">
            <w:pPr>
              <w:jc w:val="cente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Saldo a</w:t>
            </w:r>
            <w:r w:rsidRPr="008D6125">
              <w:rPr>
                <w:rFonts w:ascii="Lucida Bright" w:hAnsi="Lucida Bright" w:cs="Calibri"/>
                <w:b/>
                <w:bCs/>
                <w:color w:val="000000"/>
                <w:sz w:val="14"/>
                <w:szCs w:val="14"/>
                <w:lang w:val="es-ES"/>
              </w:rPr>
              <w:br/>
              <w:t>31-12-22</w:t>
            </w:r>
          </w:p>
        </w:tc>
      </w:tr>
      <w:tr w:rsidR="008D6125" w:rsidRPr="008D6125" w:rsidTr="008D6125">
        <w:trPr>
          <w:trHeight w:val="405"/>
        </w:trPr>
        <w:tc>
          <w:tcPr>
            <w:tcW w:w="805" w:type="pct"/>
            <w:tcBorders>
              <w:top w:val="nil"/>
              <w:left w:val="single" w:sz="8" w:space="0" w:color="auto"/>
              <w:bottom w:val="single" w:sz="4" w:space="0" w:color="auto"/>
              <w:right w:val="single" w:sz="4" w:space="0" w:color="auto"/>
            </w:tcBorders>
            <w:shd w:val="clear" w:color="auto" w:fill="auto"/>
            <w:vAlign w:val="center"/>
            <w:hideMark/>
          </w:tcPr>
          <w:p w:rsidR="008D6125" w:rsidRPr="008D6125" w:rsidRDefault="008D6125" w:rsidP="008D6125">
            <w:pPr>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 xml:space="preserve"> Propiedad industrial</w:t>
            </w:r>
          </w:p>
        </w:tc>
        <w:tc>
          <w:tcPr>
            <w:tcW w:w="839"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15.000,00</w:t>
            </w:r>
          </w:p>
        </w:tc>
        <w:tc>
          <w:tcPr>
            <w:tcW w:w="839" w:type="pct"/>
            <w:tcBorders>
              <w:top w:val="single" w:sz="8"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0,00</w:t>
            </w:r>
          </w:p>
        </w:tc>
        <w:tc>
          <w:tcPr>
            <w:tcW w:w="839" w:type="pct"/>
            <w:tcBorders>
              <w:top w:val="single" w:sz="8"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0,00</w:t>
            </w:r>
          </w:p>
        </w:tc>
        <w:tc>
          <w:tcPr>
            <w:tcW w:w="839" w:type="pct"/>
            <w:tcBorders>
              <w:top w:val="single" w:sz="8"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0,00</w:t>
            </w:r>
          </w:p>
        </w:tc>
        <w:tc>
          <w:tcPr>
            <w:tcW w:w="839" w:type="pct"/>
            <w:tcBorders>
              <w:top w:val="nil"/>
              <w:left w:val="single" w:sz="4" w:space="0" w:color="auto"/>
              <w:bottom w:val="nil"/>
              <w:right w:val="single" w:sz="8"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15.000,00</w:t>
            </w:r>
          </w:p>
        </w:tc>
      </w:tr>
      <w:tr w:rsidR="008D6125" w:rsidRPr="008D6125" w:rsidTr="008D6125">
        <w:trPr>
          <w:trHeight w:val="405"/>
        </w:trPr>
        <w:tc>
          <w:tcPr>
            <w:tcW w:w="805" w:type="pct"/>
            <w:tcBorders>
              <w:top w:val="nil"/>
              <w:left w:val="single" w:sz="8" w:space="0" w:color="auto"/>
              <w:bottom w:val="nil"/>
              <w:right w:val="single" w:sz="4" w:space="0" w:color="auto"/>
            </w:tcBorders>
            <w:shd w:val="clear" w:color="auto" w:fill="auto"/>
            <w:vAlign w:val="center"/>
            <w:hideMark/>
          </w:tcPr>
          <w:p w:rsidR="008D6125" w:rsidRPr="008D6125" w:rsidRDefault="008D6125" w:rsidP="008D6125">
            <w:pPr>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 xml:space="preserve"> Aplicaciones informáticas</w:t>
            </w:r>
          </w:p>
        </w:tc>
        <w:tc>
          <w:tcPr>
            <w:tcW w:w="839" w:type="pct"/>
            <w:tcBorders>
              <w:top w:val="single" w:sz="4"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4.668.084,08</w:t>
            </w:r>
          </w:p>
        </w:tc>
        <w:tc>
          <w:tcPr>
            <w:tcW w:w="839" w:type="pct"/>
            <w:tcBorders>
              <w:top w:val="single" w:sz="4"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0,00</w:t>
            </w:r>
          </w:p>
        </w:tc>
        <w:tc>
          <w:tcPr>
            <w:tcW w:w="839" w:type="pct"/>
            <w:tcBorders>
              <w:top w:val="single" w:sz="4"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0,00</w:t>
            </w:r>
          </w:p>
        </w:tc>
        <w:tc>
          <w:tcPr>
            <w:tcW w:w="839" w:type="pct"/>
            <w:tcBorders>
              <w:top w:val="single" w:sz="4"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119.074,17</w:t>
            </w:r>
          </w:p>
        </w:tc>
        <w:tc>
          <w:tcPr>
            <w:tcW w:w="839"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4.787.158,25</w:t>
            </w:r>
          </w:p>
        </w:tc>
      </w:tr>
      <w:tr w:rsidR="008D6125" w:rsidRPr="008D6125" w:rsidTr="008D6125">
        <w:trPr>
          <w:trHeight w:val="405"/>
        </w:trPr>
        <w:tc>
          <w:tcPr>
            <w:tcW w:w="805" w:type="pct"/>
            <w:tcBorders>
              <w:top w:val="single" w:sz="4" w:space="0" w:color="auto"/>
              <w:left w:val="single" w:sz="8" w:space="0" w:color="auto"/>
              <w:bottom w:val="single" w:sz="8" w:space="0" w:color="auto"/>
              <w:right w:val="single" w:sz="4" w:space="0" w:color="auto"/>
            </w:tcBorders>
            <w:shd w:val="clear" w:color="auto" w:fill="auto"/>
            <w:noWrap/>
            <w:vAlign w:val="bottom"/>
            <w:hideMark/>
          </w:tcPr>
          <w:p w:rsidR="008D6125" w:rsidRPr="008D6125" w:rsidRDefault="008D6125" w:rsidP="008D6125">
            <w:pP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TOTAL</w:t>
            </w:r>
          </w:p>
        </w:tc>
        <w:tc>
          <w:tcPr>
            <w:tcW w:w="83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4.683.084,08</w:t>
            </w:r>
          </w:p>
        </w:tc>
        <w:tc>
          <w:tcPr>
            <w:tcW w:w="839" w:type="pct"/>
            <w:tcBorders>
              <w:top w:val="single" w:sz="4" w:space="0" w:color="auto"/>
              <w:left w:val="nil"/>
              <w:bottom w:val="single" w:sz="8"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0,00</w:t>
            </w:r>
          </w:p>
        </w:tc>
        <w:tc>
          <w:tcPr>
            <w:tcW w:w="839" w:type="pct"/>
            <w:tcBorders>
              <w:top w:val="single" w:sz="4" w:space="0" w:color="auto"/>
              <w:left w:val="nil"/>
              <w:bottom w:val="single" w:sz="8"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0,00</w:t>
            </w:r>
          </w:p>
        </w:tc>
        <w:tc>
          <w:tcPr>
            <w:tcW w:w="839" w:type="pct"/>
            <w:tcBorders>
              <w:top w:val="single" w:sz="4" w:space="0" w:color="auto"/>
              <w:left w:val="nil"/>
              <w:bottom w:val="single" w:sz="8"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119.074,17</w:t>
            </w:r>
          </w:p>
        </w:tc>
        <w:tc>
          <w:tcPr>
            <w:tcW w:w="839" w:type="pct"/>
            <w:tcBorders>
              <w:top w:val="nil"/>
              <w:left w:val="nil"/>
              <w:bottom w:val="single" w:sz="8" w:space="0" w:color="auto"/>
              <w:right w:val="single" w:sz="8" w:space="0" w:color="auto"/>
            </w:tcBorders>
            <w:shd w:val="clear" w:color="auto" w:fill="auto"/>
            <w:noWrap/>
            <w:vAlign w:val="bottom"/>
            <w:hideMark/>
          </w:tcPr>
          <w:p w:rsidR="008D6125" w:rsidRPr="008D6125" w:rsidRDefault="008D6125" w:rsidP="008D6125">
            <w:pPr>
              <w:jc w:val="right"/>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4.802.158,25</w:t>
            </w:r>
          </w:p>
        </w:tc>
      </w:tr>
    </w:tbl>
    <w:p w:rsidR="00F93CE1" w:rsidRDefault="00F93CE1" w:rsidP="00B607D8">
      <w:pPr>
        <w:tabs>
          <w:tab w:val="left" w:leader="dot" w:pos="4395"/>
        </w:tabs>
        <w:ind w:firstLine="709"/>
        <w:jc w:val="both"/>
        <w:rPr>
          <w:rFonts w:ascii="NewBaskerville" w:hAnsi="NewBaskerville"/>
          <w:bCs/>
        </w:rPr>
      </w:pPr>
    </w:p>
    <w:tbl>
      <w:tblPr>
        <w:tblW w:w="5000" w:type="pct"/>
        <w:tblCellMar>
          <w:left w:w="70" w:type="dxa"/>
          <w:right w:w="70" w:type="dxa"/>
        </w:tblCellMar>
        <w:tblLook w:val="04A0" w:firstRow="1" w:lastRow="0" w:firstColumn="1" w:lastColumn="0" w:noHBand="0" w:noVBand="1"/>
      </w:tblPr>
      <w:tblGrid>
        <w:gridCol w:w="1393"/>
        <w:gridCol w:w="1451"/>
        <w:gridCol w:w="1450"/>
        <w:gridCol w:w="1450"/>
        <w:gridCol w:w="1450"/>
        <w:gridCol w:w="1450"/>
      </w:tblGrid>
      <w:tr w:rsidR="008D6125" w:rsidRPr="008D6125" w:rsidTr="008D6125">
        <w:trPr>
          <w:trHeight w:val="555"/>
        </w:trPr>
        <w:tc>
          <w:tcPr>
            <w:tcW w:w="805" w:type="pct"/>
            <w:tcBorders>
              <w:top w:val="single" w:sz="8" w:space="0" w:color="auto"/>
              <w:left w:val="single" w:sz="8" w:space="0" w:color="auto"/>
              <w:bottom w:val="single" w:sz="8" w:space="0" w:color="auto"/>
              <w:right w:val="single" w:sz="8" w:space="0" w:color="auto"/>
            </w:tcBorders>
            <w:shd w:val="clear" w:color="000000" w:fill="CCFFCC"/>
            <w:vAlign w:val="center"/>
            <w:hideMark/>
          </w:tcPr>
          <w:p w:rsidR="008D6125" w:rsidRPr="008D6125" w:rsidRDefault="008D6125" w:rsidP="008D6125">
            <w:pP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AMORTIZACIÓN ACUMULADA</w:t>
            </w:r>
          </w:p>
        </w:tc>
        <w:tc>
          <w:tcPr>
            <w:tcW w:w="839" w:type="pct"/>
            <w:tcBorders>
              <w:top w:val="single" w:sz="8" w:space="0" w:color="auto"/>
              <w:left w:val="nil"/>
              <w:bottom w:val="single" w:sz="8" w:space="0" w:color="auto"/>
              <w:right w:val="single" w:sz="8" w:space="0" w:color="auto"/>
            </w:tcBorders>
            <w:shd w:val="clear" w:color="000000" w:fill="CCFFCC"/>
            <w:vAlign w:val="center"/>
            <w:hideMark/>
          </w:tcPr>
          <w:p w:rsidR="008D6125" w:rsidRPr="008D6125" w:rsidRDefault="008D6125" w:rsidP="008D6125">
            <w:pPr>
              <w:jc w:val="cente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Saldo a</w:t>
            </w:r>
            <w:r w:rsidRPr="008D6125">
              <w:rPr>
                <w:rFonts w:ascii="Lucida Bright" w:hAnsi="Lucida Bright" w:cs="Calibri"/>
                <w:b/>
                <w:bCs/>
                <w:color w:val="000000"/>
                <w:sz w:val="14"/>
                <w:szCs w:val="14"/>
                <w:lang w:val="es-ES"/>
              </w:rPr>
              <w:br/>
              <w:t>31-12-21</w:t>
            </w:r>
          </w:p>
        </w:tc>
        <w:tc>
          <w:tcPr>
            <w:tcW w:w="839" w:type="pct"/>
            <w:tcBorders>
              <w:top w:val="single" w:sz="8" w:space="0" w:color="auto"/>
              <w:left w:val="nil"/>
              <w:bottom w:val="single" w:sz="8" w:space="0" w:color="auto"/>
              <w:right w:val="single" w:sz="8" w:space="0" w:color="auto"/>
            </w:tcBorders>
            <w:shd w:val="clear" w:color="000000" w:fill="CCFFCC"/>
            <w:vAlign w:val="center"/>
            <w:hideMark/>
          </w:tcPr>
          <w:p w:rsidR="008D6125" w:rsidRPr="008D6125" w:rsidRDefault="008D6125" w:rsidP="008D6125">
            <w:pPr>
              <w:jc w:val="cente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Dotaciones</w:t>
            </w:r>
            <w:r w:rsidRPr="008D6125">
              <w:rPr>
                <w:rFonts w:ascii="Lucida Bright" w:hAnsi="Lucida Bright" w:cs="Calibri"/>
                <w:b/>
                <w:bCs/>
                <w:color w:val="000000"/>
                <w:sz w:val="14"/>
                <w:szCs w:val="14"/>
                <w:lang w:val="es-ES"/>
              </w:rPr>
              <w:br/>
              <w:t>(+)</w:t>
            </w:r>
          </w:p>
        </w:tc>
        <w:tc>
          <w:tcPr>
            <w:tcW w:w="839" w:type="pct"/>
            <w:tcBorders>
              <w:top w:val="single" w:sz="8" w:space="0" w:color="auto"/>
              <w:left w:val="nil"/>
              <w:bottom w:val="single" w:sz="8" w:space="0" w:color="auto"/>
              <w:right w:val="single" w:sz="8" w:space="0" w:color="auto"/>
            </w:tcBorders>
            <w:shd w:val="clear" w:color="000000" w:fill="CCFFCC"/>
            <w:vAlign w:val="center"/>
            <w:hideMark/>
          </w:tcPr>
          <w:p w:rsidR="008D6125" w:rsidRPr="008D6125" w:rsidRDefault="008D6125" w:rsidP="008D6125">
            <w:pPr>
              <w:jc w:val="cente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Ventas, retiros</w:t>
            </w:r>
            <w:r w:rsidRPr="008D6125">
              <w:rPr>
                <w:rFonts w:ascii="Lucida Bright" w:hAnsi="Lucida Bright" w:cs="Calibri"/>
                <w:b/>
                <w:bCs/>
                <w:color w:val="000000"/>
                <w:sz w:val="14"/>
                <w:szCs w:val="14"/>
                <w:lang w:val="es-ES"/>
              </w:rPr>
              <w:br/>
              <w:t>y bajas</w:t>
            </w:r>
            <w:r w:rsidRPr="008D6125">
              <w:rPr>
                <w:rFonts w:ascii="Lucida Bright" w:hAnsi="Lucida Bright" w:cs="Calibri"/>
                <w:b/>
                <w:bCs/>
                <w:color w:val="000000"/>
                <w:sz w:val="14"/>
                <w:szCs w:val="14"/>
                <w:lang w:val="es-ES"/>
              </w:rPr>
              <w:br/>
              <w:t>(-)</w:t>
            </w:r>
          </w:p>
        </w:tc>
        <w:tc>
          <w:tcPr>
            <w:tcW w:w="839" w:type="pct"/>
            <w:tcBorders>
              <w:top w:val="single" w:sz="8" w:space="0" w:color="auto"/>
              <w:left w:val="nil"/>
              <w:bottom w:val="single" w:sz="8" w:space="0" w:color="auto"/>
              <w:right w:val="single" w:sz="8" w:space="0" w:color="auto"/>
            </w:tcBorders>
            <w:shd w:val="clear" w:color="000000" w:fill="CCFFCC"/>
            <w:vAlign w:val="center"/>
            <w:hideMark/>
          </w:tcPr>
          <w:p w:rsidR="008D6125" w:rsidRPr="008D6125" w:rsidRDefault="008D6125" w:rsidP="008D6125">
            <w:pPr>
              <w:jc w:val="cente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Reclasificaciones</w:t>
            </w:r>
            <w:r w:rsidRPr="008D6125">
              <w:rPr>
                <w:rFonts w:ascii="Lucida Bright" w:hAnsi="Lucida Bright" w:cs="Calibri"/>
                <w:b/>
                <w:bCs/>
                <w:color w:val="000000"/>
                <w:sz w:val="14"/>
                <w:szCs w:val="14"/>
                <w:lang w:val="es-ES"/>
              </w:rPr>
              <w:br/>
              <w:t>(+/-)</w:t>
            </w:r>
          </w:p>
        </w:tc>
        <w:tc>
          <w:tcPr>
            <w:tcW w:w="839" w:type="pct"/>
            <w:tcBorders>
              <w:top w:val="single" w:sz="8" w:space="0" w:color="auto"/>
              <w:left w:val="nil"/>
              <w:bottom w:val="single" w:sz="8" w:space="0" w:color="auto"/>
              <w:right w:val="single" w:sz="8" w:space="0" w:color="auto"/>
            </w:tcBorders>
            <w:shd w:val="clear" w:color="000000" w:fill="CCFFCC"/>
            <w:vAlign w:val="center"/>
            <w:hideMark/>
          </w:tcPr>
          <w:p w:rsidR="008D6125" w:rsidRPr="008D6125" w:rsidRDefault="008D6125" w:rsidP="008D6125">
            <w:pPr>
              <w:jc w:val="cente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Saldo a</w:t>
            </w:r>
            <w:r w:rsidRPr="008D6125">
              <w:rPr>
                <w:rFonts w:ascii="Lucida Bright" w:hAnsi="Lucida Bright" w:cs="Calibri"/>
                <w:b/>
                <w:bCs/>
                <w:color w:val="000000"/>
                <w:sz w:val="14"/>
                <w:szCs w:val="14"/>
                <w:lang w:val="es-ES"/>
              </w:rPr>
              <w:br/>
              <w:t>31-12-22</w:t>
            </w:r>
          </w:p>
        </w:tc>
      </w:tr>
      <w:tr w:rsidR="008D6125" w:rsidRPr="008D6125" w:rsidTr="008D6125">
        <w:trPr>
          <w:trHeight w:val="420"/>
        </w:trPr>
        <w:tc>
          <w:tcPr>
            <w:tcW w:w="805" w:type="pct"/>
            <w:tcBorders>
              <w:top w:val="nil"/>
              <w:left w:val="single" w:sz="8" w:space="0" w:color="auto"/>
              <w:bottom w:val="single" w:sz="4" w:space="0" w:color="auto"/>
              <w:right w:val="single" w:sz="4" w:space="0" w:color="auto"/>
            </w:tcBorders>
            <w:shd w:val="clear" w:color="auto" w:fill="auto"/>
            <w:vAlign w:val="center"/>
            <w:hideMark/>
          </w:tcPr>
          <w:p w:rsidR="008D6125" w:rsidRPr="008D6125" w:rsidRDefault="008D6125" w:rsidP="008D6125">
            <w:pPr>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 xml:space="preserve"> Propiedad industrial</w:t>
            </w:r>
          </w:p>
        </w:tc>
        <w:tc>
          <w:tcPr>
            <w:tcW w:w="839" w:type="pc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15.000,00</w:t>
            </w:r>
          </w:p>
        </w:tc>
        <w:tc>
          <w:tcPr>
            <w:tcW w:w="839" w:type="pct"/>
            <w:tcBorders>
              <w:top w:val="single" w:sz="8"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0,00</w:t>
            </w:r>
          </w:p>
        </w:tc>
        <w:tc>
          <w:tcPr>
            <w:tcW w:w="839" w:type="pct"/>
            <w:tcBorders>
              <w:top w:val="single" w:sz="8"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0,00</w:t>
            </w:r>
          </w:p>
        </w:tc>
        <w:tc>
          <w:tcPr>
            <w:tcW w:w="839" w:type="pct"/>
            <w:tcBorders>
              <w:top w:val="single" w:sz="8"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0,00</w:t>
            </w:r>
          </w:p>
        </w:tc>
        <w:tc>
          <w:tcPr>
            <w:tcW w:w="839" w:type="pct"/>
            <w:tcBorders>
              <w:top w:val="nil"/>
              <w:left w:val="single" w:sz="4" w:space="0" w:color="auto"/>
              <w:bottom w:val="nil"/>
              <w:right w:val="single" w:sz="8"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15.000,00</w:t>
            </w:r>
          </w:p>
        </w:tc>
      </w:tr>
      <w:tr w:rsidR="008D6125" w:rsidRPr="008D6125" w:rsidTr="008D6125">
        <w:trPr>
          <w:trHeight w:val="420"/>
        </w:trPr>
        <w:tc>
          <w:tcPr>
            <w:tcW w:w="805" w:type="pct"/>
            <w:tcBorders>
              <w:top w:val="nil"/>
              <w:left w:val="single" w:sz="8" w:space="0" w:color="auto"/>
              <w:bottom w:val="single" w:sz="4" w:space="0" w:color="auto"/>
              <w:right w:val="single" w:sz="4" w:space="0" w:color="auto"/>
            </w:tcBorders>
            <w:shd w:val="clear" w:color="auto" w:fill="auto"/>
            <w:vAlign w:val="center"/>
            <w:hideMark/>
          </w:tcPr>
          <w:p w:rsidR="008D6125" w:rsidRPr="008D6125" w:rsidRDefault="008D6125" w:rsidP="008D6125">
            <w:pPr>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 xml:space="preserve"> Aplicaciones informáticas</w:t>
            </w:r>
          </w:p>
        </w:tc>
        <w:tc>
          <w:tcPr>
            <w:tcW w:w="839" w:type="pct"/>
            <w:tcBorders>
              <w:top w:val="single" w:sz="4"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3.469.261,47</w:t>
            </w:r>
          </w:p>
        </w:tc>
        <w:tc>
          <w:tcPr>
            <w:tcW w:w="839" w:type="pct"/>
            <w:tcBorders>
              <w:top w:val="single" w:sz="4"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425.685,45</w:t>
            </w:r>
          </w:p>
        </w:tc>
        <w:tc>
          <w:tcPr>
            <w:tcW w:w="839" w:type="pct"/>
            <w:tcBorders>
              <w:top w:val="single" w:sz="4"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0,00</w:t>
            </w:r>
          </w:p>
        </w:tc>
        <w:tc>
          <w:tcPr>
            <w:tcW w:w="839" w:type="pct"/>
            <w:tcBorders>
              <w:top w:val="single" w:sz="4" w:space="0" w:color="auto"/>
              <w:left w:val="nil"/>
              <w:bottom w:val="single" w:sz="4"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0,00</w:t>
            </w:r>
          </w:p>
        </w:tc>
        <w:tc>
          <w:tcPr>
            <w:tcW w:w="839" w:type="pct"/>
            <w:tcBorders>
              <w:top w:val="single" w:sz="4" w:space="0" w:color="auto"/>
              <w:left w:val="single" w:sz="4" w:space="0" w:color="auto"/>
              <w:bottom w:val="single" w:sz="4" w:space="0" w:color="auto"/>
              <w:right w:val="single" w:sz="8" w:space="0" w:color="auto"/>
            </w:tcBorders>
            <w:shd w:val="clear" w:color="auto" w:fill="auto"/>
            <w:noWrap/>
            <w:vAlign w:val="bottom"/>
            <w:hideMark/>
          </w:tcPr>
          <w:p w:rsidR="008D6125" w:rsidRPr="008D6125" w:rsidRDefault="008D6125" w:rsidP="008D6125">
            <w:pPr>
              <w:jc w:val="right"/>
              <w:rPr>
                <w:rFonts w:ascii="Lucida Bright" w:hAnsi="Lucida Bright" w:cs="Calibri"/>
                <w:color w:val="000000"/>
                <w:sz w:val="14"/>
                <w:szCs w:val="14"/>
                <w:lang w:val="es-ES"/>
              </w:rPr>
            </w:pPr>
            <w:r w:rsidRPr="008D6125">
              <w:rPr>
                <w:rFonts w:ascii="Lucida Bright" w:hAnsi="Lucida Bright" w:cs="Calibri"/>
                <w:color w:val="000000"/>
                <w:sz w:val="14"/>
                <w:szCs w:val="14"/>
                <w:lang w:val="es-ES"/>
              </w:rPr>
              <w:t>3.894.946,92</w:t>
            </w:r>
          </w:p>
        </w:tc>
      </w:tr>
      <w:tr w:rsidR="008D6125" w:rsidRPr="008D6125" w:rsidTr="008D6125">
        <w:trPr>
          <w:trHeight w:val="420"/>
        </w:trPr>
        <w:tc>
          <w:tcPr>
            <w:tcW w:w="805" w:type="pct"/>
            <w:tcBorders>
              <w:top w:val="nil"/>
              <w:left w:val="single" w:sz="8" w:space="0" w:color="auto"/>
              <w:bottom w:val="single" w:sz="8" w:space="0" w:color="auto"/>
              <w:right w:val="single" w:sz="4" w:space="0" w:color="auto"/>
            </w:tcBorders>
            <w:shd w:val="clear" w:color="auto" w:fill="auto"/>
            <w:noWrap/>
            <w:vAlign w:val="bottom"/>
            <w:hideMark/>
          </w:tcPr>
          <w:p w:rsidR="008D6125" w:rsidRPr="008D6125" w:rsidRDefault="008D6125" w:rsidP="008D6125">
            <w:pPr>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TOTAL</w:t>
            </w:r>
          </w:p>
        </w:tc>
        <w:tc>
          <w:tcPr>
            <w:tcW w:w="83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3.484.261,47</w:t>
            </w:r>
          </w:p>
        </w:tc>
        <w:tc>
          <w:tcPr>
            <w:tcW w:w="839" w:type="pct"/>
            <w:tcBorders>
              <w:top w:val="single" w:sz="4" w:space="0" w:color="auto"/>
              <w:left w:val="nil"/>
              <w:bottom w:val="single" w:sz="8"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425.685,45</w:t>
            </w:r>
          </w:p>
        </w:tc>
        <w:tc>
          <w:tcPr>
            <w:tcW w:w="839" w:type="pct"/>
            <w:tcBorders>
              <w:top w:val="single" w:sz="4" w:space="0" w:color="auto"/>
              <w:left w:val="nil"/>
              <w:bottom w:val="single" w:sz="8"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0,00</w:t>
            </w:r>
          </w:p>
        </w:tc>
        <w:tc>
          <w:tcPr>
            <w:tcW w:w="839" w:type="pct"/>
            <w:tcBorders>
              <w:top w:val="single" w:sz="4" w:space="0" w:color="auto"/>
              <w:left w:val="nil"/>
              <w:bottom w:val="single" w:sz="8" w:space="0" w:color="auto"/>
              <w:right w:val="single" w:sz="4" w:space="0" w:color="auto"/>
            </w:tcBorders>
            <w:shd w:val="clear" w:color="auto" w:fill="auto"/>
            <w:noWrap/>
            <w:vAlign w:val="bottom"/>
            <w:hideMark/>
          </w:tcPr>
          <w:p w:rsidR="008D6125" w:rsidRPr="008D6125" w:rsidRDefault="008D6125" w:rsidP="008D6125">
            <w:pPr>
              <w:jc w:val="right"/>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0,00</w:t>
            </w:r>
          </w:p>
        </w:tc>
        <w:tc>
          <w:tcPr>
            <w:tcW w:w="839" w:type="pct"/>
            <w:tcBorders>
              <w:top w:val="nil"/>
              <w:left w:val="nil"/>
              <w:bottom w:val="single" w:sz="8" w:space="0" w:color="auto"/>
              <w:right w:val="single" w:sz="8" w:space="0" w:color="auto"/>
            </w:tcBorders>
            <w:shd w:val="clear" w:color="auto" w:fill="auto"/>
            <w:noWrap/>
            <w:vAlign w:val="bottom"/>
            <w:hideMark/>
          </w:tcPr>
          <w:p w:rsidR="008D6125" w:rsidRPr="008D6125" w:rsidRDefault="008D6125" w:rsidP="008D6125">
            <w:pPr>
              <w:jc w:val="right"/>
              <w:rPr>
                <w:rFonts w:ascii="Lucida Bright" w:hAnsi="Lucida Bright" w:cs="Calibri"/>
                <w:b/>
                <w:bCs/>
                <w:color w:val="000000"/>
                <w:sz w:val="14"/>
                <w:szCs w:val="14"/>
                <w:lang w:val="es-ES"/>
              </w:rPr>
            </w:pPr>
            <w:r w:rsidRPr="008D6125">
              <w:rPr>
                <w:rFonts w:ascii="Lucida Bright" w:hAnsi="Lucida Bright" w:cs="Calibri"/>
                <w:b/>
                <w:bCs/>
                <w:color w:val="000000"/>
                <w:sz w:val="14"/>
                <w:szCs w:val="14"/>
                <w:lang w:val="es-ES"/>
              </w:rPr>
              <w:t>3.909.946,92</w:t>
            </w:r>
          </w:p>
        </w:tc>
      </w:tr>
    </w:tbl>
    <w:p w:rsidR="00F93CE1" w:rsidRDefault="00F93CE1" w:rsidP="00B607D8">
      <w:pPr>
        <w:tabs>
          <w:tab w:val="left" w:leader="dot" w:pos="4395"/>
        </w:tabs>
        <w:ind w:firstLine="709"/>
        <w:jc w:val="both"/>
        <w:rPr>
          <w:rFonts w:ascii="NewBaskerville" w:hAnsi="NewBaskerville"/>
          <w:bCs/>
        </w:rPr>
      </w:pPr>
    </w:p>
    <w:p w:rsidR="00F93CE1" w:rsidRDefault="00F93CE1" w:rsidP="00F348FE">
      <w:pPr>
        <w:pStyle w:val="ListParagraph1"/>
        <w:ind w:left="0"/>
        <w:rPr>
          <w:b/>
          <w:bCs/>
          <w:sz w:val="24"/>
          <w:szCs w:val="24"/>
        </w:rPr>
      </w:pPr>
    </w:p>
    <w:p w:rsidR="00187A36" w:rsidRDefault="00187A36" w:rsidP="00F348FE">
      <w:pPr>
        <w:pStyle w:val="ListParagraph1"/>
        <w:ind w:left="0"/>
        <w:rPr>
          <w:b/>
          <w:bCs/>
          <w:sz w:val="24"/>
          <w:szCs w:val="24"/>
        </w:rPr>
      </w:pPr>
    </w:p>
    <w:p w:rsidR="00187A36" w:rsidRDefault="00187A36" w:rsidP="00F348FE">
      <w:pPr>
        <w:pStyle w:val="ListParagraph1"/>
        <w:ind w:left="0"/>
        <w:rPr>
          <w:b/>
          <w:bCs/>
          <w:sz w:val="24"/>
          <w:szCs w:val="24"/>
        </w:rPr>
      </w:pPr>
    </w:p>
    <w:p w:rsidR="00A510DD" w:rsidRDefault="00A510DD" w:rsidP="00F348FE">
      <w:pPr>
        <w:pStyle w:val="ListParagraph1"/>
        <w:ind w:left="0"/>
        <w:rPr>
          <w:b/>
          <w:bCs/>
          <w:sz w:val="24"/>
          <w:szCs w:val="24"/>
        </w:rPr>
      </w:pPr>
    </w:p>
    <w:p w:rsidR="008D6125" w:rsidRDefault="008D6125" w:rsidP="00F348FE">
      <w:pPr>
        <w:pStyle w:val="ListParagraph1"/>
        <w:ind w:left="0"/>
        <w:rPr>
          <w:b/>
          <w:bCs/>
          <w:sz w:val="24"/>
          <w:szCs w:val="24"/>
        </w:rPr>
      </w:pPr>
    </w:p>
    <w:p w:rsidR="008D6125" w:rsidRDefault="008D6125" w:rsidP="00F348FE">
      <w:pPr>
        <w:pStyle w:val="ListParagraph1"/>
        <w:ind w:left="0"/>
        <w:rPr>
          <w:b/>
          <w:bCs/>
          <w:sz w:val="24"/>
          <w:szCs w:val="24"/>
        </w:rPr>
      </w:pPr>
    </w:p>
    <w:p w:rsidR="008D6125" w:rsidRDefault="008D6125" w:rsidP="00F348FE">
      <w:pPr>
        <w:pStyle w:val="ListParagraph1"/>
        <w:ind w:left="0"/>
        <w:rPr>
          <w:b/>
          <w:bCs/>
          <w:sz w:val="24"/>
          <w:szCs w:val="24"/>
        </w:rPr>
      </w:pPr>
    </w:p>
    <w:p w:rsidR="008D6125" w:rsidRDefault="008D6125" w:rsidP="00F348FE">
      <w:pPr>
        <w:pStyle w:val="ListParagraph1"/>
        <w:ind w:left="0"/>
        <w:rPr>
          <w:b/>
          <w:bCs/>
          <w:sz w:val="24"/>
          <w:szCs w:val="24"/>
        </w:rPr>
      </w:pPr>
    </w:p>
    <w:p w:rsidR="008D6125" w:rsidRDefault="008D6125" w:rsidP="00F348FE">
      <w:pPr>
        <w:pStyle w:val="ListParagraph1"/>
        <w:ind w:left="0"/>
        <w:rPr>
          <w:b/>
          <w:bCs/>
          <w:sz w:val="24"/>
          <w:szCs w:val="24"/>
        </w:rPr>
      </w:pPr>
    </w:p>
    <w:p w:rsidR="00A510DD" w:rsidRDefault="00A510DD" w:rsidP="00F348FE">
      <w:pPr>
        <w:pStyle w:val="ListParagraph1"/>
        <w:ind w:left="0"/>
        <w:rPr>
          <w:b/>
          <w:bCs/>
          <w:sz w:val="24"/>
          <w:szCs w:val="24"/>
        </w:rPr>
      </w:pPr>
    </w:p>
    <w:p w:rsidR="00F93CE1" w:rsidRDefault="00F93CE1" w:rsidP="00F348FE">
      <w:pPr>
        <w:pStyle w:val="ListParagraph1"/>
        <w:ind w:left="0"/>
        <w:rPr>
          <w:b/>
          <w:bCs/>
          <w:sz w:val="24"/>
          <w:szCs w:val="24"/>
        </w:rPr>
      </w:pPr>
    </w:p>
    <w:p w:rsidR="00187A36" w:rsidRDefault="00187A36" w:rsidP="00F348FE">
      <w:pPr>
        <w:pStyle w:val="ListParagraph1"/>
        <w:ind w:left="0"/>
        <w:rPr>
          <w:b/>
          <w:bCs/>
          <w:sz w:val="24"/>
          <w:szCs w:val="24"/>
        </w:rPr>
      </w:pPr>
    </w:p>
    <w:p w:rsidR="00381A73" w:rsidRPr="004E34EF" w:rsidRDefault="00F706A9" w:rsidP="00F348FE">
      <w:pPr>
        <w:pStyle w:val="ListParagraph1"/>
        <w:ind w:left="0"/>
        <w:rPr>
          <w:rFonts w:ascii="NewBaskerville" w:hAnsi="NewBaskerville"/>
          <w:b/>
          <w:bCs/>
          <w:sz w:val="24"/>
          <w:szCs w:val="24"/>
        </w:rPr>
      </w:pPr>
      <w:r w:rsidRPr="004E34EF">
        <w:rPr>
          <w:rFonts w:ascii="NewBaskerville" w:hAnsi="NewBaskerville"/>
          <w:b/>
          <w:bCs/>
          <w:sz w:val="24"/>
          <w:szCs w:val="24"/>
        </w:rPr>
        <w:lastRenderedPageBreak/>
        <w:t>6</w:t>
      </w:r>
      <w:r w:rsidR="00F348FE" w:rsidRPr="004E34EF">
        <w:rPr>
          <w:rFonts w:ascii="NewBaskerville" w:hAnsi="NewBaskerville"/>
          <w:b/>
          <w:bCs/>
          <w:sz w:val="24"/>
          <w:szCs w:val="24"/>
        </w:rPr>
        <w:t xml:space="preserve">. </w:t>
      </w:r>
      <w:r w:rsidR="00381A73" w:rsidRPr="004E34EF">
        <w:rPr>
          <w:rFonts w:ascii="NewBaskerville" w:hAnsi="NewBaskerville"/>
          <w:b/>
          <w:bCs/>
          <w:sz w:val="24"/>
          <w:szCs w:val="24"/>
        </w:rPr>
        <w:t>Inmovilizado material</w:t>
      </w:r>
    </w:p>
    <w:p w:rsidR="00653024" w:rsidRDefault="00653024" w:rsidP="00381A73">
      <w:pPr>
        <w:tabs>
          <w:tab w:val="right" w:pos="8364"/>
        </w:tabs>
        <w:jc w:val="both"/>
      </w:pPr>
    </w:p>
    <w:p w:rsidR="00227164" w:rsidRPr="004E34EF" w:rsidRDefault="00381A73" w:rsidP="00DE5AD0">
      <w:pPr>
        <w:tabs>
          <w:tab w:val="right" w:pos="8364"/>
        </w:tabs>
        <w:spacing w:after="120"/>
        <w:ind w:firstLine="567"/>
        <w:jc w:val="both"/>
        <w:rPr>
          <w:rFonts w:ascii="NewBaskerville" w:hAnsi="NewBaskerville"/>
        </w:rPr>
      </w:pPr>
      <w:r w:rsidRPr="004E34EF">
        <w:rPr>
          <w:rFonts w:ascii="NewBaskerville" w:hAnsi="NewBaskerville"/>
        </w:rPr>
        <w:t>El movimiento de las inmovilizaciones e</w:t>
      </w:r>
      <w:r w:rsidR="004D3AEE" w:rsidRPr="004E34EF">
        <w:rPr>
          <w:rFonts w:ascii="NewBaskerville" w:hAnsi="NewBaskerville"/>
        </w:rPr>
        <w:t>n</w:t>
      </w:r>
      <w:r w:rsidR="007863E3" w:rsidRPr="004E34EF">
        <w:rPr>
          <w:rFonts w:ascii="NewBaskerville" w:hAnsi="NewBaskerville"/>
        </w:rPr>
        <w:t xml:space="preserve"> curso durante el ejercicio 202</w:t>
      </w:r>
      <w:r w:rsidR="00504C9F">
        <w:rPr>
          <w:rFonts w:ascii="NewBaskerville" w:hAnsi="NewBaskerville"/>
        </w:rPr>
        <w:t>3</w:t>
      </w:r>
      <w:r w:rsidRPr="004E34EF">
        <w:rPr>
          <w:rFonts w:ascii="NewBaskerville" w:hAnsi="NewBaskerville"/>
        </w:rPr>
        <w:t xml:space="preserve"> y</w:t>
      </w:r>
      <w:r w:rsidR="007863E3" w:rsidRPr="004E34EF">
        <w:rPr>
          <w:rFonts w:ascii="NewBaskerville" w:hAnsi="NewBaskerville"/>
        </w:rPr>
        <w:t xml:space="preserve"> 202</w:t>
      </w:r>
      <w:r w:rsidR="00504C9F">
        <w:rPr>
          <w:rFonts w:ascii="NewBaskerville" w:hAnsi="NewBaskerville"/>
        </w:rPr>
        <w:t>2</w:t>
      </w:r>
      <w:r w:rsidR="00356D50" w:rsidRPr="004E34EF">
        <w:rPr>
          <w:rFonts w:ascii="NewBaskerville" w:hAnsi="NewBaskerville"/>
        </w:rPr>
        <w:t xml:space="preserve"> </w:t>
      </w:r>
      <w:r w:rsidRPr="004E34EF">
        <w:rPr>
          <w:rFonts w:ascii="NewBaskerville" w:hAnsi="NewBaskerville"/>
        </w:rPr>
        <w:t>son los siguientes:</w:t>
      </w:r>
    </w:p>
    <w:p w:rsidR="00D51C1D" w:rsidRDefault="00D51C1D" w:rsidP="009726BB">
      <w:pPr>
        <w:tabs>
          <w:tab w:val="right" w:pos="8364"/>
        </w:tabs>
        <w:spacing w:after="120"/>
        <w:jc w:val="both"/>
      </w:pPr>
    </w:p>
    <w:p w:rsidR="002C33C1" w:rsidRDefault="002C33C1" w:rsidP="009726BB">
      <w:pPr>
        <w:tabs>
          <w:tab w:val="right" w:pos="8364"/>
        </w:tabs>
        <w:spacing w:after="120"/>
        <w:jc w:val="both"/>
      </w:pPr>
    </w:p>
    <w:tbl>
      <w:tblPr>
        <w:tblW w:w="6548" w:type="dxa"/>
        <w:tblInd w:w="70" w:type="dxa"/>
        <w:tblCellMar>
          <w:left w:w="70" w:type="dxa"/>
          <w:right w:w="70" w:type="dxa"/>
        </w:tblCellMar>
        <w:tblLook w:val="04A0" w:firstRow="1" w:lastRow="0" w:firstColumn="1" w:lastColumn="0" w:noHBand="0" w:noVBand="1"/>
      </w:tblPr>
      <w:tblGrid>
        <w:gridCol w:w="3056"/>
        <w:gridCol w:w="1996"/>
        <w:gridCol w:w="1496"/>
      </w:tblGrid>
      <w:tr w:rsidR="002C33C1" w:rsidRPr="002C33C1" w:rsidTr="002C33C1">
        <w:trPr>
          <w:trHeight w:val="300"/>
        </w:trPr>
        <w:tc>
          <w:tcPr>
            <w:tcW w:w="3056" w:type="dxa"/>
            <w:tcBorders>
              <w:top w:val="nil"/>
              <w:left w:val="nil"/>
              <w:bottom w:val="nil"/>
              <w:right w:val="nil"/>
            </w:tcBorders>
            <w:shd w:val="clear" w:color="auto" w:fill="auto"/>
            <w:noWrap/>
            <w:vAlign w:val="bottom"/>
            <w:hideMark/>
          </w:tcPr>
          <w:p w:rsidR="002C33C1" w:rsidRPr="002C33C1" w:rsidRDefault="002C33C1" w:rsidP="002C33C1">
            <w:pPr>
              <w:rPr>
                <w:rFonts w:ascii="Lucida Bright" w:hAnsi="Lucida Bright" w:cs="Calibri"/>
                <w:b/>
                <w:bCs/>
                <w:color w:val="000000"/>
                <w:sz w:val="18"/>
                <w:szCs w:val="18"/>
                <w:lang w:val="es-ES"/>
              </w:rPr>
            </w:pPr>
            <w:r w:rsidRPr="002C33C1">
              <w:rPr>
                <w:rFonts w:ascii="Lucida Bright" w:hAnsi="Lucida Bright" w:cs="Calibri"/>
                <w:b/>
                <w:bCs/>
                <w:color w:val="000000"/>
                <w:sz w:val="18"/>
                <w:szCs w:val="18"/>
                <w:lang w:val="es-ES"/>
              </w:rPr>
              <w:t>Saldo a 31/12/2022</w:t>
            </w:r>
          </w:p>
        </w:tc>
        <w:tc>
          <w:tcPr>
            <w:tcW w:w="1996" w:type="dxa"/>
            <w:tcBorders>
              <w:top w:val="nil"/>
              <w:left w:val="nil"/>
              <w:bottom w:val="nil"/>
              <w:right w:val="nil"/>
            </w:tcBorders>
            <w:shd w:val="clear" w:color="auto" w:fill="auto"/>
            <w:noWrap/>
            <w:vAlign w:val="bottom"/>
            <w:hideMark/>
          </w:tcPr>
          <w:p w:rsidR="002C33C1" w:rsidRPr="002C33C1" w:rsidRDefault="002C33C1" w:rsidP="002C33C1">
            <w:pPr>
              <w:rPr>
                <w:rFonts w:ascii="Calibri" w:hAnsi="Calibri" w:cs="Calibri"/>
                <w:color w:val="000000"/>
                <w:sz w:val="22"/>
                <w:szCs w:val="22"/>
                <w:lang w:val="es-ES"/>
              </w:rPr>
            </w:pPr>
          </w:p>
        </w:tc>
        <w:tc>
          <w:tcPr>
            <w:tcW w:w="1496" w:type="dxa"/>
            <w:tcBorders>
              <w:top w:val="nil"/>
              <w:left w:val="nil"/>
              <w:bottom w:val="nil"/>
              <w:right w:val="nil"/>
            </w:tcBorders>
            <w:shd w:val="clear" w:color="auto" w:fill="auto"/>
            <w:noWrap/>
            <w:vAlign w:val="bottom"/>
            <w:hideMark/>
          </w:tcPr>
          <w:p w:rsidR="002C33C1" w:rsidRPr="002C33C1" w:rsidRDefault="002C33C1" w:rsidP="002C33C1">
            <w:pPr>
              <w:jc w:val="right"/>
              <w:rPr>
                <w:rFonts w:ascii="Lucida Bright" w:hAnsi="Lucida Bright" w:cs="Calibri"/>
                <w:b/>
                <w:bCs/>
                <w:color w:val="000000"/>
                <w:sz w:val="18"/>
                <w:szCs w:val="18"/>
                <w:lang w:val="es-ES"/>
              </w:rPr>
            </w:pPr>
            <w:r w:rsidRPr="002C33C1">
              <w:rPr>
                <w:rFonts w:ascii="Lucida Bright" w:hAnsi="Lucida Bright" w:cs="Calibri"/>
                <w:b/>
                <w:bCs/>
                <w:color w:val="000000"/>
                <w:sz w:val="18"/>
                <w:szCs w:val="18"/>
                <w:lang w:val="es-ES"/>
              </w:rPr>
              <w:t xml:space="preserve">56.176.200,63 </w:t>
            </w:r>
          </w:p>
        </w:tc>
      </w:tr>
      <w:tr w:rsidR="002C33C1" w:rsidRPr="002C33C1" w:rsidTr="002C33C1">
        <w:trPr>
          <w:trHeight w:val="300"/>
        </w:trPr>
        <w:tc>
          <w:tcPr>
            <w:tcW w:w="3056" w:type="dxa"/>
            <w:tcBorders>
              <w:top w:val="nil"/>
              <w:left w:val="nil"/>
              <w:bottom w:val="nil"/>
              <w:right w:val="nil"/>
            </w:tcBorders>
            <w:shd w:val="clear" w:color="auto" w:fill="auto"/>
            <w:noWrap/>
            <w:vAlign w:val="bottom"/>
            <w:hideMark/>
          </w:tcPr>
          <w:p w:rsidR="002C33C1" w:rsidRPr="002C33C1" w:rsidRDefault="002C33C1" w:rsidP="002C33C1">
            <w:pPr>
              <w:rPr>
                <w:rFonts w:ascii="Lucida Bright" w:hAnsi="Lucida Bright" w:cs="Calibri"/>
                <w:color w:val="000000"/>
                <w:sz w:val="18"/>
                <w:szCs w:val="18"/>
                <w:lang w:val="es-ES"/>
              </w:rPr>
            </w:pPr>
            <w:r w:rsidRPr="002C33C1">
              <w:rPr>
                <w:rFonts w:ascii="Lucida Bright" w:hAnsi="Lucida Bright" w:cs="Calibri"/>
                <w:color w:val="000000"/>
                <w:sz w:val="18"/>
                <w:szCs w:val="18"/>
                <w:lang w:val="es-ES"/>
              </w:rPr>
              <w:t>(+) Adiciones por inversión</w:t>
            </w:r>
          </w:p>
        </w:tc>
        <w:tc>
          <w:tcPr>
            <w:tcW w:w="1996" w:type="dxa"/>
            <w:tcBorders>
              <w:top w:val="nil"/>
              <w:left w:val="nil"/>
              <w:bottom w:val="nil"/>
              <w:right w:val="nil"/>
            </w:tcBorders>
            <w:shd w:val="clear" w:color="auto" w:fill="auto"/>
            <w:noWrap/>
            <w:vAlign w:val="bottom"/>
            <w:hideMark/>
          </w:tcPr>
          <w:p w:rsidR="002C33C1" w:rsidRPr="002C33C1" w:rsidRDefault="002C33C1" w:rsidP="002C33C1">
            <w:pPr>
              <w:rPr>
                <w:rFonts w:ascii="Calibri" w:hAnsi="Calibri" w:cs="Calibri"/>
                <w:color w:val="000000"/>
                <w:sz w:val="22"/>
                <w:szCs w:val="22"/>
                <w:lang w:val="es-ES"/>
              </w:rPr>
            </w:pPr>
          </w:p>
        </w:tc>
        <w:tc>
          <w:tcPr>
            <w:tcW w:w="1496" w:type="dxa"/>
            <w:tcBorders>
              <w:top w:val="nil"/>
              <w:left w:val="nil"/>
              <w:bottom w:val="nil"/>
              <w:right w:val="nil"/>
            </w:tcBorders>
            <w:shd w:val="clear" w:color="auto" w:fill="auto"/>
            <w:noWrap/>
            <w:vAlign w:val="bottom"/>
            <w:hideMark/>
          </w:tcPr>
          <w:p w:rsidR="002C33C1" w:rsidRPr="002C33C1" w:rsidRDefault="002C33C1" w:rsidP="002C33C1">
            <w:pPr>
              <w:jc w:val="right"/>
              <w:rPr>
                <w:rFonts w:ascii="Lucida Bright" w:hAnsi="Lucida Bright" w:cs="Calibri"/>
                <w:color w:val="000000"/>
                <w:sz w:val="18"/>
                <w:szCs w:val="18"/>
                <w:lang w:val="es-ES"/>
              </w:rPr>
            </w:pPr>
            <w:r w:rsidRPr="002C33C1">
              <w:rPr>
                <w:rFonts w:ascii="Lucida Bright" w:hAnsi="Lucida Bright" w:cs="Calibri"/>
                <w:color w:val="000000"/>
                <w:sz w:val="18"/>
                <w:szCs w:val="18"/>
                <w:lang w:val="es-ES"/>
              </w:rPr>
              <w:t xml:space="preserve">39.632.030,52 </w:t>
            </w:r>
          </w:p>
        </w:tc>
      </w:tr>
      <w:tr w:rsidR="002C33C1" w:rsidRPr="002C33C1" w:rsidTr="002C33C1">
        <w:trPr>
          <w:trHeight w:val="300"/>
        </w:trPr>
        <w:tc>
          <w:tcPr>
            <w:tcW w:w="5052" w:type="dxa"/>
            <w:gridSpan w:val="2"/>
            <w:tcBorders>
              <w:top w:val="nil"/>
              <w:left w:val="nil"/>
              <w:bottom w:val="nil"/>
              <w:right w:val="nil"/>
            </w:tcBorders>
            <w:shd w:val="clear" w:color="auto" w:fill="auto"/>
            <w:noWrap/>
            <w:vAlign w:val="bottom"/>
            <w:hideMark/>
          </w:tcPr>
          <w:p w:rsidR="002C33C1" w:rsidRPr="002C33C1" w:rsidRDefault="002C33C1" w:rsidP="002C33C1">
            <w:pPr>
              <w:rPr>
                <w:rFonts w:ascii="Lucida Bright" w:hAnsi="Lucida Bright" w:cs="Calibri"/>
                <w:color w:val="000000"/>
                <w:sz w:val="18"/>
                <w:szCs w:val="18"/>
                <w:lang w:val="es-ES"/>
              </w:rPr>
            </w:pPr>
            <w:r w:rsidRPr="002C33C1">
              <w:rPr>
                <w:rFonts w:ascii="Lucida Bright" w:hAnsi="Lucida Bright" w:cs="Calibri"/>
                <w:color w:val="000000"/>
                <w:sz w:val="18"/>
                <w:szCs w:val="18"/>
                <w:lang w:val="es-ES"/>
              </w:rPr>
              <w:t xml:space="preserve">(+) Transferencias desde otros Organismos Públicos  </w:t>
            </w:r>
          </w:p>
        </w:tc>
        <w:tc>
          <w:tcPr>
            <w:tcW w:w="1496" w:type="dxa"/>
            <w:tcBorders>
              <w:top w:val="nil"/>
              <w:left w:val="nil"/>
              <w:bottom w:val="nil"/>
              <w:right w:val="nil"/>
            </w:tcBorders>
            <w:shd w:val="clear" w:color="auto" w:fill="auto"/>
            <w:noWrap/>
            <w:vAlign w:val="bottom"/>
            <w:hideMark/>
          </w:tcPr>
          <w:p w:rsidR="002C33C1" w:rsidRPr="002C33C1" w:rsidRDefault="002C33C1" w:rsidP="002C33C1">
            <w:pPr>
              <w:jc w:val="right"/>
              <w:rPr>
                <w:rFonts w:ascii="Lucida Bright" w:hAnsi="Lucida Bright" w:cs="Calibri"/>
                <w:color w:val="000000"/>
                <w:sz w:val="18"/>
                <w:szCs w:val="18"/>
                <w:lang w:val="es-ES"/>
              </w:rPr>
            </w:pPr>
            <w:r w:rsidRPr="002C33C1">
              <w:rPr>
                <w:rFonts w:ascii="Lucida Bright" w:hAnsi="Lucida Bright" w:cs="Calibri"/>
                <w:color w:val="000000"/>
                <w:sz w:val="18"/>
                <w:szCs w:val="18"/>
                <w:lang w:val="es-ES"/>
              </w:rPr>
              <w:t xml:space="preserve">14.401,08 </w:t>
            </w:r>
          </w:p>
        </w:tc>
      </w:tr>
      <w:tr w:rsidR="002C33C1" w:rsidRPr="002C33C1" w:rsidTr="002C33C1">
        <w:trPr>
          <w:trHeight w:val="300"/>
        </w:trPr>
        <w:tc>
          <w:tcPr>
            <w:tcW w:w="5052" w:type="dxa"/>
            <w:gridSpan w:val="2"/>
            <w:tcBorders>
              <w:top w:val="nil"/>
              <w:left w:val="nil"/>
              <w:bottom w:val="nil"/>
              <w:right w:val="nil"/>
            </w:tcBorders>
            <w:shd w:val="clear" w:color="auto" w:fill="auto"/>
            <w:noWrap/>
            <w:vAlign w:val="bottom"/>
            <w:hideMark/>
          </w:tcPr>
          <w:p w:rsidR="002C33C1" w:rsidRPr="002C33C1" w:rsidRDefault="002C33C1" w:rsidP="002C33C1">
            <w:pPr>
              <w:rPr>
                <w:rFonts w:ascii="Lucida Bright" w:hAnsi="Lucida Bright" w:cs="Calibri"/>
                <w:color w:val="000000"/>
                <w:sz w:val="18"/>
                <w:szCs w:val="18"/>
                <w:lang w:val="es-ES"/>
              </w:rPr>
            </w:pPr>
            <w:r w:rsidRPr="002C33C1">
              <w:rPr>
                <w:rFonts w:ascii="Lucida Bright" w:hAnsi="Lucida Bright" w:cs="Calibri"/>
                <w:color w:val="000000"/>
                <w:sz w:val="18"/>
                <w:szCs w:val="18"/>
                <w:lang w:val="es-ES"/>
              </w:rPr>
              <w:t>(-) Traspasos a inmovilizado material</w:t>
            </w:r>
          </w:p>
        </w:tc>
        <w:tc>
          <w:tcPr>
            <w:tcW w:w="1496" w:type="dxa"/>
            <w:tcBorders>
              <w:top w:val="nil"/>
              <w:left w:val="nil"/>
              <w:bottom w:val="nil"/>
              <w:right w:val="nil"/>
            </w:tcBorders>
            <w:shd w:val="clear" w:color="auto" w:fill="auto"/>
            <w:noWrap/>
            <w:vAlign w:val="bottom"/>
            <w:hideMark/>
          </w:tcPr>
          <w:p w:rsidR="002C33C1" w:rsidRPr="002C33C1" w:rsidRDefault="002C33C1" w:rsidP="002C33C1">
            <w:pPr>
              <w:jc w:val="right"/>
              <w:rPr>
                <w:rFonts w:ascii="Lucida Bright" w:hAnsi="Lucida Bright" w:cs="Calibri"/>
                <w:color w:val="000000"/>
                <w:sz w:val="18"/>
                <w:szCs w:val="18"/>
                <w:lang w:val="es-ES"/>
              </w:rPr>
            </w:pPr>
            <w:r w:rsidRPr="002C33C1">
              <w:rPr>
                <w:rFonts w:ascii="Lucida Bright" w:hAnsi="Lucida Bright" w:cs="Calibri"/>
                <w:color w:val="000000"/>
                <w:sz w:val="18"/>
                <w:szCs w:val="18"/>
                <w:lang w:val="es-ES"/>
              </w:rPr>
              <w:t xml:space="preserve">(28.520.184,00) </w:t>
            </w:r>
          </w:p>
        </w:tc>
      </w:tr>
      <w:tr w:rsidR="002C33C1" w:rsidRPr="002C33C1" w:rsidTr="002C33C1">
        <w:trPr>
          <w:trHeight w:val="300"/>
        </w:trPr>
        <w:tc>
          <w:tcPr>
            <w:tcW w:w="5052" w:type="dxa"/>
            <w:gridSpan w:val="2"/>
            <w:tcBorders>
              <w:top w:val="nil"/>
              <w:left w:val="nil"/>
              <w:bottom w:val="nil"/>
              <w:right w:val="nil"/>
            </w:tcBorders>
            <w:shd w:val="clear" w:color="auto" w:fill="auto"/>
            <w:noWrap/>
            <w:vAlign w:val="bottom"/>
            <w:hideMark/>
          </w:tcPr>
          <w:p w:rsidR="002C33C1" w:rsidRPr="002C33C1" w:rsidRDefault="002C33C1" w:rsidP="002C33C1">
            <w:pPr>
              <w:rPr>
                <w:rFonts w:ascii="Lucida Bright" w:hAnsi="Lucida Bright" w:cs="Calibri"/>
                <w:color w:val="000000"/>
                <w:sz w:val="18"/>
                <w:szCs w:val="18"/>
                <w:lang w:val="es-ES"/>
              </w:rPr>
            </w:pPr>
            <w:r w:rsidRPr="002C33C1">
              <w:rPr>
                <w:rFonts w:ascii="Lucida Bright" w:hAnsi="Lucida Bright" w:cs="Calibri"/>
                <w:color w:val="000000"/>
                <w:sz w:val="18"/>
                <w:szCs w:val="18"/>
                <w:lang w:val="es-ES"/>
              </w:rPr>
              <w:t>(-) Traspasos a inversiones inmobiliarias</w:t>
            </w:r>
          </w:p>
        </w:tc>
        <w:tc>
          <w:tcPr>
            <w:tcW w:w="1496" w:type="dxa"/>
            <w:tcBorders>
              <w:top w:val="nil"/>
              <w:left w:val="nil"/>
              <w:bottom w:val="nil"/>
              <w:right w:val="nil"/>
            </w:tcBorders>
            <w:shd w:val="clear" w:color="auto" w:fill="auto"/>
            <w:noWrap/>
            <w:vAlign w:val="bottom"/>
            <w:hideMark/>
          </w:tcPr>
          <w:p w:rsidR="002C33C1" w:rsidRPr="002C33C1" w:rsidRDefault="002C33C1" w:rsidP="002C33C1">
            <w:pPr>
              <w:jc w:val="right"/>
              <w:rPr>
                <w:rFonts w:ascii="Lucida Bright" w:hAnsi="Lucida Bright" w:cs="Calibri"/>
                <w:color w:val="000000"/>
                <w:sz w:val="18"/>
                <w:szCs w:val="18"/>
                <w:lang w:val="es-ES"/>
              </w:rPr>
            </w:pPr>
            <w:r w:rsidRPr="002C33C1">
              <w:rPr>
                <w:rFonts w:ascii="Lucida Bright" w:hAnsi="Lucida Bright" w:cs="Calibri"/>
                <w:color w:val="000000"/>
                <w:sz w:val="18"/>
                <w:szCs w:val="18"/>
                <w:lang w:val="es-ES"/>
              </w:rPr>
              <w:t xml:space="preserve">(151.756,91) </w:t>
            </w:r>
          </w:p>
        </w:tc>
      </w:tr>
      <w:tr w:rsidR="002C33C1" w:rsidRPr="002C33C1" w:rsidTr="002C33C1">
        <w:trPr>
          <w:trHeight w:val="300"/>
        </w:trPr>
        <w:tc>
          <w:tcPr>
            <w:tcW w:w="5052" w:type="dxa"/>
            <w:gridSpan w:val="2"/>
            <w:tcBorders>
              <w:top w:val="nil"/>
              <w:left w:val="nil"/>
              <w:bottom w:val="nil"/>
              <w:right w:val="nil"/>
            </w:tcBorders>
            <w:shd w:val="clear" w:color="auto" w:fill="auto"/>
            <w:noWrap/>
            <w:vAlign w:val="bottom"/>
            <w:hideMark/>
          </w:tcPr>
          <w:p w:rsidR="002C33C1" w:rsidRPr="002C33C1" w:rsidRDefault="002C33C1" w:rsidP="002C33C1">
            <w:pPr>
              <w:rPr>
                <w:rFonts w:ascii="Lucida Bright" w:hAnsi="Lucida Bright" w:cs="Calibri"/>
                <w:color w:val="000000"/>
                <w:sz w:val="18"/>
                <w:szCs w:val="18"/>
                <w:lang w:val="es-ES"/>
              </w:rPr>
            </w:pPr>
            <w:r w:rsidRPr="002C33C1">
              <w:rPr>
                <w:rFonts w:ascii="Lucida Bright" w:hAnsi="Lucida Bright" w:cs="Calibri"/>
                <w:color w:val="000000"/>
                <w:sz w:val="18"/>
                <w:szCs w:val="18"/>
                <w:lang w:val="es-ES"/>
              </w:rPr>
              <w:t>(-) Traspasos a inmovilizado intangible</w:t>
            </w:r>
          </w:p>
        </w:tc>
        <w:tc>
          <w:tcPr>
            <w:tcW w:w="1496" w:type="dxa"/>
            <w:tcBorders>
              <w:top w:val="nil"/>
              <w:left w:val="nil"/>
              <w:bottom w:val="nil"/>
              <w:right w:val="nil"/>
            </w:tcBorders>
            <w:shd w:val="clear" w:color="auto" w:fill="auto"/>
            <w:noWrap/>
            <w:vAlign w:val="bottom"/>
            <w:hideMark/>
          </w:tcPr>
          <w:p w:rsidR="002C33C1" w:rsidRPr="002C33C1" w:rsidRDefault="002C33C1" w:rsidP="002C33C1">
            <w:pPr>
              <w:jc w:val="right"/>
              <w:rPr>
                <w:rFonts w:ascii="Lucida Bright" w:hAnsi="Lucida Bright" w:cs="Calibri"/>
                <w:color w:val="000000"/>
                <w:sz w:val="18"/>
                <w:szCs w:val="18"/>
                <w:lang w:val="es-ES"/>
              </w:rPr>
            </w:pPr>
            <w:r w:rsidRPr="002C33C1">
              <w:rPr>
                <w:rFonts w:ascii="Lucida Bright" w:hAnsi="Lucida Bright" w:cs="Calibri"/>
                <w:color w:val="000000"/>
                <w:sz w:val="18"/>
                <w:szCs w:val="18"/>
                <w:lang w:val="es-ES"/>
              </w:rPr>
              <w:t xml:space="preserve">(359.952,03) </w:t>
            </w:r>
          </w:p>
        </w:tc>
      </w:tr>
      <w:tr w:rsidR="002C33C1" w:rsidRPr="002C33C1" w:rsidTr="002C33C1">
        <w:trPr>
          <w:trHeight w:val="300"/>
        </w:trPr>
        <w:tc>
          <w:tcPr>
            <w:tcW w:w="3056" w:type="dxa"/>
            <w:tcBorders>
              <w:top w:val="nil"/>
              <w:left w:val="nil"/>
              <w:bottom w:val="nil"/>
              <w:right w:val="nil"/>
            </w:tcBorders>
            <w:shd w:val="clear" w:color="auto" w:fill="auto"/>
            <w:noWrap/>
            <w:vAlign w:val="bottom"/>
            <w:hideMark/>
          </w:tcPr>
          <w:p w:rsidR="002C33C1" w:rsidRPr="002C33C1" w:rsidRDefault="002C33C1" w:rsidP="002C33C1">
            <w:pPr>
              <w:rPr>
                <w:rFonts w:ascii="Lucida Bright" w:hAnsi="Lucida Bright" w:cs="Calibri"/>
                <w:color w:val="000000"/>
                <w:sz w:val="18"/>
                <w:szCs w:val="18"/>
                <w:lang w:val="es-ES"/>
              </w:rPr>
            </w:pPr>
            <w:r w:rsidRPr="002C33C1">
              <w:rPr>
                <w:rFonts w:ascii="Lucida Bright" w:hAnsi="Lucida Bright" w:cs="Calibri"/>
                <w:color w:val="000000"/>
                <w:sz w:val="18"/>
                <w:szCs w:val="18"/>
                <w:lang w:val="es-ES"/>
              </w:rPr>
              <w:t>(-) Traspasos a gastos</w:t>
            </w:r>
          </w:p>
        </w:tc>
        <w:tc>
          <w:tcPr>
            <w:tcW w:w="1996" w:type="dxa"/>
            <w:tcBorders>
              <w:top w:val="nil"/>
              <w:left w:val="nil"/>
              <w:bottom w:val="nil"/>
              <w:right w:val="nil"/>
            </w:tcBorders>
            <w:shd w:val="clear" w:color="auto" w:fill="auto"/>
            <w:noWrap/>
            <w:vAlign w:val="bottom"/>
            <w:hideMark/>
          </w:tcPr>
          <w:p w:rsidR="002C33C1" w:rsidRPr="002C33C1" w:rsidRDefault="002C33C1" w:rsidP="002C33C1">
            <w:pPr>
              <w:rPr>
                <w:rFonts w:ascii="Calibri" w:hAnsi="Calibri" w:cs="Calibri"/>
                <w:color w:val="000000"/>
                <w:sz w:val="22"/>
                <w:szCs w:val="22"/>
                <w:lang w:val="es-ES"/>
              </w:rPr>
            </w:pPr>
          </w:p>
        </w:tc>
        <w:tc>
          <w:tcPr>
            <w:tcW w:w="1496" w:type="dxa"/>
            <w:tcBorders>
              <w:top w:val="nil"/>
              <w:left w:val="nil"/>
              <w:bottom w:val="nil"/>
              <w:right w:val="nil"/>
            </w:tcBorders>
            <w:shd w:val="clear" w:color="auto" w:fill="auto"/>
            <w:noWrap/>
            <w:vAlign w:val="bottom"/>
            <w:hideMark/>
          </w:tcPr>
          <w:p w:rsidR="002C33C1" w:rsidRPr="002C33C1" w:rsidRDefault="002C33C1" w:rsidP="002C33C1">
            <w:pPr>
              <w:jc w:val="right"/>
              <w:rPr>
                <w:rFonts w:ascii="Lucida Bright" w:hAnsi="Lucida Bright" w:cs="Calibri"/>
                <w:color w:val="000000"/>
                <w:sz w:val="18"/>
                <w:szCs w:val="18"/>
                <w:lang w:val="es-ES"/>
              </w:rPr>
            </w:pPr>
            <w:r w:rsidRPr="002C33C1">
              <w:rPr>
                <w:rFonts w:ascii="Lucida Bright" w:hAnsi="Lucida Bright" w:cs="Calibri"/>
                <w:color w:val="000000"/>
                <w:sz w:val="18"/>
                <w:szCs w:val="18"/>
                <w:lang w:val="es-ES"/>
              </w:rPr>
              <w:t xml:space="preserve">(15.000,00) </w:t>
            </w:r>
          </w:p>
        </w:tc>
      </w:tr>
      <w:tr w:rsidR="002C33C1" w:rsidRPr="002C33C1" w:rsidTr="002C33C1">
        <w:trPr>
          <w:trHeight w:val="300"/>
        </w:trPr>
        <w:tc>
          <w:tcPr>
            <w:tcW w:w="3056" w:type="dxa"/>
            <w:tcBorders>
              <w:top w:val="nil"/>
              <w:left w:val="nil"/>
              <w:bottom w:val="nil"/>
              <w:right w:val="nil"/>
            </w:tcBorders>
            <w:shd w:val="clear" w:color="auto" w:fill="auto"/>
            <w:noWrap/>
            <w:vAlign w:val="bottom"/>
            <w:hideMark/>
          </w:tcPr>
          <w:p w:rsidR="002C33C1" w:rsidRPr="002C33C1" w:rsidRDefault="002C33C1" w:rsidP="002C33C1">
            <w:pPr>
              <w:rPr>
                <w:rFonts w:ascii="Lucida Bright" w:hAnsi="Lucida Bright" w:cs="Calibri"/>
                <w:color w:val="000000"/>
                <w:sz w:val="18"/>
                <w:szCs w:val="18"/>
                <w:lang w:val="es-ES"/>
              </w:rPr>
            </w:pPr>
            <w:r w:rsidRPr="002C33C1">
              <w:rPr>
                <w:rFonts w:ascii="Lucida Bright" w:hAnsi="Lucida Bright" w:cs="Calibri"/>
                <w:color w:val="000000"/>
                <w:sz w:val="18"/>
                <w:szCs w:val="18"/>
                <w:lang w:val="es-ES"/>
              </w:rPr>
              <w:t>(-) Bajas</w:t>
            </w:r>
          </w:p>
        </w:tc>
        <w:tc>
          <w:tcPr>
            <w:tcW w:w="1996" w:type="dxa"/>
            <w:tcBorders>
              <w:top w:val="nil"/>
              <w:left w:val="nil"/>
              <w:bottom w:val="nil"/>
              <w:right w:val="nil"/>
            </w:tcBorders>
            <w:shd w:val="clear" w:color="auto" w:fill="auto"/>
            <w:noWrap/>
            <w:vAlign w:val="bottom"/>
            <w:hideMark/>
          </w:tcPr>
          <w:p w:rsidR="002C33C1" w:rsidRPr="002C33C1" w:rsidRDefault="002C33C1" w:rsidP="002C33C1">
            <w:pPr>
              <w:rPr>
                <w:rFonts w:ascii="Calibri" w:hAnsi="Calibri" w:cs="Calibri"/>
                <w:color w:val="000000"/>
                <w:sz w:val="22"/>
                <w:szCs w:val="22"/>
                <w:lang w:val="es-ES"/>
              </w:rPr>
            </w:pPr>
          </w:p>
        </w:tc>
        <w:tc>
          <w:tcPr>
            <w:tcW w:w="1496" w:type="dxa"/>
            <w:tcBorders>
              <w:top w:val="nil"/>
              <w:left w:val="nil"/>
              <w:bottom w:val="nil"/>
              <w:right w:val="nil"/>
            </w:tcBorders>
            <w:shd w:val="clear" w:color="auto" w:fill="auto"/>
            <w:noWrap/>
            <w:vAlign w:val="bottom"/>
            <w:hideMark/>
          </w:tcPr>
          <w:p w:rsidR="002C33C1" w:rsidRPr="002C33C1" w:rsidRDefault="002C33C1" w:rsidP="002C33C1">
            <w:pPr>
              <w:jc w:val="right"/>
              <w:rPr>
                <w:rFonts w:ascii="Lucida Bright" w:hAnsi="Lucida Bright" w:cs="Calibri"/>
                <w:color w:val="000000"/>
                <w:sz w:val="18"/>
                <w:szCs w:val="18"/>
                <w:lang w:val="es-ES"/>
              </w:rPr>
            </w:pPr>
            <w:r w:rsidRPr="002C33C1">
              <w:rPr>
                <w:rFonts w:ascii="Lucida Bright" w:hAnsi="Lucida Bright" w:cs="Calibri"/>
                <w:color w:val="000000"/>
                <w:sz w:val="18"/>
                <w:szCs w:val="18"/>
                <w:lang w:val="es-ES"/>
              </w:rPr>
              <w:t xml:space="preserve">(237.041,42) </w:t>
            </w:r>
          </w:p>
        </w:tc>
      </w:tr>
      <w:tr w:rsidR="002C33C1" w:rsidRPr="002C33C1" w:rsidTr="002C33C1">
        <w:trPr>
          <w:trHeight w:val="300"/>
        </w:trPr>
        <w:tc>
          <w:tcPr>
            <w:tcW w:w="3056" w:type="dxa"/>
            <w:tcBorders>
              <w:top w:val="nil"/>
              <w:left w:val="nil"/>
              <w:bottom w:val="nil"/>
              <w:right w:val="nil"/>
            </w:tcBorders>
            <w:shd w:val="clear" w:color="auto" w:fill="auto"/>
            <w:noWrap/>
            <w:vAlign w:val="bottom"/>
            <w:hideMark/>
          </w:tcPr>
          <w:p w:rsidR="002C33C1" w:rsidRPr="002C33C1" w:rsidRDefault="002C33C1" w:rsidP="002C33C1">
            <w:pPr>
              <w:rPr>
                <w:rFonts w:ascii="Lucida Bright" w:hAnsi="Lucida Bright" w:cs="Calibri"/>
                <w:b/>
                <w:bCs/>
                <w:color w:val="000000"/>
                <w:sz w:val="18"/>
                <w:szCs w:val="18"/>
                <w:lang w:val="es-ES"/>
              </w:rPr>
            </w:pPr>
            <w:r w:rsidRPr="002C33C1">
              <w:rPr>
                <w:rFonts w:ascii="Lucida Bright" w:hAnsi="Lucida Bright" w:cs="Calibri"/>
                <w:b/>
                <w:bCs/>
                <w:color w:val="000000"/>
                <w:sz w:val="18"/>
                <w:szCs w:val="18"/>
                <w:lang w:val="es-ES"/>
              </w:rPr>
              <w:t>Saldo a 31/12/2023</w:t>
            </w:r>
          </w:p>
        </w:tc>
        <w:tc>
          <w:tcPr>
            <w:tcW w:w="1996" w:type="dxa"/>
            <w:tcBorders>
              <w:top w:val="nil"/>
              <w:left w:val="nil"/>
              <w:bottom w:val="nil"/>
              <w:right w:val="nil"/>
            </w:tcBorders>
            <w:shd w:val="clear" w:color="auto" w:fill="auto"/>
            <w:noWrap/>
            <w:vAlign w:val="bottom"/>
            <w:hideMark/>
          </w:tcPr>
          <w:p w:rsidR="002C33C1" w:rsidRPr="002C33C1" w:rsidRDefault="002C33C1" w:rsidP="002C33C1">
            <w:pPr>
              <w:rPr>
                <w:rFonts w:ascii="Calibri" w:hAnsi="Calibri" w:cs="Calibri"/>
                <w:color w:val="000000"/>
                <w:sz w:val="22"/>
                <w:szCs w:val="22"/>
                <w:lang w:val="es-ES"/>
              </w:rPr>
            </w:pPr>
          </w:p>
        </w:tc>
        <w:tc>
          <w:tcPr>
            <w:tcW w:w="1496" w:type="dxa"/>
            <w:tcBorders>
              <w:top w:val="nil"/>
              <w:left w:val="nil"/>
              <w:bottom w:val="nil"/>
              <w:right w:val="nil"/>
            </w:tcBorders>
            <w:shd w:val="clear" w:color="auto" w:fill="auto"/>
            <w:noWrap/>
            <w:vAlign w:val="bottom"/>
            <w:hideMark/>
          </w:tcPr>
          <w:p w:rsidR="002C33C1" w:rsidRPr="002C33C1" w:rsidRDefault="002C33C1" w:rsidP="002C33C1">
            <w:pPr>
              <w:jc w:val="right"/>
              <w:rPr>
                <w:rFonts w:ascii="Lucida Bright" w:hAnsi="Lucida Bright" w:cs="Calibri"/>
                <w:b/>
                <w:bCs/>
                <w:color w:val="000000"/>
                <w:sz w:val="18"/>
                <w:szCs w:val="18"/>
                <w:lang w:val="es-ES"/>
              </w:rPr>
            </w:pPr>
            <w:r w:rsidRPr="002C33C1">
              <w:rPr>
                <w:rFonts w:ascii="Lucida Bright" w:hAnsi="Lucida Bright" w:cs="Calibri"/>
                <w:b/>
                <w:bCs/>
                <w:color w:val="000000"/>
                <w:sz w:val="18"/>
                <w:szCs w:val="18"/>
                <w:lang w:val="es-ES"/>
              </w:rPr>
              <w:t xml:space="preserve">66.538.697,87 </w:t>
            </w:r>
          </w:p>
        </w:tc>
      </w:tr>
      <w:tr w:rsidR="002C33C1" w:rsidRPr="002C33C1" w:rsidTr="002C33C1">
        <w:trPr>
          <w:trHeight w:val="300"/>
        </w:trPr>
        <w:tc>
          <w:tcPr>
            <w:tcW w:w="3056" w:type="dxa"/>
            <w:tcBorders>
              <w:top w:val="nil"/>
              <w:left w:val="nil"/>
              <w:bottom w:val="nil"/>
              <w:right w:val="nil"/>
            </w:tcBorders>
            <w:shd w:val="clear" w:color="auto" w:fill="auto"/>
            <w:noWrap/>
            <w:vAlign w:val="bottom"/>
            <w:hideMark/>
          </w:tcPr>
          <w:p w:rsidR="002C33C1" w:rsidRPr="002C33C1" w:rsidRDefault="002C33C1" w:rsidP="002C33C1">
            <w:pPr>
              <w:rPr>
                <w:rFonts w:ascii="Lucida Bright" w:hAnsi="Lucida Bright" w:cs="Calibri"/>
                <w:color w:val="000000"/>
                <w:sz w:val="18"/>
                <w:szCs w:val="18"/>
                <w:lang w:val="es-ES"/>
              </w:rPr>
            </w:pPr>
          </w:p>
        </w:tc>
        <w:tc>
          <w:tcPr>
            <w:tcW w:w="1996" w:type="dxa"/>
            <w:tcBorders>
              <w:top w:val="nil"/>
              <w:left w:val="nil"/>
              <w:bottom w:val="nil"/>
              <w:right w:val="nil"/>
            </w:tcBorders>
            <w:shd w:val="clear" w:color="auto" w:fill="auto"/>
            <w:noWrap/>
            <w:vAlign w:val="bottom"/>
            <w:hideMark/>
          </w:tcPr>
          <w:p w:rsidR="002C33C1" w:rsidRPr="002C33C1" w:rsidRDefault="002C33C1" w:rsidP="002C33C1">
            <w:pPr>
              <w:rPr>
                <w:rFonts w:ascii="Calibri" w:hAnsi="Calibri" w:cs="Calibri"/>
                <w:color w:val="000000"/>
                <w:sz w:val="22"/>
                <w:szCs w:val="22"/>
                <w:lang w:val="es-ES"/>
              </w:rPr>
            </w:pPr>
          </w:p>
        </w:tc>
        <w:tc>
          <w:tcPr>
            <w:tcW w:w="1496" w:type="dxa"/>
            <w:tcBorders>
              <w:top w:val="nil"/>
              <w:left w:val="nil"/>
              <w:bottom w:val="nil"/>
              <w:right w:val="nil"/>
            </w:tcBorders>
            <w:shd w:val="clear" w:color="auto" w:fill="auto"/>
            <w:noWrap/>
            <w:vAlign w:val="bottom"/>
            <w:hideMark/>
          </w:tcPr>
          <w:p w:rsidR="002C33C1" w:rsidRPr="002C33C1" w:rsidRDefault="002C33C1" w:rsidP="002C33C1">
            <w:pPr>
              <w:rPr>
                <w:rFonts w:ascii="Calibri" w:hAnsi="Calibri" w:cs="Calibri"/>
                <w:color w:val="000000"/>
                <w:sz w:val="22"/>
                <w:szCs w:val="22"/>
                <w:lang w:val="es-ES"/>
              </w:rPr>
            </w:pPr>
          </w:p>
        </w:tc>
      </w:tr>
      <w:tr w:rsidR="002C33C1" w:rsidRPr="002C33C1" w:rsidTr="002C33C1">
        <w:trPr>
          <w:trHeight w:val="300"/>
        </w:trPr>
        <w:tc>
          <w:tcPr>
            <w:tcW w:w="3056" w:type="dxa"/>
            <w:tcBorders>
              <w:top w:val="nil"/>
              <w:left w:val="nil"/>
              <w:bottom w:val="nil"/>
              <w:right w:val="nil"/>
            </w:tcBorders>
            <w:shd w:val="clear" w:color="auto" w:fill="auto"/>
            <w:noWrap/>
            <w:vAlign w:val="bottom"/>
            <w:hideMark/>
          </w:tcPr>
          <w:p w:rsidR="002C33C1" w:rsidRPr="002C33C1" w:rsidRDefault="002C33C1" w:rsidP="002C33C1">
            <w:pPr>
              <w:rPr>
                <w:rFonts w:ascii="Lucida Bright" w:hAnsi="Lucida Bright" w:cs="Calibri"/>
                <w:b/>
                <w:bCs/>
                <w:color w:val="000000"/>
                <w:sz w:val="18"/>
                <w:szCs w:val="18"/>
                <w:lang w:val="es-ES"/>
              </w:rPr>
            </w:pPr>
            <w:r w:rsidRPr="002C33C1">
              <w:rPr>
                <w:rFonts w:ascii="Lucida Bright" w:hAnsi="Lucida Bright" w:cs="Calibri"/>
                <w:b/>
                <w:bCs/>
                <w:color w:val="000000"/>
                <w:sz w:val="18"/>
                <w:szCs w:val="18"/>
                <w:lang w:val="es-ES"/>
              </w:rPr>
              <w:t>Saldo a 31/12/2021</w:t>
            </w:r>
          </w:p>
        </w:tc>
        <w:tc>
          <w:tcPr>
            <w:tcW w:w="1996" w:type="dxa"/>
            <w:tcBorders>
              <w:top w:val="nil"/>
              <w:left w:val="nil"/>
              <w:bottom w:val="nil"/>
              <w:right w:val="nil"/>
            </w:tcBorders>
            <w:shd w:val="clear" w:color="auto" w:fill="auto"/>
            <w:noWrap/>
            <w:vAlign w:val="bottom"/>
            <w:hideMark/>
          </w:tcPr>
          <w:p w:rsidR="002C33C1" w:rsidRPr="002C33C1" w:rsidRDefault="002C33C1" w:rsidP="002C33C1">
            <w:pPr>
              <w:rPr>
                <w:rFonts w:ascii="Calibri" w:hAnsi="Calibri" w:cs="Calibri"/>
                <w:color w:val="000000"/>
                <w:sz w:val="22"/>
                <w:szCs w:val="22"/>
                <w:lang w:val="es-ES"/>
              </w:rPr>
            </w:pPr>
          </w:p>
        </w:tc>
        <w:tc>
          <w:tcPr>
            <w:tcW w:w="1496" w:type="dxa"/>
            <w:tcBorders>
              <w:top w:val="nil"/>
              <w:left w:val="nil"/>
              <w:bottom w:val="nil"/>
              <w:right w:val="nil"/>
            </w:tcBorders>
            <w:shd w:val="clear" w:color="auto" w:fill="auto"/>
            <w:noWrap/>
            <w:vAlign w:val="bottom"/>
            <w:hideMark/>
          </w:tcPr>
          <w:p w:rsidR="002C33C1" w:rsidRPr="002C33C1" w:rsidRDefault="002C33C1" w:rsidP="002C33C1">
            <w:pPr>
              <w:jc w:val="right"/>
              <w:rPr>
                <w:rFonts w:ascii="Lucida Bright" w:hAnsi="Lucida Bright" w:cs="Calibri"/>
                <w:b/>
                <w:bCs/>
                <w:color w:val="000000"/>
                <w:sz w:val="18"/>
                <w:szCs w:val="18"/>
                <w:lang w:val="es-ES"/>
              </w:rPr>
            </w:pPr>
            <w:r w:rsidRPr="002C33C1">
              <w:rPr>
                <w:rFonts w:ascii="Lucida Bright" w:hAnsi="Lucida Bright" w:cs="Calibri"/>
                <w:b/>
                <w:bCs/>
                <w:color w:val="000000"/>
                <w:sz w:val="18"/>
                <w:szCs w:val="18"/>
                <w:lang w:val="es-ES"/>
              </w:rPr>
              <w:t xml:space="preserve">51.162.815,00 </w:t>
            </w:r>
          </w:p>
        </w:tc>
      </w:tr>
      <w:tr w:rsidR="002C33C1" w:rsidRPr="002C33C1" w:rsidTr="002C33C1">
        <w:trPr>
          <w:trHeight w:val="300"/>
        </w:trPr>
        <w:tc>
          <w:tcPr>
            <w:tcW w:w="3056" w:type="dxa"/>
            <w:tcBorders>
              <w:top w:val="nil"/>
              <w:left w:val="nil"/>
              <w:bottom w:val="nil"/>
              <w:right w:val="nil"/>
            </w:tcBorders>
            <w:shd w:val="clear" w:color="auto" w:fill="auto"/>
            <w:noWrap/>
            <w:vAlign w:val="bottom"/>
            <w:hideMark/>
          </w:tcPr>
          <w:p w:rsidR="002C33C1" w:rsidRPr="002C33C1" w:rsidRDefault="002C33C1" w:rsidP="002C33C1">
            <w:pPr>
              <w:rPr>
                <w:rFonts w:ascii="Lucida Bright" w:hAnsi="Lucida Bright" w:cs="Calibri"/>
                <w:color w:val="000000"/>
                <w:sz w:val="18"/>
                <w:szCs w:val="18"/>
                <w:lang w:val="es-ES"/>
              </w:rPr>
            </w:pPr>
            <w:r w:rsidRPr="002C33C1">
              <w:rPr>
                <w:rFonts w:ascii="Lucida Bright" w:hAnsi="Lucida Bright" w:cs="Calibri"/>
                <w:color w:val="000000"/>
                <w:sz w:val="18"/>
                <w:szCs w:val="18"/>
                <w:lang w:val="es-ES"/>
              </w:rPr>
              <w:t>(+) Adiciones por inversión</w:t>
            </w:r>
          </w:p>
        </w:tc>
        <w:tc>
          <w:tcPr>
            <w:tcW w:w="1996" w:type="dxa"/>
            <w:tcBorders>
              <w:top w:val="nil"/>
              <w:left w:val="nil"/>
              <w:bottom w:val="nil"/>
              <w:right w:val="nil"/>
            </w:tcBorders>
            <w:shd w:val="clear" w:color="auto" w:fill="auto"/>
            <w:noWrap/>
            <w:vAlign w:val="bottom"/>
            <w:hideMark/>
          </w:tcPr>
          <w:p w:rsidR="002C33C1" w:rsidRPr="002C33C1" w:rsidRDefault="002C33C1" w:rsidP="002C33C1">
            <w:pPr>
              <w:rPr>
                <w:rFonts w:ascii="Calibri" w:hAnsi="Calibri" w:cs="Calibri"/>
                <w:color w:val="000000"/>
                <w:sz w:val="22"/>
                <w:szCs w:val="22"/>
                <w:lang w:val="es-ES"/>
              </w:rPr>
            </w:pPr>
          </w:p>
        </w:tc>
        <w:tc>
          <w:tcPr>
            <w:tcW w:w="1496" w:type="dxa"/>
            <w:tcBorders>
              <w:top w:val="nil"/>
              <w:left w:val="nil"/>
              <w:bottom w:val="nil"/>
              <w:right w:val="nil"/>
            </w:tcBorders>
            <w:shd w:val="clear" w:color="auto" w:fill="auto"/>
            <w:noWrap/>
            <w:vAlign w:val="bottom"/>
            <w:hideMark/>
          </w:tcPr>
          <w:p w:rsidR="002C33C1" w:rsidRPr="002C33C1" w:rsidRDefault="002C33C1" w:rsidP="002C33C1">
            <w:pPr>
              <w:jc w:val="right"/>
              <w:rPr>
                <w:rFonts w:ascii="Lucida Bright" w:hAnsi="Lucida Bright" w:cs="Calibri"/>
                <w:color w:val="000000"/>
                <w:sz w:val="18"/>
                <w:szCs w:val="18"/>
                <w:lang w:val="es-ES"/>
              </w:rPr>
            </w:pPr>
            <w:r w:rsidRPr="002C33C1">
              <w:rPr>
                <w:rFonts w:ascii="Lucida Bright" w:hAnsi="Lucida Bright" w:cs="Calibri"/>
                <w:color w:val="000000"/>
                <w:sz w:val="18"/>
                <w:szCs w:val="18"/>
                <w:lang w:val="es-ES"/>
              </w:rPr>
              <w:t xml:space="preserve">20.780.880,82 </w:t>
            </w:r>
          </w:p>
        </w:tc>
      </w:tr>
      <w:tr w:rsidR="002C33C1" w:rsidRPr="002C33C1" w:rsidTr="002C33C1">
        <w:trPr>
          <w:trHeight w:val="300"/>
        </w:trPr>
        <w:tc>
          <w:tcPr>
            <w:tcW w:w="5052" w:type="dxa"/>
            <w:gridSpan w:val="2"/>
            <w:tcBorders>
              <w:top w:val="nil"/>
              <w:left w:val="nil"/>
              <w:bottom w:val="nil"/>
              <w:right w:val="nil"/>
            </w:tcBorders>
            <w:shd w:val="clear" w:color="auto" w:fill="auto"/>
            <w:noWrap/>
            <w:vAlign w:val="bottom"/>
            <w:hideMark/>
          </w:tcPr>
          <w:p w:rsidR="002C33C1" w:rsidRPr="002C33C1" w:rsidRDefault="002C33C1" w:rsidP="002C33C1">
            <w:pPr>
              <w:rPr>
                <w:rFonts w:ascii="Lucida Bright" w:hAnsi="Lucida Bright" w:cs="Calibri"/>
                <w:color w:val="000000"/>
                <w:sz w:val="18"/>
                <w:szCs w:val="18"/>
                <w:lang w:val="es-ES"/>
              </w:rPr>
            </w:pPr>
            <w:r w:rsidRPr="002C33C1">
              <w:rPr>
                <w:rFonts w:ascii="Lucida Bright" w:hAnsi="Lucida Bright" w:cs="Calibri"/>
                <w:color w:val="000000"/>
                <w:sz w:val="18"/>
                <w:szCs w:val="18"/>
                <w:lang w:val="es-ES"/>
              </w:rPr>
              <w:t>(-) Traspasos a inmovilizado material</w:t>
            </w:r>
          </w:p>
        </w:tc>
        <w:tc>
          <w:tcPr>
            <w:tcW w:w="1496" w:type="dxa"/>
            <w:tcBorders>
              <w:top w:val="nil"/>
              <w:left w:val="nil"/>
              <w:bottom w:val="nil"/>
              <w:right w:val="nil"/>
            </w:tcBorders>
            <w:shd w:val="clear" w:color="auto" w:fill="auto"/>
            <w:noWrap/>
            <w:vAlign w:val="bottom"/>
            <w:hideMark/>
          </w:tcPr>
          <w:p w:rsidR="002C33C1" w:rsidRPr="002C33C1" w:rsidRDefault="002C33C1" w:rsidP="002C33C1">
            <w:pPr>
              <w:jc w:val="right"/>
              <w:rPr>
                <w:rFonts w:ascii="Lucida Bright" w:hAnsi="Lucida Bright" w:cs="Calibri"/>
                <w:color w:val="000000"/>
                <w:sz w:val="18"/>
                <w:szCs w:val="18"/>
                <w:lang w:val="es-ES"/>
              </w:rPr>
            </w:pPr>
            <w:r w:rsidRPr="002C33C1">
              <w:rPr>
                <w:rFonts w:ascii="Lucida Bright" w:hAnsi="Lucida Bright" w:cs="Calibri"/>
                <w:color w:val="000000"/>
                <w:sz w:val="18"/>
                <w:szCs w:val="18"/>
                <w:lang w:val="es-ES"/>
              </w:rPr>
              <w:t xml:space="preserve">(15.465.706,36) </w:t>
            </w:r>
          </w:p>
        </w:tc>
      </w:tr>
      <w:tr w:rsidR="002C33C1" w:rsidRPr="002C33C1" w:rsidTr="002C33C1">
        <w:trPr>
          <w:trHeight w:val="300"/>
        </w:trPr>
        <w:tc>
          <w:tcPr>
            <w:tcW w:w="5052" w:type="dxa"/>
            <w:gridSpan w:val="2"/>
            <w:tcBorders>
              <w:top w:val="nil"/>
              <w:left w:val="nil"/>
              <w:bottom w:val="nil"/>
              <w:right w:val="nil"/>
            </w:tcBorders>
            <w:shd w:val="clear" w:color="auto" w:fill="auto"/>
            <w:noWrap/>
            <w:vAlign w:val="bottom"/>
            <w:hideMark/>
          </w:tcPr>
          <w:p w:rsidR="002C33C1" w:rsidRPr="002C33C1" w:rsidRDefault="002C33C1" w:rsidP="002C33C1">
            <w:pPr>
              <w:rPr>
                <w:rFonts w:ascii="Lucida Bright" w:hAnsi="Lucida Bright" w:cs="Calibri"/>
                <w:color w:val="000000"/>
                <w:sz w:val="18"/>
                <w:szCs w:val="18"/>
                <w:lang w:val="es-ES"/>
              </w:rPr>
            </w:pPr>
            <w:r w:rsidRPr="002C33C1">
              <w:rPr>
                <w:rFonts w:ascii="Lucida Bright" w:hAnsi="Lucida Bright" w:cs="Calibri"/>
                <w:color w:val="000000"/>
                <w:sz w:val="18"/>
                <w:szCs w:val="18"/>
                <w:lang w:val="es-ES"/>
              </w:rPr>
              <w:t>(-) Traspasos a inversiones inmobiliarias</w:t>
            </w:r>
          </w:p>
        </w:tc>
        <w:tc>
          <w:tcPr>
            <w:tcW w:w="1496" w:type="dxa"/>
            <w:tcBorders>
              <w:top w:val="nil"/>
              <w:left w:val="nil"/>
              <w:bottom w:val="nil"/>
              <w:right w:val="nil"/>
            </w:tcBorders>
            <w:shd w:val="clear" w:color="auto" w:fill="auto"/>
            <w:noWrap/>
            <w:vAlign w:val="bottom"/>
            <w:hideMark/>
          </w:tcPr>
          <w:p w:rsidR="002C33C1" w:rsidRPr="002C33C1" w:rsidRDefault="002C33C1" w:rsidP="002C33C1">
            <w:pPr>
              <w:jc w:val="right"/>
              <w:rPr>
                <w:rFonts w:ascii="Lucida Bright" w:hAnsi="Lucida Bright" w:cs="Calibri"/>
                <w:color w:val="000000"/>
                <w:sz w:val="18"/>
                <w:szCs w:val="18"/>
                <w:lang w:val="es-ES"/>
              </w:rPr>
            </w:pPr>
            <w:r w:rsidRPr="002C33C1">
              <w:rPr>
                <w:rFonts w:ascii="Lucida Bright" w:hAnsi="Lucida Bright" w:cs="Calibri"/>
                <w:color w:val="000000"/>
                <w:sz w:val="18"/>
                <w:szCs w:val="18"/>
                <w:lang w:val="es-ES"/>
              </w:rPr>
              <w:t xml:space="preserve">(182.714,66) </w:t>
            </w:r>
          </w:p>
        </w:tc>
      </w:tr>
      <w:tr w:rsidR="002C33C1" w:rsidRPr="002C33C1" w:rsidTr="002C33C1">
        <w:trPr>
          <w:trHeight w:val="300"/>
        </w:trPr>
        <w:tc>
          <w:tcPr>
            <w:tcW w:w="5052" w:type="dxa"/>
            <w:gridSpan w:val="2"/>
            <w:tcBorders>
              <w:top w:val="nil"/>
              <w:left w:val="nil"/>
              <w:bottom w:val="nil"/>
              <w:right w:val="nil"/>
            </w:tcBorders>
            <w:shd w:val="clear" w:color="auto" w:fill="auto"/>
            <w:noWrap/>
            <w:vAlign w:val="bottom"/>
            <w:hideMark/>
          </w:tcPr>
          <w:p w:rsidR="002C33C1" w:rsidRPr="002C33C1" w:rsidRDefault="002C33C1" w:rsidP="002C33C1">
            <w:pPr>
              <w:rPr>
                <w:rFonts w:ascii="Lucida Bright" w:hAnsi="Lucida Bright" w:cs="Calibri"/>
                <w:color w:val="000000"/>
                <w:sz w:val="18"/>
                <w:szCs w:val="18"/>
                <w:lang w:val="es-ES"/>
              </w:rPr>
            </w:pPr>
            <w:r w:rsidRPr="002C33C1">
              <w:rPr>
                <w:rFonts w:ascii="Lucida Bright" w:hAnsi="Lucida Bright" w:cs="Calibri"/>
                <w:color w:val="000000"/>
                <w:sz w:val="18"/>
                <w:szCs w:val="18"/>
                <w:lang w:val="es-ES"/>
              </w:rPr>
              <w:t>(-) Traspasos a inmovilizado intangible</w:t>
            </w:r>
          </w:p>
        </w:tc>
        <w:tc>
          <w:tcPr>
            <w:tcW w:w="1496" w:type="dxa"/>
            <w:tcBorders>
              <w:top w:val="nil"/>
              <w:left w:val="nil"/>
              <w:bottom w:val="nil"/>
              <w:right w:val="nil"/>
            </w:tcBorders>
            <w:shd w:val="clear" w:color="auto" w:fill="auto"/>
            <w:noWrap/>
            <w:vAlign w:val="bottom"/>
            <w:hideMark/>
          </w:tcPr>
          <w:p w:rsidR="002C33C1" w:rsidRPr="002C33C1" w:rsidRDefault="002C33C1" w:rsidP="002C33C1">
            <w:pPr>
              <w:jc w:val="right"/>
              <w:rPr>
                <w:rFonts w:ascii="Lucida Bright" w:hAnsi="Lucida Bright" w:cs="Calibri"/>
                <w:color w:val="000000"/>
                <w:sz w:val="18"/>
                <w:szCs w:val="18"/>
                <w:lang w:val="es-ES"/>
              </w:rPr>
            </w:pPr>
            <w:r w:rsidRPr="002C33C1">
              <w:rPr>
                <w:rFonts w:ascii="Lucida Bright" w:hAnsi="Lucida Bright" w:cs="Calibri"/>
                <w:color w:val="000000"/>
                <w:sz w:val="18"/>
                <w:szCs w:val="18"/>
                <w:lang w:val="es-ES"/>
              </w:rPr>
              <w:t xml:space="preserve">(119.074,17) </w:t>
            </w:r>
          </w:p>
        </w:tc>
      </w:tr>
      <w:tr w:rsidR="002C33C1" w:rsidRPr="002C33C1" w:rsidTr="002C33C1">
        <w:trPr>
          <w:trHeight w:val="300"/>
        </w:trPr>
        <w:tc>
          <w:tcPr>
            <w:tcW w:w="3056" w:type="dxa"/>
            <w:tcBorders>
              <w:top w:val="nil"/>
              <w:left w:val="nil"/>
              <w:bottom w:val="nil"/>
              <w:right w:val="nil"/>
            </w:tcBorders>
            <w:shd w:val="clear" w:color="auto" w:fill="auto"/>
            <w:noWrap/>
            <w:vAlign w:val="bottom"/>
            <w:hideMark/>
          </w:tcPr>
          <w:p w:rsidR="002C33C1" w:rsidRPr="002C33C1" w:rsidRDefault="002C33C1" w:rsidP="002C33C1">
            <w:pPr>
              <w:rPr>
                <w:rFonts w:ascii="Lucida Bright" w:hAnsi="Lucida Bright" w:cs="Calibri"/>
                <w:color w:val="000000"/>
                <w:sz w:val="18"/>
                <w:szCs w:val="18"/>
                <w:lang w:val="es-ES"/>
              </w:rPr>
            </w:pPr>
            <w:r w:rsidRPr="002C33C1">
              <w:rPr>
                <w:rFonts w:ascii="Lucida Bright" w:hAnsi="Lucida Bright" w:cs="Calibri"/>
                <w:color w:val="000000"/>
                <w:sz w:val="18"/>
                <w:szCs w:val="18"/>
                <w:lang w:val="es-ES"/>
              </w:rPr>
              <w:t>(-) Traspasos a gastos</w:t>
            </w:r>
          </w:p>
        </w:tc>
        <w:tc>
          <w:tcPr>
            <w:tcW w:w="1996" w:type="dxa"/>
            <w:tcBorders>
              <w:top w:val="nil"/>
              <w:left w:val="nil"/>
              <w:bottom w:val="nil"/>
              <w:right w:val="nil"/>
            </w:tcBorders>
            <w:shd w:val="clear" w:color="auto" w:fill="auto"/>
            <w:noWrap/>
            <w:vAlign w:val="bottom"/>
            <w:hideMark/>
          </w:tcPr>
          <w:p w:rsidR="002C33C1" w:rsidRPr="002C33C1" w:rsidRDefault="002C33C1" w:rsidP="002C33C1">
            <w:pPr>
              <w:rPr>
                <w:rFonts w:ascii="Calibri" w:hAnsi="Calibri" w:cs="Calibri"/>
                <w:color w:val="000000"/>
                <w:sz w:val="22"/>
                <w:szCs w:val="22"/>
                <w:lang w:val="es-ES"/>
              </w:rPr>
            </w:pPr>
          </w:p>
        </w:tc>
        <w:tc>
          <w:tcPr>
            <w:tcW w:w="1496" w:type="dxa"/>
            <w:tcBorders>
              <w:top w:val="nil"/>
              <w:left w:val="nil"/>
              <w:bottom w:val="nil"/>
              <w:right w:val="nil"/>
            </w:tcBorders>
            <w:shd w:val="clear" w:color="auto" w:fill="auto"/>
            <w:noWrap/>
            <w:vAlign w:val="bottom"/>
            <w:hideMark/>
          </w:tcPr>
          <w:p w:rsidR="002C33C1" w:rsidRPr="002C33C1" w:rsidRDefault="002C33C1" w:rsidP="002C33C1">
            <w:pPr>
              <w:rPr>
                <w:rFonts w:ascii="Lucida Bright" w:hAnsi="Lucida Bright" w:cs="Calibri"/>
                <w:color w:val="000000"/>
                <w:sz w:val="18"/>
                <w:szCs w:val="18"/>
                <w:lang w:val="es-ES"/>
              </w:rPr>
            </w:pPr>
            <w:r w:rsidRPr="002C33C1">
              <w:rPr>
                <w:rFonts w:ascii="Lucida Bright" w:hAnsi="Lucida Bright" w:cs="Calibri"/>
                <w:color w:val="000000"/>
                <w:sz w:val="18"/>
                <w:szCs w:val="18"/>
                <w:lang w:val="es-ES"/>
              </w:rPr>
              <w:t xml:space="preserve">- </w:t>
            </w:r>
          </w:p>
        </w:tc>
      </w:tr>
      <w:tr w:rsidR="002C33C1" w:rsidRPr="002C33C1" w:rsidTr="002C33C1">
        <w:trPr>
          <w:trHeight w:val="300"/>
        </w:trPr>
        <w:tc>
          <w:tcPr>
            <w:tcW w:w="3056" w:type="dxa"/>
            <w:tcBorders>
              <w:top w:val="nil"/>
              <w:left w:val="nil"/>
              <w:bottom w:val="nil"/>
              <w:right w:val="nil"/>
            </w:tcBorders>
            <w:shd w:val="clear" w:color="auto" w:fill="auto"/>
            <w:noWrap/>
            <w:vAlign w:val="bottom"/>
            <w:hideMark/>
          </w:tcPr>
          <w:p w:rsidR="002C33C1" w:rsidRPr="002C33C1" w:rsidRDefault="002C33C1" w:rsidP="002C33C1">
            <w:pPr>
              <w:rPr>
                <w:rFonts w:ascii="Lucida Bright" w:hAnsi="Lucida Bright" w:cs="Calibri"/>
                <w:b/>
                <w:bCs/>
                <w:color w:val="000000"/>
                <w:sz w:val="18"/>
                <w:szCs w:val="18"/>
                <w:lang w:val="es-ES"/>
              </w:rPr>
            </w:pPr>
            <w:r w:rsidRPr="002C33C1">
              <w:rPr>
                <w:rFonts w:ascii="Lucida Bright" w:hAnsi="Lucida Bright" w:cs="Calibri"/>
                <w:b/>
                <w:bCs/>
                <w:color w:val="000000"/>
                <w:sz w:val="18"/>
                <w:szCs w:val="18"/>
                <w:lang w:val="es-ES"/>
              </w:rPr>
              <w:t>Saldo a 31/12/2022</w:t>
            </w:r>
          </w:p>
        </w:tc>
        <w:tc>
          <w:tcPr>
            <w:tcW w:w="1996" w:type="dxa"/>
            <w:tcBorders>
              <w:top w:val="nil"/>
              <w:left w:val="nil"/>
              <w:bottom w:val="nil"/>
              <w:right w:val="nil"/>
            </w:tcBorders>
            <w:shd w:val="clear" w:color="auto" w:fill="auto"/>
            <w:noWrap/>
            <w:vAlign w:val="bottom"/>
            <w:hideMark/>
          </w:tcPr>
          <w:p w:rsidR="002C33C1" w:rsidRPr="002C33C1" w:rsidRDefault="002C33C1" w:rsidP="002C33C1">
            <w:pPr>
              <w:rPr>
                <w:rFonts w:ascii="Calibri" w:hAnsi="Calibri" w:cs="Calibri"/>
                <w:color w:val="000000"/>
                <w:sz w:val="22"/>
                <w:szCs w:val="22"/>
                <w:lang w:val="es-ES"/>
              </w:rPr>
            </w:pPr>
          </w:p>
        </w:tc>
        <w:tc>
          <w:tcPr>
            <w:tcW w:w="1496" w:type="dxa"/>
            <w:tcBorders>
              <w:top w:val="nil"/>
              <w:left w:val="nil"/>
              <w:bottom w:val="nil"/>
              <w:right w:val="nil"/>
            </w:tcBorders>
            <w:shd w:val="clear" w:color="auto" w:fill="auto"/>
            <w:noWrap/>
            <w:vAlign w:val="bottom"/>
            <w:hideMark/>
          </w:tcPr>
          <w:p w:rsidR="002C33C1" w:rsidRPr="002C33C1" w:rsidRDefault="002C33C1" w:rsidP="002C33C1">
            <w:pPr>
              <w:jc w:val="right"/>
              <w:rPr>
                <w:rFonts w:ascii="Lucida Bright" w:hAnsi="Lucida Bright" w:cs="Calibri"/>
                <w:b/>
                <w:bCs/>
                <w:color w:val="000000"/>
                <w:sz w:val="18"/>
                <w:szCs w:val="18"/>
                <w:lang w:val="es-ES"/>
              </w:rPr>
            </w:pPr>
            <w:r w:rsidRPr="002C33C1">
              <w:rPr>
                <w:rFonts w:ascii="Lucida Bright" w:hAnsi="Lucida Bright" w:cs="Calibri"/>
                <w:b/>
                <w:bCs/>
                <w:color w:val="000000"/>
                <w:sz w:val="18"/>
                <w:szCs w:val="18"/>
                <w:lang w:val="es-ES"/>
              </w:rPr>
              <w:t xml:space="preserve">56.176.200,63 </w:t>
            </w:r>
          </w:p>
        </w:tc>
      </w:tr>
    </w:tbl>
    <w:p w:rsidR="002C33C1" w:rsidRDefault="002C33C1" w:rsidP="009726BB">
      <w:pPr>
        <w:tabs>
          <w:tab w:val="right" w:pos="8364"/>
        </w:tabs>
        <w:spacing w:after="120"/>
        <w:jc w:val="both"/>
      </w:pPr>
    </w:p>
    <w:p w:rsidR="00381A73" w:rsidRDefault="00381A73" w:rsidP="003E24B3">
      <w:pPr>
        <w:pStyle w:val="Textoindependiente2"/>
        <w:ind w:firstLine="709"/>
        <w:rPr>
          <w:bCs w:val="0"/>
          <w:szCs w:val="20"/>
        </w:rPr>
      </w:pPr>
    </w:p>
    <w:p w:rsidR="002C33C1" w:rsidRDefault="002C33C1" w:rsidP="003E24B3">
      <w:pPr>
        <w:pStyle w:val="Textoindependiente2"/>
        <w:ind w:firstLine="709"/>
        <w:rPr>
          <w:bCs w:val="0"/>
          <w:szCs w:val="20"/>
        </w:rPr>
      </w:pPr>
    </w:p>
    <w:p w:rsidR="005F35CD" w:rsidRDefault="00624EFB" w:rsidP="00CE17F4">
      <w:pPr>
        <w:tabs>
          <w:tab w:val="right" w:pos="8364"/>
        </w:tabs>
        <w:spacing w:after="120"/>
        <w:ind w:firstLine="567"/>
        <w:jc w:val="both"/>
        <w:rPr>
          <w:sz w:val="24"/>
          <w:szCs w:val="24"/>
        </w:rPr>
      </w:pPr>
      <w:r w:rsidRPr="009726BB">
        <w:rPr>
          <w:rFonts w:ascii="NewBaskerville" w:hAnsi="NewBaskerville"/>
          <w:bCs/>
        </w:rPr>
        <w:t xml:space="preserve">  </w:t>
      </w:r>
      <w:r w:rsidR="0031074B" w:rsidRPr="009726BB">
        <w:rPr>
          <w:rFonts w:ascii="NewBaskerville" w:hAnsi="NewBaskerville"/>
          <w:bCs/>
        </w:rPr>
        <w:t>Los</w:t>
      </w:r>
      <w:r w:rsidR="00381A73" w:rsidRPr="009726BB">
        <w:rPr>
          <w:rFonts w:ascii="NewBaskerville" w:hAnsi="NewBaskerville"/>
          <w:bCs/>
        </w:rPr>
        <w:t xml:space="preserve"> cuadro</w:t>
      </w:r>
      <w:r w:rsidR="0031074B" w:rsidRPr="009726BB">
        <w:rPr>
          <w:rFonts w:ascii="NewBaskerville" w:hAnsi="NewBaskerville"/>
          <w:bCs/>
        </w:rPr>
        <w:t>s</w:t>
      </w:r>
      <w:r w:rsidR="00381A73" w:rsidRPr="009726BB">
        <w:rPr>
          <w:rFonts w:ascii="NewBaskerville" w:hAnsi="NewBaskerville"/>
          <w:bCs/>
        </w:rPr>
        <w:t xml:space="preserve"> de movimientos del in</w:t>
      </w:r>
      <w:r w:rsidRPr="009726BB">
        <w:rPr>
          <w:rFonts w:ascii="NewBaskerville" w:hAnsi="NewBaskerville"/>
          <w:bCs/>
        </w:rPr>
        <w:t xml:space="preserve">movilizado material durante los </w:t>
      </w:r>
      <w:r w:rsidR="00B9194A" w:rsidRPr="009726BB">
        <w:rPr>
          <w:rFonts w:ascii="NewBaskerville" w:hAnsi="NewBaskerville"/>
          <w:bCs/>
        </w:rPr>
        <w:t>ejercicios 202</w:t>
      </w:r>
      <w:r w:rsidR="00FC323F">
        <w:rPr>
          <w:rFonts w:ascii="NewBaskerville" w:hAnsi="NewBaskerville"/>
          <w:bCs/>
        </w:rPr>
        <w:t>3</w:t>
      </w:r>
      <w:r w:rsidR="00381A73" w:rsidRPr="009726BB">
        <w:rPr>
          <w:rFonts w:ascii="NewBaskerville" w:hAnsi="NewBaskerville"/>
          <w:bCs/>
        </w:rPr>
        <w:t xml:space="preserve"> y 20</w:t>
      </w:r>
      <w:r w:rsidR="00B9194A" w:rsidRPr="009726BB">
        <w:rPr>
          <w:rFonts w:ascii="NewBaskerville" w:hAnsi="NewBaskerville"/>
          <w:bCs/>
        </w:rPr>
        <w:t>2</w:t>
      </w:r>
      <w:r w:rsidR="00FC323F">
        <w:rPr>
          <w:rFonts w:ascii="NewBaskerville" w:hAnsi="NewBaskerville"/>
          <w:bCs/>
        </w:rPr>
        <w:t>2</w:t>
      </w:r>
      <w:r w:rsidR="00381A73" w:rsidRPr="009726BB">
        <w:rPr>
          <w:rFonts w:ascii="NewBaskerville" w:hAnsi="NewBaskerville"/>
          <w:bCs/>
        </w:rPr>
        <w:t xml:space="preserve">, así como el de su amortización, vienen detallados en los cuadros adjuntos </w:t>
      </w:r>
      <w:r w:rsidR="00A81AA8" w:rsidRPr="009726BB">
        <w:rPr>
          <w:rFonts w:ascii="NewBaskerville" w:hAnsi="NewBaskerville"/>
          <w:bCs/>
        </w:rPr>
        <w:t>desglosados por cada epígrafe. Las altas de inmovilizado material proceden de traspasos desde el inmovilizado en curso.</w:t>
      </w:r>
      <w:r w:rsidR="00621938" w:rsidRPr="009726BB">
        <w:rPr>
          <w:rFonts w:ascii="NewBaskerville" w:hAnsi="NewBaskerville"/>
          <w:bCs/>
        </w:rPr>
        <w:t xml:space="preserve"> </w:t>
      </w:r>
    </w:p>
    <w:p w:rsidR="00B9194A" w:rsidRDefault="00B9194A" w:rsidP="00CE17F4">
      <w:pPr>
        <w:tabs>
          <w:tab w:val="right" w:pos="8364"/>
        </w:tabs>
        <w:spacing w:after="120"/>
        <w:ind w:firstLine="567"/>
        <w:jc w:val="both"/>
        <w:rPr>
          <w:sz w:val="24"/>
          <w:szCs w:val="24"/>
        </w:rPr>
      </w:pPr>
    </w:p>
    <w:p w:rsidR="007F69BD" w:rsidRDefault="007F69BD">
      <w:pPr>
        <w:rPr>
          <w:sz w:val="24"/>
          <w:szCs w:val="24"/>
        </w:rPr>
      </w:pPr>
      <w:r>
        <w:rPr>
          <w:sz w:val="24"/>
          <w:szCs w:val="24"/>
        </w:rPr>
        <w:br w:type="page"/>
      </w:r>
    </w:p>
    <w:p w:rsidR="00B9194A" w:rsidRPr="00D860DF" w:rsidRDefault="00B9194A" w:rsidP="00CE17F4">
      <w:pPr>
        <w:tabs>
          <w:tab w:val="right" w:pos="8364"/>
        </w:tabs>
        <w:spacing w:after="120"/>
        <w:ind w:firstLine="567"/>
        <w:jc w:val="both"/>
        <w:rPr>
          <w:sz w:val="24"/>
          <w:szCs w:val="24"/>
        </w:rPr>
        <w:sectPr w:rsidR="00B9194A" w:rsidRPr="00D860DF" w:rsidSect="00790C4F">
          <w:pgSz w:w="11907" w:h="16840" w:code="9"/>
          <w:pgMar w:top="1701" w:right="1418" w:bottom="1701" w:left="1985" w:header="567" w:footer="397" w:gutter="0"/>
          <w:cols w:space="720"/>
          <w:docGrid w:linePitch="272"/>
        </w:sectPr>
      </w:pPr>
    </w:p>
    <w:tbl>
      <w:tblPr>
        <w:tblW w:w="14128" w:type="dxa"/>
        <w:tblInd w:w="70" w:type="dxa"/>
        <w:tblCellMar>
          <w:left w:w="70" w:type="dxa"/>
          <w:right w:w="70" w:type="dxa"/>
        </w:tblCellMar>
        <w:tblLook w:val="04A0" w:firstRow="1" w:lastRow="0" w:firstColumn="1" w:lastColumn="0" w:noHBand="0" w:noVBand="1"/>
      </w:tblPr>
      <w:tblGrid>
        <w:gridCol w:w="3588"/>
        <w:gridCol w:w="184"/>
        <w:gridCol w:w="1482"/>
        <w:gridCol w:w="1376"/>
        <w:gridCol w:w="1376"/>
        <w:gridCol w:w="1556"/>
        <w:gridCol w:w="1216"/>
        <w:gridCol w:w="1216"/>
        <w:gridCol w:w="956"/>
        <w:gridCol w:w="1296"/>
      </w:tblGrid>
      <w:tr w:rsidR="000B4249" w:rsidRPr="000B4249" w:rsidTr="000B4249">
        <w:trPr>
          <w:trHeight w:val="300"/>
        </w:trPr>
        <w:tc>
          <w:tcPr>
            <w:tcW w:w="5136" w:type="dxa"/>
            <w:gridSpan w:val="3"/>
            <w:tcBorders>
              <w:top w:val="nil"/>
              <w:left w:val="nil"/>
              <w:bottom w:val="nil"/>
              <w:right w:val="nil"/>
            </w:tcBorders>
            <w:shd w:val="clear" w:color="auto" w:fill="auto"/>
            <w:noWrap/>
            <w:vAlign w:val="bottom"/>
            <w:hideMark/>
          </w:tcPr>
          <w:p w:rsidR="000B4249" w:rsidRDefault="000B4249" w:rsidP="000B4249">
            <w:pPr>
              <w:rPr>
                <w:rFonts w:ascii="Lucida Bright" w:hAnsi="Lucida Bright" w:cs="Calibri"/>
                <w:b/>
                <w:bCs/>
                <w:color w:val="000000"/>
                <w:sz w:val="18"/>
                <w:szCs w:val="18"/>
                <w:lang w:val="es-ES"/>
              </w:rPr>
            </w:pPr>
          </w:p>
          <w:p w:rsidR="000B4249" w:rsidRPr="000B4249" w:rsidRDefault="000B4249" w:rsidP="000B4249">
            <w:pPr>
              <w:rPr>
                <w:rFonts w:ascii="Lucida Bright" w:hAnsi="Lucida Bright" w:cs="Calibri"/>
                <w:b/>
                <w:bCs/>
                <w:color w:val="000000"/>
                <w:sz w:val="18"/>
                <w:szCs w:val="18"/>
                <w:lang w:val="es-ES"/>
              </w:rPr>
            </w:pPr>
            <w:r w:rsidRPr="000B4249">
              <w:rPr>
                <w:rFonts w:ascii="Lucida Bright" w:hAnsi="Lucida Bright" w:cs="Calibri"/>
                <w:b/>
                <w:bCs/>
                <w:color w:val="000000"/>
                <w:sz w:val="18"/>
                <w:szCs w:val="18"/>
                <w:lang w:val="es-ES"/>
              </w:rPr>
              <w:t>CUADRO: INMOVILIZADO MATERIAL 2023</w:t>
            </w:r>
          </w:p>
        </w:tc>
        <w:tc>
          <w:tcPr>
            <w:tcW w:w="1376" w:type="dxa"/>
            <w:tcBorders>
              <w:top w:val="nil"/>
              <w:left w:val="nil"/>
              <w:bottom w:val="nil"/>
              <w:right w:val="nil"/>
            </w:tcBorders>
            <w:shd w:val="clear" w:color="auto" w:fill="auto"/>
            <w:noWrap/>
            <w:vAlign w:val="bottom"/>
            <w:hideMark/>
          </w:tcPr>
          <w:p w:rsidR="000B4249" w:rsidRPr="000B4249" w:rsidRDefault="000B4249" w:rsidP="000B4249">
            <w:pPr>
              <w:rPr>
                <w:rFonts w:ascii="Lucida Bright" w:hAnsi="Lucida Bright" w:cs="Calibri"/>
                <w:color w:val="000000"/>
                <w:sz w:val="18"/>
                <w:szCs w:val="18"/>
                <w:lang w:val="es-ES"/>
              </w:rPr>
            </w:pPr>
          </w:p>
        </w:tc>
        <w:tc>
          <w:tcPr>
            <w:tcW w:w="1376" w:type="dxa"/>
            <w:tcBorders>
              <w:top w:val="nil"/>
              <w:left w:val="nil"/>
              <w:bottom w:val="nil"/>
              <w:right w:val="nil"/>
            </w:tcBorders>
            <w:shd w:val="clear" w:color="auto" w:fill="auto"/>
            <w:noWrap/>
            <w:vAlign w:val="bottom"/>
            <w:hideMark/>
          </w:tcPr>
          <w:p w:rsidR="000B4249" w:rsidRPr="000B4249" w:rsidRDefault="000B4249" w:rsidP="000B4249">
            <w:pPr>
              <w:rPr>
                <w:rFonts w:ascii="Lucida Bright" w:hAnsi="Lucida Bright" w:cs="Calibri"/>
                <w:color w:val="000000"/>
                <w:sz w:val="18"/>
                <w:szCs w:val="18"/>
                <w:lang w:val="es-ES"/>
              </w:rPr>
            </w:pPr>
          </w:p>
        </w:tc>
        <w:tc>
          <w:tcPr>
            <w:tcW w:w="1556" w:type="dxa"/>
            <w:tcBorders>
              <w:top w:val="nil"/>
              <w:left w:val="nil"/>
              <w:bottom w:val="nil"/>
              <w:right w:val="nil"/>
            </w:tcBorders>
            <w:shd w:val="clear" w:color="auto" w:fill="auto"/>
            <w:noWrap/>
            <w:vAlign w:val="bottom"/>
            <w:hideMark/>
          </w:tcPr>
          <w:p w:rsidR="000B4249" w:rsidRPr="000B4249" w:rsidRDefault="000B4249" w:rsidP="000B4249">
            <w:pPr>
              <w:rPr>
                <w:rFonts w:ascii="Lucida Bright" w:hAnsi="Lucida Bright" w:cs="Calibri"/>
                <w:color w:val="000000"/>
                <w:sz w:val="18"/>
                <w:szCs w:val="18"/>
                <w:lang w:val="es-ES"/>
              </w:rPr>
            </w:pPr>
          </w:p>
        </w:tc>
        <w:tc>
          <w:tcPr>
            <w:tcW w:w="1216" w:type="dxa"/>
            <w:tcBorders>
              <w:top w:val="nil"/>
              <w:left w:val="nil"/>
              <w:bottom w:val="nil"/>
              <w:right w:val="nil"/>
            </w:tcBorders>
            <w:shd w:val="clear" w:color="auto" w:fill="auto"/>
            <w:noWrap/>
            <w:vAlign w:val="bottom"/>
            <w:hideMark/>
          </w:tcPr>
          <w:p w:rsidR="000B4249" w:rsidRPr="000B4249" w:rsidRDefault="000B4249" w:rsidP="000B4249">
            <w:pPr>
              <w:rPr>
                <w:rFonts w:ascii="Lucida Bright" w:hAnsi="Lucida Bright" w:cs="Calibri"/>
                <w:color w:val="000000"/>
                <w:sz w:val="18"/>
                <w:szCs w:val="18"/>
                <w:lang w:val="es-ES"/>
              </w:rPr>
            </w:pPr>
          </w:p>
        </w:tc>
        <w:tc>
          <w:tcPr>
            <w:tcW w:w="1216" w:type="dxa"/>
            <w:tcBorders>
              <w:top w:val="nil"/>
              <w:left w:val="nil"/>
              <w:bottom w:val="nil"/>
              <w:right w:val="nil"/>
            </w:tcBorders>
            <w:shd w:val="clear" w:color="auto" w:fill="auto"/>
            <w:noWrap/>
            <w:vAlign w:val="bottom"/>
            <w:hideMark/>
          </w:tcPr>
          <w:p w:rsidR="000B4249" w:rsidRPr="000B4249" w:rsidRDefault="000B4249" w:rsidP="000B4249">
            <w:pPr>
              <w:rPr>
                <w:rFonts w:ascii="Lucida Bright" w:hAnsi="Lucida Bright" w:cs="Calibri"/>
                <w:color w:val="000000"/>
                <w:sz w:val="18"/>
                <w:szCs w:val="18"/>
                <w:lang w:val="es-ES"/>
              </w:rPr>
            </w:pPr>
          </w:p>
        </w:tc>
        <w:tc>
          <w:tcPr>
            <w:tcW w:w="956" w:type="dxa"/>
            <w:tcBorders>
              <w:top w:val="nil"/>
              <w:left w:val="nil"/>
              <w:bottom w:val="nil"/>
              <w:right w:val="nil"/>
            </w:tcBorders>
            <w:shd w:val="clear" w:color="auto" w:fill="auto"/>
            <w:noWrap/>
            <w:vAlign w:val="bottom"/>
            <w:hideMark/>
          </w:tcPr>
          <w:p w:rsidR="000B4249" w:rsidRPr="000B4249" w:rsidRDefault="000B4249" w:rsidP="000B4249">
            <w:pPr>
              <w:rPr>
                <w:rFonts w:ascii="Lucida Bright" w:hAnsi="Lucida Bright" w:cs="Calibri"/>
                <w:color w:val="000000"/>
                <w:sz w:val="18"/>
                <w:szCs w:val="18"/>
                <w:lang w:val="es-ES"/>
              </w:rPr>
            </w:pPr>
          </w:p>
        </w:tc>
        <w:tc>
          <w:tcPr>
            <w:tcW w:w="1296" w:type="dxa"/>
            <w:tcBorders>
              <w:top w:val="nil"/>
              <w:left w:val="nil"/>
              <w:bottom w:val="nil"/>
              <w:right w:val="nil"/>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(en euros)</w:t>
            </w:r>
          </w:p>
        </w:tc>
      </w:tr>
      <w:tr w:rsidR="000B4249" w:rsidRPr="000B4249" w:rsidTr="000B4249">
        <w:trPr>
          <w:trHeight w:val="630"/>
        </w:trPr>
        <w:tc>
          <w:tcPr>
            <w:tcW w:w="3654" w:type="dxa"/>
            <w:gridSpan w:val="2"/>
            <w:vMerge w:val="restart"/>
            <w:tcBorders>
              <w:top w:val="single" w:sz="4" w:space="0" w:color="auto"/>
              <w:left w:val="single" w:sz="4" w:space="0" w:color="auto"/>
              <w:bottom w:val="single" w:sz="4" w:space="0" w:color="000000"/>
              <w:right w:val="single" w:sz="4" w:space="0" w:color="000000"/>
            </w:tcBorders>
            <w:shd w:val="clear" w:color="000000" w:fill="CCFFCC"/>
            <w:vAlign w:val="center"/>
            <w:hideMark/>
          </w:tcPr>
          <w:p w:rsidR="000B4249" w:rsidRPr="000B4249" w:rsidRDefault="000B4249" w:rsidP="000B4249">
            <w:pPr>
              <w:jc w:val="cente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CONCEPTO</w:t>
            </w:r>
          </w:p>
        </w:tc>
        <w:tc>
          <w:tcPr>
            <w:tcW w:w="1482"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0B4249" w:rsidRPr="000B4249" w:rsidRDefault="000B4249" w:rsidP="000B4249">
            <w:pPr>
              <w:jc w:val="cente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Saldo a</w:t>
            </w:r>
            <w:r w:rsidRPr="000B4249">
              <w:rPr>
                <w:rFonts w:ascii="Lucida Bright" w:hAnsi="Lucida Bright" w:cs="Calibri"/>
                <w:b/>
                <w:bCs/>
                <w:color w:val="000000"/>
                <w:sz w:val="14"/>
                <w:szCs w:val="14"/>
                <w:lang w:val="es-ES"/>
              </w:rPr>
              <w:br/>
            </w:r>
            <w:r w:rsidRPr="000B4249">
              <w:rPr>
                <w:rFonts w:ascii="Lucida Bright" w:hAnsi="Lucida Bright" w:cs="Calibri"/>
                <w:b/>
                <w:bCs/>
                <w:color w:val="000000"/>
                <w:sz w:val="14"/>
                <w:szCs w:val="14"/>
                <w:lang w:val="es-ES"/>
              </w:rPr>
              <w:br/>
              <w:t>31-12-22</w:t>
            </w:r>
          </w:p>
        </w:tc>
        <w:tc>
          <w:tcPr>
            <w:tcW w:w="2752" w:type="dxa"/>
            <w:gridSpan w:val="2"/>
            <w:tcBorders>
              <w:top w:val="single" w:sz="4" w:space="0" w:color="auto"/>
              <w:left w:val="nil"/>
              <w:bottom w:val="single" w:sz="4" w:space="0" w:color="auto"/>
              <w:right w:val="single" w:sz="4" w:space="0" w:color="000000"/>
            </w:tcBorders>
            <w:shd w:val="clear" w:color="000000" w:fill="CCFFCC"/>
            <w:noWrap/>
            <w:vAlign w:val="center"/>
            <w:hideMark/>
          </w:tcPr>
          <w:p w:rsidR="000B4249" w:rsidRPr="000B4249" w:rsidRDefault="000B4249" w:rsidP="000B4249">
            <w:pPr>
              <w:jc w:val="cente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Variaciones del ejercicio</w:t>
            </w:r>
          </w:p>
        </w:tc>
        <w:tc>
          <w:tcPr>
            <w:tcW w:w="1556"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0B4249" w:rsidRPr="000B4249" w:rsidRDefault="000B4249" w:rsidP="001E4C9E">
            <w:pPr>
              <w:jc w:val="cente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Reclasificaciones</w:t>
            </w:r>
            <w:r w:rsidRPr="000B4249">
              <w:rPr>
                <w:rFonts w:ascii="Lucida Bright" w:hAnsi="Lucida Bright" w:cs="Calibri"/>
                <w:b/>
                <w:bCs/>
                <w:color w:val="000000"/>
                <w:sz w:val="14"/>
                <w:szCs w:val="14"/>
                <w:lang w:val="es-ES"/>
              </w:rPr>
              <w:br/>
              <w:t>(+/-)</w:t>
            </w:r>
          </w:p>
        </w:tc>
        <w:tc>
          <w:tcPr>
            <w:tcW w:w="1216"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0B4249" w:rsidRDefault="000B4249" w:rsidP="000B4249">
            <w:pPr>
              <w:jc w:val="cente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Traspaso a / de inversiones inmobiliarias</w:t>
            </w:r>
          </w:p>
          <w:p w:rsidR="000B4249" w:rsidRPr="000B4249" w:rsidRDefault="000B4249" w:rsidP="000B4249">
            <w:pPr>
              <w:jc w:val="cente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 (-/+)</w:t>
            </w:r>
          </w:p>
        </w:tc>
        <w:tc>
          <w:tcPr>
            <w:tcW w:w="1216" w:type="dxa"/>
            <w:vMerge w:val="restart"/>
            <w:tcBorders>
              <w:top w:val="single" w:sz="4" w:space="0" w:color="auto"/>
              <w:left w:val="single" w:sz="4" w:space="0" w:color="auto"/>
              <w:bottom w:val="single" w:sz="4" w:space="0" w:color="000000"/>
              <w:right w:val="single" w:sz="4" w:space="0" w:color="auto"/>
            </w:tcBorders>
            <w:shd w:val="clear" w:color="000000" w:fill="CCFFCC"/>
            <w:vAlign w:val="bottom"/>
            <w:hideMark/>
          </w:tcPr>
          <w:p w:rsidR="000B4249" w:rsidRPr="000B4249" w:rsidRDefault="000B4249" w:rsidP="000B4249">
            <w:pPr>
              <w:jc w:val="cente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Traspaso a activo</w:t>
            </w:r>
            <w:r w:rsidRPr="000B4249">
              <w:rPr>
                <w:rFonts w:ascii="Lucida Bright" w:hAnsi="Lucida Bright" w:cs="Calibri"/>
                <w:b/>
                <w:bCs/>
                <w:color w:val="000000"/>
                <w:sz w:val="14"/>
                <w:szCs w:val="14"/>
                <w:lang w:val="es-ES"/>
              </w:rPr>
              <w:br/>
              <w:t>no corriente mantenido para</w:t>
            </w:r>
            <w:r w:rsidRPr="000B4249">
              <w:rPr>
                <w:rFonts w:ascii="Lucida Bright" w:hAnsi="Lucida Bright" w:cs="Calibri"/>
                <w:b/>
                <w:bCs/>
                <w:color w:val="000000"/>
                <w:sz w:val="14"/>
                <w:szCs w:val="14"/>
                <w:lang w:val="es-ES"/>
              </w:rPr>
              <w:br/>
              <w:t>la venta (-)</w:t>
            </w:r>
          </w:p>
        </w:tc>
        <w:tc>
          <w:tcPr>
            <w:tcW w:w="956"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0B4249" w:rsidRPr="000B4249" w:rsidRDefault="000B4249" w:rsidP="000B4249">
            <w:pPr>
              <w:jc w:val="cente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Ajustes contra patrimonio (+/-)</w:t>
            </w:r>
          </w:p>
        </w:tc>
        <w:tc>
          <w:tcPr>
            <w:tcW w:w="1296"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0B4249" w:rsidRPr="000B4249" w:rsidRDefault="000B4249" w:rsidP="000B4249">
            <w:pPr>
              <w:jc w:val="cente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Saldo a</w:t>
            </w:r>
            <w:r w:rsidRPr="000B4249">
              <w:rPr>
                <w:rFonts w:ascii="Lucida Bright" w:hAnsi="Lucida Bright" w:cs="Calibri"/>
                <w:b/>
                <w:bCs/>
                <w:color w:val="000000"/>
                <w:sz w:val="14"/>
                <w:szCs w:val="14"/>
                <w:lang w:val="es-ES"/>
              </w:rPr>
              <w:br/>
            </w:r>
            <w:r w:rsidRPr="000B4249">
              <w:rPr>
                <w:rFonts w:ascii="Lucida Bright" w:hAnsi="Lucida Bright" w:cs="Calibri"/>
                <w:b/>
                <w:bCs/>
                <w:color w:val="000000"/>
                <w:sz w:val="14"/>
                <w:szCs w:val="14"/>
                <w:lang w:val="es-ES"/>
              </w:rPr>
              <w:br/>
              <w:t>31-12-23</w:t>
            </w:r>
          </w:p>
        </w:tc>
      </w:tr>
      <w:tr w:rsidR="000B4249" w:rsidRPr="000B4249" w:rsidTr="000B4249">
        <w:trPr>
          <w:trHeight w:val="630"/>
        </w:trPr>
        <w:tc>
          <w:tcPr>
            <w:tcW w:w="3654" w:type="dxa"/>
            <w:gridSpan w:val="2"/>
            <w:vMerge/>
            <w:tcBorders>
              <w:top w:val="single" w:sz="4" w:space="0" w:color="auto"/>
              <w:left w:val="single" w:sz="4" w:space="0" w:color="auto"/>
              <w:bottom w:val="single" w:sz="4" w:space="0" w:color="000000"/>
              <w:right w:val="single" w:sz="4" w:space="0" w:color="000000"/>
            </w:tcBorders>
            <w:vAlign w:val="center"/>
            <w:hideMark/>
          </w:tcPr>
          <w:p w:rsidR="000B4249" w:rsidRPr="000B4249" w:rsidRDefault="000B4249" w:rsidP="000B4249">
            <w:pPr>
              <w:rPr>
                <w:rFonts w:ascii="Lucida Bright" w:hAnsi="Lucida Bright" w:cs="Calibri"/>
                <w:b/>
                <w:bCs/>
                <w:color w:val="000000"/>
                <w:sz w:val="14"/>
                <w:szCs w:val="14"/>
                <w:lang w:val="es-ES"/>
              </w:rPr>
            </w:pPr>
          </w:p>
        </w:tc>
        <w:tc>
          <w:tcPr>
            <w:tcW w:w="1482" w:type="dxa"/>
            <w:vMerge/>
            <w:tcBorders>
              <w:top w:val="single" w:sz="4" w:space="0" w:color="auto"/>
              <w:left w:val="single" w:sz="4" w:space="0" w:color="auto"/>
              <w:bottom w:val="single" w:sz="4" w:space="0" w:color="000000"/>
              <w:right w:val="single" w:sz="4" w:space="0" w:color="auto"/>
            </w:tcBorders>
            <w:vAlign w:val="center"/>
            <w:hideMark/>
          </w:tcPr>
          <w:p w:rsidR="000B4249" w:rsidRPr="000B4249" w:rsidRDefault="000B4249" w:rsidP="000B4249">
            <w:pPr>
              <w:rPr>
                <w:rFonts w:ascii="Lucida Bright" w:hAnsi="Lucida Bright" w:cs="Calibri"/>
                <w:b/>
                <w:bCs/>
                <w:color w:val="000000"/>
                <w:sz w:val="14"/>
                <w:szCs w:val="14"/>
                <w:lang w:val="es-ES"/>
              </w:rPr>
            </w:pPr>
          </w:p>
        </w:tc>
        <w:tc>
          <w:tcPr>
            <w:tcW w:w="1376" w:type="dxa"/>
            <w:tcBorders>
              <w:top w:val="nil"/>
              <w:left w:val="nil"/>
              <w:bottom w:val="single" w:sz="4" w:space="0" w:color="auto"/>
              <w:right w:val="single" w:sz="4" w:space="0" w:color="auto"/>
            </w:tcBorders>
            <w:shd w:val="clear" w:color="000000" w:fill="CCFFCC"/>
            <w:noWrap/>
            <w:vAlign w:val="bottom"/>
            <w:hideMark/>
          </w:tcPr>
          <w:p w:rsidR="000B4249" w:rsidRPr="000B4249" w:rsidRDefault="000B4249" w:rsidP="000B4249">
            <w:pPr>
              <w:jc w:val="cente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Altas (+)</w:t>
            </w:r>
          </w:p>
        </w:tc>
        <w:tc>
          <w:tcPr>
            <w:tcW w:w="1376" w:type="dxa"/>
            <w:tcBorders>
              <w:top w:val="nil"/>
              <w:left w:val="nil"/>
              <w:bottom w:val="single" w:sz="4" w:space="0" w:color="auto"/>
              <w:right w:val="single" w:sz="4" w:space="0" w:color="auto"/>
            </w:tcBorders>
            <w:shd w:val="clear" w:color="000000" w:fill="CCFFCC"/>
            <w:noWrap/>
            <w:vAlign w:val="bottom"/>
            <w:hideMark/>
          </w:tcPr>
          <w:p w:rsidR="000B4249" w:rsidRPr="000B4249" w:rsidRDefault="000B4249" w:rsidP="000B4249">
            <w:pPr>
              <w:jc w:val="cente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Bajas (-)</w:t>
            </w:r>
          </w:p>
        </w:tc>
        <w:tc>
          <w:tcPr>
            <w:tcW w:w="1556" w:type="dxa"/>
            <w:vMerge/>
            <w:tcBorders>
              <w:top w:val="single" w:sz="4" w:space="0" w:color="auto"/>
              <w:left w:val="single" w:sz="4" w:space="0" w:color="auto"/>
              <w:bottom w:val="single" w:sz="4" w:space="0" w:color="000000"/>
              <w:right w:val="single" w:sz="4" w:space="0" w:color="auto"/>
            </w:tcBorders>
            <w:vAlign w:val="center"/>
            <w:hideMark/>
          </w:tcPr>
          <w:p w:rsidR="000B4249" w:rsidRPr="000B4249" w:rsidRDefault="000B4249" w:rsidP="000B4249">
            <w:pPr>
              <w:rPr>
                <w:rFonts w:ascii="Lucida Bright" w:hAnsi="Lucida Bright" w:cs="Calibri"/>
                <w:b/>
                <w:bCs/>
                <w:color w:val="000000"/>
                <w:sz w:val="14"/>
                <w:szCs w:val="14"/>
                <w:lang w:val="es-ES"/>
              </w:rPr>
            </w:pPr>
          </w:p>
        </w:tc>
        <w:tc>
          <w:tcPr>
            <w:tcW w:w="1216" w:type="dxa"/>
            <w:vMerge/>
            <w:tcBorders>
              <w:top w:val="single" w:sz="4" w:space="0" w:color="auto"/>
              <w:left w:val="single" w:sz="4" w:space="0" w:color="auto"/>
              <w:bottom w:val="single" w:sz="4" w:space="0" w:color="000000"/>
              <w:right w:val="single" w:sz="4" w:space="0" w:color="auto"/>
            </w:tcBorders>
            <w:vAlign w:val="center"/>
            <w:hideMark/>
          </w:tcPr>
          <w:p w:rsidR="000B4249" w:rsidRPr="000B4249" w:rsidRDefault="000B4249" w:rsidP="000B4249">
            <w:pPr>
              <w:rPr>
                <w:rFonts w:ascii="Lucida Bright" w:hAnsi="Lucida Bright" w:cs="Calibri"/>
                <w:b/>
                <w:bCs/>
                <w:color w:val="000000"/>
                <w:sz w:val="14"/>
                <w:szCs w:val="14"/>
                <w:lang w:val="es-ES"/>
              </w:rPr>
            </w:pPr>
          </w:p>
        </w:tc>
        <w:tc>
          <w:tcPr>
            <w:tcW w:w="1216" w:type="dxa"/>
            <w:vMerge/>
            <w:tcBorders>
              <w:top w:val="single" w:sz="4" w:space="0" w:color="auto"/>
              <w:left w:val="single" w:sz="4" w:space="0" w:color="auto"/>
              <w:bottom w:val="single" w:sz="4" w:space="0" w:color="000000"/>
              <w:right w:val="single" w:sz="4" w:space="0" w:color="auto"/>
            </w:tcBorders>
            <w:vAlign w:val="center"/>
            <w:hideMark/>
          </w:tcPr>
          <w:p w:rsidR="000B4249" w:rsidRPr="000B4249" w:rsidRDefault="000B4249" w:rsidP="000B4249">
            <w:pPr>
              <w:rPr>
                <w:rFonts w:ascii="Lucida Bright" w:hAnsi="Lucida Bright" w:cs="Calibri"/>
                <w:b/>
                <w:bCs/>
                <w:color w:val="000000"/>
                <w:sz w:val="14"/>
                <w:szCs w:val="14"/>
                <w:lang w:val="es-ES"/>
              </w:rPr>
            </w:pPr>
          </w:p>
        </w:tc>
        <w:tc>
          <w:tcPr>
            <w:tcW w:w="956" w:type="dxa"/>
            <w:vMerge/>
            <w:tcBorders>
              <w:top w:val="single" w:sz="4" w:space="0" w:color="auto"/>
              <w:left w:val="single" w:sz="4" w:space="0" w:color="auto"/>
              <w:bottom w:val="single" w:sz="4" w:space="0" w:color="000000"/>
              <w:right w:val="single" w:sz="4" w:space="0" w:color="auto"/>
            </w:tcBorders>
            <w:vAlign w:val="center"/>
            <w:hideMark/>
          </w:tcPr>
          <w:p w:rsidR="000B4249" w:rsidRPr="000B4249" w:rsidRDefault="000B4249" w:rsidP="000B4249">
            <w:pPr>
              <w:rPr>
                <w:rFonts w:ascii="Lucida Bright" w:hAnsi="Lucida Bright" w:cs="Calibri"/>
                <w:b/>
                <w:bCs/>
                <w:color w:val="000000"/>
                <w:sz w:val="14"/>
                <w:szCs w:val="14"/>
                <w:lang w:val="es-ES"/>
              </w:rPr>
            </w:pPr>
          </w:p>
        </w:tc>
        <w:tc>
          <w:tcPr>
            <w:tcW w:w="1296" w:type="dxa"/>
            <w:vMerge/>
            <w:tcBorders>
              <w:top w:val="single" w:sz="4" w:space="0" w:color="auto"/>
              <w:left w:val="single" w:sz="4" w:space="0" w:color="auto"/>
              <w:bottom w:val="single" w:sz="4" w:space="0" w:color="000000"/>
              <w:right w:val="single" w:sz="4" w:space="0" w:color="auto"/>
            </w:tcBorders>
            <w:vAlign w:val="center"/>
            <w:hideMark/>
          </w:tcPr>
          <w:p w:rsidR="000B4249" w:rsidRPr="000B4249" w:rsidRDefault="000B4249" w:rsidP="000B4249">
            <w:pPr>
              <w:rPr>
                <w:rFonts w:ascii="Lucida Bright" w:hAnsi="Lucida Bright" w:cs="Calibri"/>
                <w:b/>
                <w:bCs/>
                <w:color w:val="000000"/>
                <w:sz w:val="14"/>
                <w:szCs w:val="14"/>
                <w:lang w:val="es-ES"/>
              </w:rPr>
            </w:pPr>
          </w:p>
        </w:tc>
      </w:tr>
      <w:tr w:rsidR="000B4249" w:rsidRPr="000B4249" w:rsidTr="000B4249">
        <w:trPr>
          <w:trHeight w:val="210"/>
        </w:trPr>
        <w:tc>
          <w:tcPr>
            <w:tcW w:w="365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a) Terrenos y bienes naturales</w:t>
            </w:r>
          </w:p>
        </w:tc>
        <w:tc>
          <w:tcPr>
            <w:tcW w:w="1482"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77.037.656,50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803.085,70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(0,01)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77.840.742,19 </w:t>
            </w:r>
          </w:p>
        </w:tc>
      </w:tr>
      <w:tr w:rsidR="000B4249" w:rsidRPr="000B4249" w:rsidTr="000B4249">
        <w:trPr>
          <w:trHeight w:val="210"/>
        </w:trPr>
        <w:tc>
          <w:tcPr>
            <w:tcW w:w="365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b) Construcciones</w:t>
            </w:r>
          </w:p>
        </w:tc>
        <w:tc>
          <w:tcPr>
            <w:tcW w:w="1482"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576.117.792,63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26.089.917,47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(803.428,36) </w:t>
            </w:r>
          </w:p>
        </w:tc>
        <w:tc>
          <w:tcPr>
            <w:tcW w:w="15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(73,85)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(448.967,27)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600.955.240,62 </w:t>
            </w:r>
          </w:p>
        </w:tc>
      </w:tr>
      <w:tr w:rsidR="000B4249" w:rsidRPr="000B4249" w:rsidTr="000B4249">
        <w:trPr>
          <w:trHeight w:val="210"/>
        </w:trPr>
        <w:tc>
          <w:tcPr>
            <w:tcW w:w="365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Accesos marítimos</w:t>
            </w:r>
          </w:p>
        </w:tc>
        <w:tc>
          <w:tcPr>
            <w:tcW w:w="1482"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19.725.653,78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(9,57)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19.725.644,21 </w:t>
            </w:r>
          </w:p>
        </w:tc>
      </w:tr>
      <w:tr w:rsidR="000B4249" w:rsidRPr="000B4249" w:rsidTr="000B4249">
        <w:trPr>
          <w:trHeight w:val="210"/>
        </w:trPr>
        <w:tc>
          <w:tcPr>
            <w:tcW w:w="365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Obras de abrigo y defensa</w:t>
            </w:r>
          </w:p>
        </w:tc>
        <w:tc>
          <w:tcPr>
            <w:tcW w:w="1482"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68.554.422,45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2,80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68.554.425,25 </w:t>
            </w:r>
          </w:p>
        </w:tc>
      </w:tr>
      <w:tr w:rsidR="000B4249" w:rsidRPr="000B4249" w:rsidTr="000B4249">
        <w:trPr>
          <w:trHeight w:val="210"/>
        </w:trPr>
        <w:tc>
          <w:tcPr>
            <w:tcW w:w="365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Obras de atraque</w:t>
            </w:r>
          </w:p>
        </w:tc>
        <w:tc>
          <w:tcPr>
            <w:tcW w:w="1482"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251.163.463,77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2.982.720,75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(84.817,44) </w:t>
            </w:r>
          </w:p>
        </w:tc>
        <w:tc>
          <w:tcPr>
            <w:tcW w:w="15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(15,88)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254.061.351,20 </w:t>
            </w:r>
          </w:p>
        </w:tc>
      </w:tr>
      <w:tr w:rsidR="000B4249" w:rsidRPr="000B4249" w:rsidTr="000B4249">
        <w:trPr>
          <w:trHeight w:val="210"/>
        </w:trPr>
        <w:tc>
          <w:tcPr>
            <w:tcW w:w="365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Instalaciones para reparación de barcos</w:t>
            </w:r>
          </w:p>
        </w:tc>
        <w:tc>
          <w:tcPr>
            <w:tcW w:w="1482"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r>
      <w:tr w:rsidR="000B4249" w:rsidRPr="000B4249" w:rsidTr="000B4249">
        <w:trPr>
          <w:trHeight w:val="210"/>
        </w:trPr>
        <w:tc>
          <w:tcPr>
            <w:tcW w:w="3588" w:type="dxa"/>
            <w:tcBorders>
              <w:top w:val="nil"/>
              <w:left w:val="single" w:sz="4" w:space="0" w:color="auto"/>
              <w:bottom w:val="single" w:sz="4" w:space="0" w:color="auto"/>
              <w:right w:val="nil"/>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Edificaciones</w:t>
            </w:r>
          </w:p>
        </w:tc>
        <w:tc>
          <w:tcPr>
            <w:tcW w:w="6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482"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100.670.658,60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13.103.155,25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(290.736,22) </w:t>
            </w:r>
          </w:p>
        </w:tc>
        <w:tc>
          <w:tcPr>
            <w:tcW w:w="15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(31,55)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(448.967,27)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113.034.078,81 </w:t>
            </w:r>
          </w:p>
        </w:tc>
      </w:tr>
      <w:tr w:rsidR="000B4249" w:rsidRPr="000B4249" w:rsidTr="000B4249">
        <w:trPr>
          <w:trHeight w:val="210"/>
        </w:trPr>
        <w:tc>
          <w:tcPr>
            <w:tcW w:w="365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Instalaciones generales</w:t>
            </w:r>
          </w:p>
        </w:tc>
        <w:tc>
          <w:tcPr>
            <w:tcW w:w="1482"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59.283.949,40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6.501.997,68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(368.570,53) </w:t>
            </w:r>
          </w:p>
        </w:tc>
        <w:tc>
          <w:tcPr>
            <w:tcW w:w="15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(7,28)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65.417.369,27 </w:t>
            </w:r>
          </w:p>
        </w:tc>
      </w:tr>
      <w:tr w:rsidR="000B4249" w:rsidRPr="000B4249" w:rsidTr="000B4249">
        <w:trPr>
          <w:trHeight w:val="210"/>
        </w:trPr>
        <w:tc>
          <w:tcPr>
            <w:tcW w:w="365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Pavimentos, calzadas y vías de circulación</w:t>
            </w:r>
          </w:p>
        </w:tc>
        <w:tc>
          <w:tcPr>
            <w:tcW w:w="1482"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76.719.644,63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3.502.043,79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(59.304,17) </w:t>
            </w:r>
          </w:p>
        </w:tc>
        <w:tc>
          <w:tcPr>
            <w:tcW w:w="15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(12,37)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80.162.371,88 </w:t>
            </w:r>
          </w:p>
        </w:tc>
      </w:tr>
      <w:tr w:rsidR="000B4249" w:rsidRPr="000B4249" w:rsidTr="000B4249">
        <w:trPr>
          <w:trHeight w:val="210"/>
        </w:trPr>
        <w:tc>
          <w:tcPr>
            <w:tcW w:w="365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c) Equipamientos e instalaciones técnicas</w:t>
            </w:r>
          </w:p>
        </w:tc>
        <w:tc>
          <w:tcPr>
            <w:tcW w:w="1482"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29.489.606,65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287.823,08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(704.055,37) </w:t>
            </w:r>
          </w:p>
        </w:tc>
        <w:tc>
          <w:tcPr>
            <w:tcW w:w="15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878,80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29.074.253,16 </w:t>
            </w:r>
          </w:p>
        </w:tc>
      </w:tr>
      <w:tr w:rsidR="000B4249" w:rsidRPr="000B4249" w:rsidTr="000B4249">
        <w:trPr>
          <w:trHeight w:val="210"/>
        </w:trPr>
        <w:tc>
          <w:tcPr>
            <w:tcW w:w="365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Instalaciones de ayuda a la navegación</w:t>
            </w:r>
          </w:p>
        </w:tc>
        <w:tc>
          <w:tcPr>
            <w:tcW w:w="1482"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6.185.100,00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287.823,08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(490.141,59) </w:t>
            </w:r>
          </w:p>
        </w:tc>
        <w:tc>
          <w:tcPr>
            <w:tcW w:w="15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883,20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5.983.664,69 </w:t>
            </w:r>
          </w:p>
        </w:tc>
      </w:tr>
      <w:tr w:rsidR="000B4249" w:rsidRPr="000B4249" w:rsidTr="000B4249">
        <w:trPr>
          <w:trHeight w:val="210"/>
        </w:trPr>
        <w:tc>
          <w:tcPr>
            <w:tcW w:w="365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Equipos de manipulación de </w:t>
            </w:r>
            <w:r w:rsidR="00DD448C" w:rsidRPr="000B4249">
              <w:rPr>
                <w:rFonts w:ascii="Lucida Bright" w:hAnsi="Lucida Bright" w:cs="Calibri"/>
                <w:sz w:val="14"/>
                <w:szCs w:val="14"/>
                <w:lang w:val="es-ES"/>
              </w:rPr>
              <w:t>mercancías</w:t>
            </w:r>
          </w:p>
        </w:tc>
        <w:tc>
          <w:tcPr>
            <w:tcW w:w="1482"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21.803.965,39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(48.539,64) </w:t>
            </w:r>
          </w:p>
        </w:tc>
        <w:tc>
          <w:tcPr>
            <w:tcW w:w="15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(7,58)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21.755.418,17 </w:t>
            </w:r>
          </w:p>
        </w:tc>
      </w:tr>
      <w:tr w:rsidR="000B4249" w:rsidRPr="000B4249" w:rsidTr="000B4249">
        <w:trPr>
          <w:trHeight w:val="210"/>
        </w:trPr>
        <w:tc>
          <w:tcPr>
            <w:tcW w:w="365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Material flotante</w:t>
            </w:r>
          </w:p>
        </w:tc>
        <w:tc>
          <w:tcPr>
            <w:tcW w:w="1482"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1.318.595,34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(150.464,94) </w:t>
            </w:r>
          </w:p>
        </w:tc>
        <w:tc>
          <w:tcPr>
            <w:tcW w:w="15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1,45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1.168.131,85 </w:t>
            </w:r>
          </w:p>
        </w:tc>
      </w:tr>
      <w:tr w:rsidR="000B4249" w:rsidRPr="000B4249" w:rsidTr="000B4249">
        <w:trPr>
          <w:trHeight w:val="210"/>
        </w:trPr>
        <w:tc>
          <w:tcPr>
            <w:tcW w:w="365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Material ferroviario</w:t>
            </w:r>
          </w:p>
        </w:tc>
        <w:tc>
          <w:tcPr>
            <w:tcW w:w="1482"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r>
      <w:tr w:rsidR="000B4249" w:rsidRPr="000B4249" w:rsidTr="000B4249">
        <w:trPr>
          <w:trHeight w:val="210"/>
        </w:trPr>
        <w:tc>
          <w:tcPr>
            <w:tcW w:w="3588" w:type="dxa"/>
            <w:tcBorders>
              <w:top w:val="nil"/>
              <w:left w:val="single" w:sz="4" w:space="0" w:color="auto"/>
              <w:bottom w:val="single" w:sz="4" w:space="0" w:color="auto"/>
              <w:right w:val="nil"/>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Equipo de taller</w:t>
            </w:r>
          </w:p>
        </w:tc>
        <w:tc>
          <w:tcPr>
            <w:tcW w:w="6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482"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181.945,92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(14.909,20) </w:t>
            </w:r>
          </w:p>
        </w:tc>
        <w:tc>
          <w:tcPr>
            <w:tcW w:w="15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1,73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167.038,45 </w:t>
            </w:r>
          </w:p>
        </w:tc>
      </w:tr>
      <w:tr w:rsidR="000B4249" w:rsidRPr="000B4249" w:rsidTr="000B4249">
        <w:trPr>
          <w:trHeight w:val="210"/>
        </w:trPr>
        <w:tc>
          <w:tcPr>
            <w:tcW w:w="365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d) Otro inmovilizado</w:t>
            </w:r>
          </w:p>
        </w:tc>
        <w:tc>
          <w:tcPr>
            <w:tcW w:w="1482"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19.942.149,12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1.339.357,75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(2.426.078,93) </w:t>
            </w:r>
          </w:p>
        </w:tc>
        <w:tc>
          <w:tcPr>
            <w:tcW w:w="15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(30,27)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18.855.397,67 </w:t>
            </w:r>
          </w:p>
        </w:tc>
      </w:tr>
      <w:tr w:rsidR="000B4249" w:rsidRPr="000B4249" w:rsidTr="000B4249">
        <w:trPr>
          <w:trHeight w:val="210"/>
        </w:trPr>
        <w:tc>
          <w:tcPr>
            <w:tcW w:w="3588" w:type="dxa"/>
            <w:tcBorders>
              <w:top w:val="nil"/>
              <w:left w:val="single" w:sz="4" w:space="0" w:color="auto"/>
              <w:bottom w:val="single" w:sz="4" w:space="0" w:color="auto"/>
              <w:right w:val="nil"/>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Mobiliario</w:t>
            </w:r>
          </w:p>
        </w:tc>
        <w:tc>
          <w:tcPr>
            <w:tcW w:w="6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482"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2.793.231,73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49.518,25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(140.001,47) </w:t>
            </w:r>
          </w:p>
        </w:tc>
        <w:tc>
          <w:tcPr>
            <w:tcW w:w="15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(3,34)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2.702.745,17 </w:t>
            </w:r>
          </w:p>
        </w:tc>
      </w:tr>
      <w:tr w:rsidR="000B4249" w:rsidRPr="000B4249" w:rsidTr="000B4249">
        <w:trPr>
          <w:trHeight w:val="210"/>
        </w:trPr>
        <w:tc>
          <w:tcPr>
            <w:tcW w:w="365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Equipos para proceso de información</w:t>
            </w:r>
          </w:p>
        </w:tc>
        <w:tc>
          <w:tcPr>
            <w:tcW w:w="1482"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3.271.124,58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395.028,40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(229.120,44) </w:t>
            </w:r>
          </w:p>
        </w:tc>
        <w:tc>
          <w:tcPr>
            <w:tcW w:w="15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(7,88)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3.437.024,66 </w:t>
            </w:r>
          </w:p>
        </w:tc>
      </w:tr>
      <w:tr w:rsidR="000B4249" w:rsidRPr="000B4249" w:rsidTr="000B4249">
        <w:trPr>
          <w:trHeight w:val="210"/>
        </w:trPr>
        <w:tc>
          <w:tcPr>
            <w:tcW w:w="365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Elementos de transporte</w:t>
            </w:r>
          </w:p>
        </w:tc>
        <w:tc>
          <w:tcPr>
            <w:tcW w:w="1482"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3.108.526,79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535.092,25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5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(1,93)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3.643.617,11 </w:t>
            </w:r>
          </w:p>
        </w:tc>
      </w:tr>
      <w:tr w:rsidR="000B4249" w:rsidRPr="000B4249" w:rsidTr="000B4249">
        <w:trPr>
          <w:trHeight w:val="210"/>
        </w:trPr>
        <w:tc>
          <w:tcPr>
            <w:tcW w:w="3588" w:type="dxa"/>
            <w:tcBorders>
              <w:top w:val="nil"/>
              <w:left w:val="single" w:sz="4" w:space="0" w:color="auto"/>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Otro inmovilizado material</w:t>
            </w:r>
          </w:p>
        </w:tc>
        <w:tc>
          <w:tcPr>
            <w:tcW w:w="6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482"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10.769.266,02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359.718,85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(2.056.957,02) </w:t>
            </w:r>
          </w:p>
        </w:tc>
        <w:tc>
          <w:tcPr>
            <w:tcW w:w="15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(17,12)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color w:val="000000"/>
                <w:sz w:val="14"/>
                <w:szCs w:val="14"/>
                <w:lang w:val="es-ES"/>
              </w:rPr>
            </w:pPr>
            <w:r w:rsidRPr="000B4249">
              <w:rPr>
                <w:rFonts w:ascii="Lucida Bright" w:hAnsi="Lucida Bright" w:cs="Calibri"/>
                <w:color w:val="000000"/>
                <w:sz w:val="14"/>
                <w:szCs w:val="14"/>
                <w:lang w:val="es-ES"/>
              </w:rPr>
              <w:t xml:space="preserve">9.072.010,73 </w:t>
            </w:r>
          </w:p>
        </w:tc>
      </w:tr>
      <w:tr w:rsidR="000B4249" w:rsidRPr="000B4249" w:rsidTr="000B4249">
        <w:trPr>
          <w:trHeight w:val="210"/>
        </w:trPr>
        <w:tc>
          <w:tcPr>
            <w:tcW w:w="3588" w:type="dxa"/>
            <w:tcBorders>
              <w:top w:val="nil"/>
              <w:left w:val="single" w:sz="4" w:space="0" w:color="auto"/>
              <w:bottom w:val="single" w:sz="4" w:space="0" w:color="auto"/>
              <w:right w:val="nil"/>
            </w:tcBorders>
            <w:shd w:val="clear" w:color="000000" w:fill="FFFFFF"/>
            <w:noWrap/>
            <w:vAlign w:val="center"/>
            <w:hideMark/>
          </w:tcPr>
          <w:p w:rsidR="000B4249" w:rsidRPr="000B4249" w:rsidRDefault="000B4249" w:rsidP="000B4249">
            <w:pPr>
              <w:jc w:val="center"/>
              <w:rPr>
                <w:rFonts w:ascii="Lucida Bright" w:hAnsi="Lucida Bright" w:cs="Calibri"/>
                <w:b/>
                <w:bCs/>
                <w:sz w:val="14"/>
                <w:szCs w:val="14"/>
                <w:lang w:val="es-ES"/>
              </w:rPr>
            </w:pPr>
            <w:r w:rsidRPr="000B4249">
              <w:rPr>
                <w:rFonts w:ascii="Lucida Bright" w:hAnsi="Lucida Bright" w:cs="Calibri"/>
                <w:b/>
                <w:bCs/>
                <w:sz w:val="14"/>
                <w:szCs w:val="14"/>
                <w:lang w:val="es-ES"/>
              </w:rPr>
              <w:t>TOTAL INMOVILIZADO MATERIAL</w:t>
            </w:r>
          </w:p>
        </w:tc>
        <w:tc>
          <w:tcPr>
            <w:tcW w:w="6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center"/>
              <w:rPr>
                <w:rFonts w:ascii="Lucida Bright" w:hAnsi="Lucida Bright" w:cs="Calibri"/>
                <w:b/>
                <w:bCs/>
                <w:sz w:val="14"/>
                <w:szCs w:val="14"/>
                <w:lang w:val="es-ES"/>
              </w:rPr>
            </w:pPr>
            <w:r w:rsidRPr="000B4249">
              <w:rPr>
                <w:rFonts w:ascii="Lucida Bright" w:hAnsi="Lucida Bright" w:cs="Calibri"/>
                <w:b/>
                <w:bCs/>
                <w:sz w:val="14"/>
                <w:szCs w:val="14"/>
                <w:lang w:val="es-ES"/>
              </w:rPr>
              <w:t> </w:t>
            </w:r>
          </w:p>
        </w:tc>
        <w:tc>
          <w:tcPr>
            <w:tcW w:w="1482"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702.587.204,90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28.520.184,00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(3.933.562,66) </w:t>
            </w:r>
          </w:p>
        </w:tc>
        <w:tc>
          <w:tcPr>
            <w:tcW w:w="15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774,67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(448.967,27)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726.725.633,64 </w:t>
            </w:r>
          </w:p>
        </w:tc>
      </w:tr>
      <w:tr w:rsidR="000B4249" w:rsidRPr="000B4249" w:rsidTr="000B4249">
        <w:trPr>
          <w:trHeight w:val="210"/>
        </w:trPr>
        <w:tc>
          <w:tcPr>
            <w:tcW w:w="3588" w:type="dxa"/>
            <w:tcBorders>
              <w:top w:val="nil"/>
              <w:left w:val="single" w:sz="4" w:space="0" w:color="auto"/>
              <w:bottom w:val="single" w:sz="4" w:space="0" w:color="auto"/>
              <w:right w:val="nil"/>
            </w:tcBorders>
            <w:shd w:val="clear" w:color="000000" w:fill="FFFFFF"/>
            <w:noWrap/>
            <w:vAlign w:val="center"/>
            <w:hideMark/>
          </w:tcPr>
          <w:p w:rsidR="000B4249" w:rsidRPr="000B4249" w:rsidRDefault="000B4249" w:rsidP="000B4249">
            <w:pPr>
              <w:jc w:val="center"/>
              <w:rPr>
                <w:rFonts w:ascii="Lucida Bright" w:hAnsi="Lucida Bright" w:cs="Calibri"/>
                <w:b/>
                <w:bCs/>
                <w:sz w:val="14"/>
                <w:szCs w:val="14"/>
                <w:lang w:val="es-ES"/>
              </w:rPr>
            </w:pPr>
            <w:r w:rsidRPr="000B4249">
              <w:rPr>
                <w:rFonts w:ascii="Lucida Bright" w:hAnsi="Lucida Bright" w:cs="Calibri"/>
                <w:b/>
                <w:bCs/>
                <w:sz w:val="14"/>
                <w:szCs w:val="14"/>
                <w:lang w:val="es-ES"/>
              </w:rPr>
              <w:t>ANTICIPOS E INMOVILIZADO EN CURSO</w:t>
            </w:r>
          </w:p>
        </w:tc>
        <w:tc>
          <w:tcPr>
            <w:tcW w:w="6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center"/>
              <w:rPr>
                <w:rFonts w:ascii="Lucida Bright" w:hAnsi="Lucida Bright" w:cs="Calibri"/>
                <w:b/>
                <w:bCs/>
                <w:sz w:val="14"/>
                <w:szCs w:val="14"/>
                <w:lang w:val="es-ES"/>
              </w:rPr>
            </w:pPr>
            <w:r w:rsidRPr="000B4249">
              <w:rPr>
                <w:rFonts w:ascii="Lucida Bright" w:hAnsi="Lucida Bright" w:cs="Calibri"/>
                <w:b/>
                <w:bCs/>
                <w:sz w:val="14"/>
                <w:szCs w:val="14"/>
                <w:lang w:val="es-ES"/>
              </w:rPr>
              <w:t> </w:t>
            </w:r>
          </w:p>
        </w:tc>
        <w:tc>
          <w:tcPr>
            <w:tcW w:w="1482"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56.176.200,63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11.126.247,60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(237.041,42) </w:t>
            </w:r>
          </w:p>
        </w:tc>
        <w:tc>
          <w:tcPr>
            <w:tcW w:w="15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(374.952,03)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(151.756,91)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66.538.697,87 </w:t>
            </w:r>
          </w:p>
        </w:tc>
      </w:tr>
      <w:tr w:rsidR="000B4249" w:rsidRPr="000B4249" w:rsidTr="000B4249">
        <w:trPr>
          <w:trHeight w:val="210"/>
        </w:trPr>
        <w:tc>
          <w:tcPr>
            <w:tcW w:w="3588" w:type="dxa"/>
            <w:tcBorders>
              <w:top w:val="nil"/>
              <w:left w:val="single" w:sz="4" w:space="0" w:color="auto"/>
              <w:bottom w:val="single" w:sz="4" w:space="0" w:color="auto"/>
              <w:right w:val="nil"/>
            </w:tcBorders>
            <w:shd w:val="clear" w:color="000000" w:fill="FFFFFF"/>
            <w:noWrap/>
            <w:vAlign w:val="center"/>
            <w:hideMark/>
          </w:tcPr>
          <w:p w:rsidR="000B4249" w:rsidRPr="000B4249" w:rsidRDefault="000B4249" w:rsidP="000B4249">
            <w:pPr>
              <w:jc w:val="center"/>
              <w:rPr>
                <w:rFonts w:ascii="Lucida Bright" w:hAnsi="Lucida Bright" w:cs="Calibri"/>
                <w:b/>
                <w:bCs/>
                <w:sz w:val="14"/>
                <w:szCs w:val="14"/>
                <w:lang w:val="es-ES"/>
              </w:rPr>
            </w:pPr>
            <w:r w:rsidRPr="000B4249">
              <w:rPr>
                <w:rFonts w:ascii="Lucida Bright" w:hAnsi="Lucida Bright" w:cs="Calibri"/>
                <w:b/>
                <w:bCs/>
                <w:sz w:val="14"/>
                <w:szCs w:val="14"/>
                <w:lang w:val="es-ES"/>
              </w:rPr>
              <w:t>TOTAL</w:t>
            </w:r>
          </w:p>
        </w:tc>
        <w:tc>
          <w:tcPr>
            <w:tcW w:w="6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center"/>
              <w:rPr>
                <w:rFonts w:ascii="Lucida Bright" w:hAnsi="Lucida Bright" w:cs="Calibri"/>
                <w:b/>
                <w:bCs/>
                <w:sz w:val="14"/>
                <w:szCs w:val="14"/>
                <w:lang w:val="es-ES"/>
              </w:rPr>
            </w:pPr>
            <w:r w:rsidRPr="000B4249">
              <w:rPr>
                <w:rFonts w:ascii="Lucida Bright" w:hAnsi="Lucida Bright" w:cs="Calibri"/>
                <w:b/>
                <w:bCs/>
                <w:sz w:val="14"/>
                <w:szCs w:val="14"/>
                <w:lang w:val="es-ES"/>
              </w:rPr>
              <w:t> </w:t>
            </w:r>
          </w:p>
        </w:tc>
        <w:tc>
          <w:tcPr>
            <w:tcW w:w="1482"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758.763.405,53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39.646.431,60 </w:t>
            </w:r>
          </w:p>
        </w:tc>
        <w:tc>
          <w:tcPr>
            <w:tcW w:w="137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(4.170.604,08) </w:t>
            </w:r>
          </w:p>
        </w:tc>
        <w:tc>
          <w:tcPr>
            <w:tcW w:w="15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(374.177,36)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(600.724,18) </w:t>
            </w:r>
          </w:p>
        </w:tc>
        <w:tc>
          <w:tcPr>
            <w:tcW w:w="121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w:t>
            </w:r>
          </w:p>
        </w:tc>
        <w:tc>
          <w:tcPr>
            <w:tcW w:w="95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w:t>
            </w:r>
          </w:p>
        </w:tc>
        <w:tc>
          <w:tcPr>
            <w:tcW w:w="1296" w:type="dxa"/>
            <w:tcBorders>
              <w:top w:val="nil"/>
              <w:left w:val="nil"/>
              <w:bottom w:val="single" w:sz="4" w:space="0" w:color="auto"/>
              <w:right w:val="single" w:sz="4" w:space="0" w:color="auto"/>
            </w:tcBorders>
            <w:shd w:val="clear" w:color="auto" w:fill="auto"/>
            <w:noWrap/>
            <w:vAlign w:val="bottom"/>
            <w:hideMark/>
          </w:tcPr>
          <w:p w:rsidR="000B4249" w:rsidRPr="000B4249" w:rsidRDefault="000B4249" w:rsidP="000B4249">
            <w:pPr>
              <w:jc w:val="right"/>
              <w:rPr>
                <w:rFonts w:ascii="Lucida Bright" w:hAnsi="Lucida Bright" w:cs="Calibri"/>
                <w:b/>
                <w:bCs/>
                <w:color w:val="000000"/>
                <w:sz w:val="14"/>
                <w:szCs w:val="14"/>
                <w:lang w:val="es-ES"/>
              </w:rPr>
            </w:pPr>
            <w:r w:rsidRPr="000B4249">
              <w:rPr>
                <w:rFonts w:ascii="Lucida Bright" w:hAnsi="Lucida Bright" w:cs="Calibri"/>
                <w:b/>
                <w:bCs/>
                <w:color w:val="000000"/>
                <w:sz w:val="14"/>
                <w:szCs w:val="14"/>
                <w:lang w:val="es-ES"/>
              </w:rPr>
              <w:t xml:space="preserve">793.264.331,51 </w:t>
            </w:r>
          </w:p>
        </w:tc>
      </w:tr>
    </w:tbl>
    <w:p w:rsidR="00B9194A" w:rsidRDefault="00B9194A" w:rsidP="004E5856">
      <w:pPr>
        <w:shd w:val="clear" w:color="auto" w:fill="FFFFFF"/>
        <w:ind w:left="12" w:right="1108"/>
        <w:rPr>
          <w:rFonts w:ascii="Lucida Bright" w:eastAsia="Lucida Bright" w:hAnsi="Lucida Bright" w:cs="Lucida Bright"/>
          <w:color w:val="000000"/>
          <w:sz w:val="15"/>
          <w:highlight w:val="white"/>
        </w:rPr>
      </w:pPr>
    </w:p>
    <w:p w:rsidR="00B9194A" w:rsidRDefault="00B9194A" w:rsidP="004E5856">
      <w:pPr>
        <w:shd w:val="clear" w:color="auto" w:fill="FFFFFF"/>
        <w:ind w:left="12" w:right="1108"/>
        <w:rPr>
          <w:rFonts w:ascii="Lucida Bright" w:eastAsia="Lucida Bright" w:hAnsi="Lucida Bright" w:cs="Lucida Bright"/>
          <w:color w:val="000000"/>
          <w:sz w:val="15"/>
          <w:highlight w:val="white"/>
        </w:rPr>
      </w:pPr>
    </w:p>
    <w:p w:rsidR="001C4AD5" w:rsidRDefault="001C4AD5" w:rsidP="004E5856">
      <w:pPr>
        <w:shd w:val="clear" w:color="auto" w:fill="FFFFFF"/>
        <w:ind w:left="12" w:right="1108"/>
        <w:rPr>
          <w:rFonts w:ascii="Lucida Bright" w:eastAsia="Lucida Bright" w:hAnsi="Lucida Bright" w:cs="Lucida Bright"/>
          <w:color w:val="000000"/>
          <w:sz w:val="15"/>
        </w:rPr>
      </w:pPr>
    </w:p>
    <w:p w:rsidR="001C4AD5" w:rsidRDefault="001C4AD5" w:rsidP="004E5856">
      <w:pPr>
        <w:shd w:val="clear" w:color="auto" w:fill="FFFFFF"/>
        <w:ind w:left="12" w:right="1108"/>
        <w:rPr>
          <w:rFonts w:ascii="Lucida Bright" w:eastAsia="Lucida Bright" w:hAnsi="Lucida Bright" w:cs="Lucida Bright"/>
          <w:color w:val="000000"/>
          <w:sz w:val="15"/>
        </w:rPr>
      </w:pPr>
    </w:p>
    <w:p w:rsidR="001C4AD5" w:rsidRDefault="001C4AD5" w:rsidP="004E5856">
      <w:pPr>
        <w:shd w:val="clear" w:color="auto" w:fill="FFFFFF"/>
        <w:ind w:left="12" w:right="1108"/>
        <w:rPr>
          <w:rFonts w:ascii="Lucida Bright" w:eastAsia="Lucida Bright" w:hAnsi="Lucida Bright" w:cs="Lucida Bright"/>
          <w:color w:val="000000"/>
          <w:sz w:val="15"/>
        </w:rPr>
      </w:pPr>
    </w:p>
    <w:p w:rsidR="001C4AD5" w:rsidRDefault="001C4AD5" w:rsidP="004E5856">
      <w:pPr>
        <w:shd w:val="clear" w:color="auto" w:fill="FFFFFF"/>
        <w:ind w:left="12" w:right="1108"/>
        <w:rPr>
          <w:rFonts w:ascii="Lucida Bright" w:eastAsia="Lucida Bright" w:hAnsi="Lucida Bright" w:cs="Lucida Bright"/>
          <w:color w:val="000000"/>
          <w:sz w:val="15"/>
        </w:rPr>
      </w:pPr>
    </w:p>
    <w:p w:rsidR="001C4AD5" w:rsidRDefault="001C4AD5" w:rsidP="004E5856">
      <w:pPr>
        <w:shd w:val="clear" w:color="auto" w:fill="FFFFFF"/>
        <w:ind w:left="12" w:right="1108"/>
        <w:rPr>
          <w:rFonts w:ascii="Lucida Bright" w:eastAsia="Lucida Bright" w:hAnsi="Lucida Bright" w:cs="Lucida Bright"/>
          <w:color w:val="000000"/>
          <w:sz w:val="15"/>
        </w:rPr>
      </w:pPr>
    </w:p>
    <w:p w:rsidR="001C4AD5" w:rsidRDefault="001C4AD5" w:rsidP="004E5856">
      <w:pPr>
        <w:shd w:val="clear" w:color="auto" w:fill="FFFFFF"/>
        <w:ind w:left="12" w:right="1108"/>
        <w:rPr>
          <w:rFonts w:ascii="Lucida Bright" w:eastAsia="Lucida Bright" w:hAnsi="Lucida Bright" w:cs="Lucida Bright"/>
          <w:color w:val="000000"/>
          <w:sz w:val="15"/>
        </w:rPr>
      </w:pPr>
    </w:p>
    <w:p w:rsidR="001C4AD5" w:rsidRDefault="001C4AD5" w:rsidP="004E5856">
      <w:pPr>
        <w:shd w:val="clear" w:color="auto" w:fill="FFFFFF"/>
        <w:ind w:left="12" w:right="1108"/>
        <w:rPr>
          <w:rFonts w:ascii="Lucida Bright" w:eastAsia="Lucida Bright" w:hAnsi="Lucida Bright" w:cs="Lucida Bright"/>
          <w:color w:val="000000"/>
          <w:sz w:val="15"/>
        </w:rPr>
      </w:pPr>
    </w:p>
    <w:tbl>
      <w:tblPr>
        <w:tblW w:w="13608" w:type="dxa"/>
        <w:tblInd w:w="70" w:type="dxa"/>
        <w:tblCellMar>
          <w:left w:w="70" w:type="dxa"/>
          <w:right w:w="70" w:type="dxa"/>
        </w:tblCellMar>
        <w:tblLook w:val="04A0" w:firstRow="1" w:lastRow="0" w:firstColumn="1" w:lastColumn="0" w:noHBand="0" w:noVBand="1"/>
      </w:tblPr>
      <w:tblGrid>
        <w:gridCol w:w="3239"/>
        <w:gridCol w:w="184"/>
        <w:gridCol w:w="1243"/>
        <w:gridCol w:w="1159"/>
        <w:gridCol w:w="1096"/>
        <w:gridCol w:w="1096"/>
        <w:gridCol w:w="1096"/>
        <w:gridCol w:w="1096"/>
        <w:gridCol w:w="1146"/>
        <w:gridCol w:w="1216"/>
        <w:gridCol w:w="1216"/>
      </w:tblGrid>
      <w:tr w:rsidR="000B4249" w:rsidRPr="000B4249" w:rsidTr="000B4249">
        <w:trPr>
          <w:trHeight w:val="300"/>
        </w:trPr>
        <w:tc>
          <w:tcPr>
            <w:tcW w:w="5696" w:type="dxa"/>
            <w:gridSpan w:val="4"/>
            <w:tcBorders>
              <w:top w:val="nil"/>
              <w:left w:val="nil"/>
              <w:bottom w:val="single" w:sz="4" w:space="0" w:color="auto"/>
              <w:right w:val="nil"/>
            </w:tcBorders>
            <w:shd w:val="clear" w:color="000000" w:fill="FFFFFF"/>
            <w:noWrap/>
            <w:vAlign w:val="center"/>
            <w:hideMark/>
          </w:tcPr>
          <w:p w:rsidR="000B4249" w:rsidRPr="000B4249" w:rsidRDefault="000B4249" w:rsidP="000B4249">
            <w:pPr>
              <w:rPr>
                <w:rFonts w:ascii="Lucida Bright" w:hAnsi="Lucida Bright" w:cs="Calibri"/>
                <w:b/>
                <w:bCs/>
                <w:sz w:val="18"/>
                <w:szCs w:val="18"/>
                <w:lang w:val="es-ES"/>
              </w:rPr>
            </w:pPr>
            <w:r w:rsidRPr="000B4249">
              <w:rPr>
                <w:rFonts w:ascii="Lucida Bright" w:hAnsi="Lucida Bright" w:cs="Calibri"/>
                <w:b/>
                <w:bCs/>
                <w:sz w:val="18"/>
                <w:szCs w:val="18"/>
                <w:lang w:val="es-ES"/>
              </w:rPr>
              <w:t>CUADRO: ALTAS DE INMOVILIZADO MATERIAL 2023</w:t>
            </w:r>
          </w:p>
        </w:tc>
        <w:tc>
          <w:tcPr>
            <w:tcW w:w="1096" w:type="dxa"/>
            <w:tcBorders>
              <w:top w:val="nil"/>
              <w:left w:val="nil"/>
              <w:bottom w:val="nil"/>
              <w:right w:val="nil"/>
            </w:tcBorders>
            <w:shd w:val="clear" w:color="000000" w:fill="FFFFFF"/>
            <w:noWrap/>
            <w:vAlign w:val="center"/>
            <w:hideMark/>
          </w:tcPr>
          <w:p w:rsidR="000B4249" w:rsidRPr="000B4249" w:rsidRDefault="000B4249" w:rsidP="000B4249">
            <w:pPr>
              <w:rPr>
                <w:rFonts w:ascii="Arial" w:hAnsi="Arial" w:cs="Arial"/>
                <w:lang w:val="es-ES"/>
              </w:rPr>
            </w:pPr>
            <w:r w:rsidRPr="000B4249">
              <w:rPr>
                <w:rFonts w:ascii="Arial" w:hAnsi="Arial" w:cs="Arial"/>
                <w:lang w:val="es-ES"/>
              </w:rPr>
              <w:t> </w:t>
            </w:r>
          </w:p>
        </w:tc>
        <w:tc>
          <w:tcPr>
            <w:tcW w:w="1096" w:type="dxa"/>
            <w:tcBorders>
              <w:top w:val="nil"/>
              <w:left w:val="nil"/>
              <w:bottom w:val="nil"/>
              <w:right w:val="nil"/>
            </w:tcBorders>
            <w:shd w:val="clear" w:color="000000" w:fill="FFFFFF"/>
            <w:noWrap/>
            <w:vAlign w:val="center"/>
            <w:hideMark/>
          </w:tcPr>
          <w:p w:rsidR="000B4249" w:rsidRPr="000B4249" w:rsidRDefault="000B4249" w:rsidP="000B4249">
            <w:pPr>
              <w:rPr>
                <w:rFonts w:ascii="Arial" w:hAnsi="Arial" w:cs="Arial"/>
                <w:lang w:val="es-ES"/>
              </w:rPr>
            </w:pPr>
            <w:r w:rsidRPr="000B4249">
              <w:rPr>
                <w:rFonts w:ascii="Arial" w:hAnsi="Arial" w:cs="Arial"/>
                <w:lang w:val="es-ES"/>
              </w:rPr>
              <w:t> </w:t>
            </w:r>
          </w:p>
        </w:tc>
        <w:tc>
          <w:tcPr>
            <w:tcW w:w="1096" w:type="dxa"/>
            <w:tcBorders>
              <w:top w:val="nil"/>
              <w:left w:val="nil"/>
              <w:bottom w:val="nil"/>
              <w:right w:val="nil"/>
            </w:tcBorders>
            <w:shd w:val="clear" w:color="000000" w:fill="FFFFFF"/>
            <w:noWrap/>
            <w:vAlign w:val="center"/>
            <w:hideMark/>
          </w:tcPr>
          <w:p w:rsidR="000B4249" w:rsidRPr="000B4249" w:rsidRDefault="000B4249" w:rsidP="000B4249">
            <w:pPr>
              <w:rPr>
                <w:rFonts w:ascii="Arial" w:hAnsi="Arial" w:cs="Arial"/>
                <w:lang w:val="es-ES"/>
              </w:rPr>
            </w:pPr>
            <w:r w:rsidRPr="000B4249">
              <w:rPr>
                <w:rFonts w:ascii="Arial" w:hAnsi="Arial" w:cs="Arial"/>
                <w:lang w:val="es-ES"/>
              </w:rPr>
              <w:t> </w:t>
            </w:r>
          </w:p>
        </w:tc>
        <w:tc>
          <w:tcPr>
            <w:tcW w:w="1096" w:type="dxa"/>
            <w:tcBorders>
              <w:top w:val="nil"/>
              <w:left w:val="nil"/>
              <w:bottom w:val="nil"/>
              <w:right w:val="nil"/>
            </w:tcBorders>
            <w:shd w:val="clear" w:color="000000" w:fill="FFFFFF"/>
            <w:noWrap/>
            <w:vAlign w:val="center"/>
            <w:hideMark/>
          </w:tcPr>
          <w:p w:rsidR="000B4249" w:rsidRPr="000B4249" w:rsidRDefault="000B4249" w:rsidP="000B4249">
            <w:pPr>
              <w:rPr>
                <w:rFonts w:ascii="Arial" w:hAnsi="Arial" w:cs="Arial"/>
                <w:lang w:val="es-ES"/>
              </w:rPr>
            </w:pPr>
            <w:r w:rsidRPr="000B4249">
              <w:rPr>
                <w:rFonts w:ascii="Arial" w:hAnsi="Arial" w:cs="Arial"/>
                <w:lang w:val="es-ES"/>
              </w:rPr>
              <w:t> </w:t>
            </w:r>
          </w:p>
        </w:tc>
        <w:tc>
          <w:tcPr>
            <w:tcW w:w="1096" w:type="dxa"/>
            <w:tcBorders>
              <w:top w:val="nil"/>
              <w:left w:val="nil"/>
              <w:bottom w:val="nil"/>
              <w:right w:val="nil"/>
            </w:tcBorders>
            <w:shd w:val="clear" w:color="000000" w:fill="FFFFFF"/>
            <w:noWrap/>
            <w:vAlign w:val="center"/>
            <w:hideMark/>
          </w:tcPr>
          <w:p w:rsidR="000B4249" w:rsidRPr="000B4249" w:rsidRDefault="000B4249" w:rsidP="000B4249">
            <w:pPr>
              <w:rPr>
                <w:rFonts w:ascii="Arial" w:hAnsi="Arial" w:cs="Arial"/>
                <w:lang w:val="es-ES"/>
              </w:rPr>
            </w:pPr>
            <w:r w:rsidRPr="000B4249">
              <w:rPr>
                <w:rFonts w:ascii="Arial" w:hAnsi="Arial" w:cs="Arial"/>
                <w:lang w:val="es-ES"/>
              </w:rPr>
              <w:t> </w:t>
            </w:r>
          </w:p>
        </w:tc>
        <w:tc>
          <w:tcPr>
            <w:tcW w:w="1216" w:type="dxa"/>
            <w:tcBorders>
              <w:top w:val="nil"/>
              <w:left w:val="nil"/>
              <w:bottom w:val="nil"/>
              <w:right w:val="nil"/>
            </w:tcBorders>
            <w:shd w:val="clear" w:color="000000" w:fill="FFFFFF"/>
            <w:noWrap/>
            <w:vAlign w:val="center"/>
            <w:hideMark/>
          </w:tcPr>
          <w:p w:rsidR="000B4249" w:rsidRPr="000B4249" w:rsidRDefault="000B4249" w:rsidP="000B4249">
            <w:pPr>
              <w:rPr>
                <w:rFonts w:ascii="Arial" w:hAnsi="Arial" w:cs="Arial"/>
                <w:lang w:val="es-ES"/>
              </w:rPr>
            </w:pPr>
            <w:r w:rsidRPr="000B4249">
              <w:rPr>
                <w:rFonts w:ascii="Arial" w:hAnsi="Arial" w:cs="Arial"/>
                <w:lang w:val="es-ES"/>
              </w:rPr>
              <w:t> </w:t>
            </w:r>
          </w:p>
        </w:tc>
        <w:tc>
          <w:tcPr>
            <w:tcW w:w="1216" w:type="dxa"/>
            <w:tcBorders>
              <w:top w:val="nil"/>
              <w:left w:val="nil"/>
              <w:bottom w:val="nil"/>
              <w:right w:val="nil"/>
            </w:tcBorders>
            <w:shd w:val="clear" w:color="000000" w:fill="FFFFFF"/>
            <w:noWrap/>
            <w:vAlign w:val="bottom"/>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(en euros)</w:t>
            </w:r>
          </w:p>
        </w:tc>
      </w:tr>
      <w:tr w:rsidR="000B4249" w:rsidRPr="000B4249" w:rsidTr="000B4249">
        <w:trPr>
          <w:trHeight w:val="915"/>
        </w:trPr>
        <w:tc>
          <w:tcPr>
            <w:tcW w:w="3294" w:type="dxa"/>
            <w:gridSpan w:val="2"/>
            <w:tcBorders>
              <w:top w:val="single" w:sz="4" w:space="0" w:color="auto"/>
              <w:left w:val="single" w:sz="4" w:space="0" w:color="auto"/>
              <w:bottom w:val="single" w:sz="4" w:space="0" w:color="auto"/>
              <w:right w:val="single" w:sz="4" w:space="0" w:color="000000"/>
            </w:tcBorders>
            <w:shd w:val="clear" w:color="000000" w:fill="CCFFCC"/>
            <w:vAlign w:val="center"/>
            <w:hideMark/>
          </w:tcPr>
          <w:p w:rsidR="000B4249" w:rsidRPr="000B4249" w:rsidRDefault="000B4249" w:rsidP="000B4249">
            <w:pPr>
              <w:jc w:val="center"/>
              <w:rPr>
                <w:rFonts w:ascii="Lucida Bright" w:hAnsi="Lucida Bright" w:cs="Calibri"/>
                <w:b/>
                <w:bCs/>
                <w:sz w:val="14"/>
                <w:szCs w:val="14"/>
                <w:lang w:val="es-ES"/>
              </w:rPr>
            </w:pPr>
            <w:r w:rsidRPr="000B4249">
              <w:rPr>
                <w:rFonts w:ascii="Lucida Bright" w:hAnsi="Lucida Bright" w:cs="Calibri"/>
                <w:b/>
                <w:bCs/>
                <w:sz w:val="14"/>
                <w:szCs w:val="14"/>
                <w:lang w:val="es-ES"/>
              </w:rPr>
              <w:t>CONCEPTO</w:t>
            </w:r>
          </w:p>
        </w:tc>
        <w:tc>
          <w:tcPr>
            <w:tcW w:w="1243" w:type="dxa"/>
            <w:tcBorders>
              <w:top w:val="nil"/>
              <w:left w:val="nil"/>
              <w:bottom w:val="single" w:sz="4" w:space="0" w:color="auto"/>
              <w:right w:val="single" w:sz="4" w:space="0" w:color="auto"/>
            </w:tcBorders>
            <w:shd w:val="clear" w:color="000000" w:fill="CCFFCC"/>
            <w:vAlign w:val="center"/>
            <w:hideMark/>
          </w:tcPr>
          <w:p w:rsidR="000B4249" w:rsidRPr="000B4249" w:rsidRDefault="000B4249" w:rsidP="000B4249">
            <w:pPr>
              <w:jc w:val="center"/>
              <w:rPr>
                <w:rFonts w:ascii="Lucida Bright" w:hAnsi="Lucida Bright" w:cs="Calibri"/>
                <w:sz w:val="14"/>
                <w:szCs w:val="14"/>
                <w:lang w:val="es-ES"/>
              </w:rPr>
            </w:pPr>
            <w:r w:rsidRPr="000B4249">
              <w:rPr>
                <w:rFonts w:ascii="Lucida Bright" w:hAnsi="Lucida Bright" w:cs="Calibri"/>
                <w:sz w:val="14"/>
                <w:szCs w:val="14"/>
                <w:lang w:val="es-ES"/>
              </w:rPr>
              <w:t>Adquisiciones</w:t>
            </w:r>
            <w:r w:rsidRPr="000B4249">
              <w:rPr>
                <w:rFonts w:ascii="Lucida Bright" w:hAnsi="Lucida Bright" w:cs="Calibri"/>
                <w:sz w:val="14"/>
                <w:szCs w:val="14"/>
                <w:lang w:val="es-ES"/>
              </w:rPr>
              <w:br/>
              <w:t>a proveedores</w:t>
            </w:r>
            <w:r w:rsidRPr="000B4249">
              <w:rPr>
                <w:rFonts w:ascii="Lucida Bright" w:hAnsi="Lucida Bright" w:cs="Calibri"/>
                <w:sz w:val="14"/>
                <w:szCs w:val="14"/>
                <w:lang w:val="es-ES"/>
              </w:rPr>
              <w:br/>
              <w:t>externos</w:t>
            </w:r>
          </w:p>
        </w:tc>
        <w:tc>
          <w:tcPr>
            <w:tcW w:w="1159" w:type="dxa"/>
            <w:tcBorders>
              <w:top w:val="nil"/>
              <w:left w:val="nil"/>
              <w:bottom w:val="single" w:sz="4" w:space="0" w:color="auto"/>
              <w:right w:val="single" w:sz="4" w:space="0" w:color="auto"/>
            </w:tcBorders>
            <w:shd w:val="clear" w:color="000000" w:fill="CCFFCC"/>
            <w:vAlign w:val="center"/>
            <w:hideMark/>
          </w:tcPr>
          <w:p w:rsidR="000B4249" w:rsidRPr="000B4249" w:rsidRDefault="000B4249" w:rsidP="000B4249">
            <w:pPr>
              <w:jc w:val="center"/>
              <w:rPr>
                <w:rFonts w:ascii="Lucida Bright" w:hAnsi="Lucida Bright" w:cs="Calibri"/>
                <w:sz w:val="14"/>
                <w:szCs w:val="14"/>
                <w:lang w:val="es-ES"/>
              </w:rPr>
            </w:pPr>
            <w:r w:rsidRPr="000B4249">
              <w:rPr>
                <w:rFonts w:ascii="Lucida Bright" w:hAnsi="Lucida Bright" w:cs="Calibri"/>
                <w:sz w:val="14"/>
                <w:szCs w:val="14"/>
                <w:lang w:val="es-ES"/>
              </w:rPr>
              <w:t>Adquisiciones</w:t>
            </w:r>
            <w:r w:rsidRPr="000B4249">
              <w:rPr>
                <w:rFonts w:ascii="Lucida Bright" w:hAnsi="Lucida Bright" w:cs="Calibri"/>
                <w:sz w:val="14"/>
                <w:szCs w:val="14"/>
                <w:lang w:val="es-ES"/>
              </w:rPr>
              <w:br/>
              <w:t>a otras AA.PP. y</w:t>
            </w:r>
            <w:r w:rsidRPr="000B4249">
              <w:rPr>
                <w:rFonts w:ascii="Lucida Bright" w:hAnsi="Lucida Bright" w:cs="Calibri"/>
                <w:sz w:val="14"/>
                <w:szCs w:val="14"/>
                <w:lang w:val="es-ES"/>
              </w:rPr>
              <w:br/>
              <w:t>Puertos del Estado</w:t>
            </w:r>
          </w:p>
        </w:tc>
        <w:tc>
          <w:tcPr>
            <w:tcW w:w="1096" w:type="dxa"/>
            <w:tcBorders>
              <w:top w:val="single" w:sz="4" w:space="0" w:color="auto"/>
              <w:left w:val="nil"/>
              <w:bottom w:val="single" w:sz="4" w:space="0" w:color="auto"/>
              <w:right w:val="single" w:sz="4" w:space="0" w:color="auto"/>
            </w:tcBorders>
            <w:shd w:val="clear" w:color="000000" w:fill="CCFFCC"/>
            <w:vAlign w:val="center"/>
            <w:hideMark/>
          </w:tcPr>
          <w:p w:rsidR="000B4249" w:rsidRPr="000B4249" w:rsidRDefault="000B4249" w:rsidP="000B4249">
            <w:pPr>
              <w:jc w:val="center"/>
              <w:rPr>
                <w:rFonts w:ascii="Lucida Bright" w:hAnsi="Lucida Bright" w:cs="Calibri"/>
                <w:sz w:val="14"/>
                <w:szCs w:val="14"/>
                <w:lang w:val="es-ES"/>
              </w:rPr>
            </w:pPr>
            <w:r w:rsidRPr="000B4249">
              <w:rPr>
                <w:rFonts w:ascii="Lucida Bright" w:hAnsi="Lucida Bright" w:cs="Calibri"/>
                <w:sz w:val="14"/>
                <w:szCs w:val="14"/>
                <w:lang w:val="es-ES"/>
              </w:rPr>
              <w:t>Incorporación al activo de gastos financieros</w:t>
            </w:r>
          </w:p>
        </w:tc>
        <w:tc>
          <w:tcPr>
            <w:tcW w:w="1096" w:type="dxa"/>
            <w:tcBorders>
              <w:top w:val="single" w:sz="4" w:space="0" w:color="auto"/>
              <w:left w:val="nil"/>
              <w:bottom w:val="single" w:sz="4" w:space="0" w:color="auto"/>
              <w:right w:val="single" w:sz="4" w:space="0" w:color="auto"/>
            </w:tcBorders>
            <w:shd w:val="clear" w:color="000000" w:fill="CCFFCC"/>
            <w:vAlign w:val="center"/>
            <w:hideMark/>
          </w:tcPr>
          <w:p w:rsidR="000B4249" w:rsidRPr="000B4249" w:rsidRDefault="000B4249" w:rsidP="000B4249">
            <w:pPr>
              <w:jc w:val="center"/>
              <w:rPr>
                <w:rFonts w:ascii="Lucida Bright" w:hAnsi="Lucida Bright" w:cs="Calibri"/>
                <w:sz w:val="14"/>
                <w:szCs w:val="14"/>
                <w:lang w:val="es-ES"/>
              </w:rPr>
            </w:pPr>
            <w:r w:rsidRPr="000B4249">
              <w:rPr>
                <w:rFonts w:ascii="Lucida Bright" w:hAnsi="Lucida Bright" w:cs="Calibri"/>
                <w:sz w:val="14"/>
                <w:szCs w:val="14"/>
                <w:lang w:val="es-ES"/>
              </w:rPr>
              <w:t>Activos</w:t>
            </w:r>
            <w:r w:rsidRPr="000B4249">
              <w:rPr>
                <w:rFonts w:ascii="Lucida Bright" w:hAnsi="Lucida Bright" w:cs="Calibri"/>
                <w:sz w:val="14"/>
                <w:szCs w:val="14"/>
                <w:lang w:val="es-ES"/>
              </w:rPr>
              <w:br/>
              <w:t>subsumidos</w:t>
            </w:r>
            <w:r w:rsidRPr="000B4249">
              <w:rPr>
                <w:rFonts w:ascii="Lucida Bright" w:hAnsi="Lucida Bright" w:cs="Calibri"/>
                <w:sz w:val="14"/>
                <w:szCs w:val="14"/>
                <w:lang w:val="es-ES"/>
              </w:rPr>
              <w:br/>
              <w:t>en otros</w:t>
            </w:r>
          </w:p>
        </w:tc>
        <w:tc>
          <w:tcPr>
            <w:tcW w:w="1096" w:type="dxa"/>
            <w:tcBorders>
              <w:top w:val="single" w:sz="4" w:space="0" w:color="auto"/>
              <w:left w:val="nil"/>
              <w:bottom w:val="nil"/>
              <w:right w:val="single" w:sz="4" w:space="0" w:color="auto"/>
            </w:tcBorders>
            <w:shd w:val="clear" w:color="000000" w:fill="CCFFCC"/>
            <w:vAlign w:val="center"/>
            <w:hideMark/>
          </w:tcPr>
          <w:p w:rsidR="000B4249" w:rsidRPr="000B4249" w:rsidRDefault="000B4249" w:rsidP="000B4249">
            <w:pPr>
              <w:jc w:val="center"/>
              <w:rPr>
                <w:rFonts w:ascii="Lucida Bright" w:hAnsi="Lucida Bright" w:cs="Calibri"/>
                <w:sz w:val="14"/>
                <w:szCs w:val="14"/>
                <w:lang w:val="es-ES"/>
              </w:rPr>
            </w:pPr>
            <w:r w:rsidRPr="000B4249">
              <w:rPr>
                <w:rFonts w:ascii="Lucida Bright" w:hAnsi="Lucida Bright" w:cs="Calibri"/>
                <w:sz w:val="14"/>
                <w:szCs w:val="14"/>
                <w:lang w:val="es-ES"/>
              </w:rPr>
              <w:t>Concesiones</w:t>
            </w:r>
            <w:r w:rsidRPr="000B4249">
              <w:rPr>
                <w:rFonts w:ascii="Lucida Bright" w:hAnsi="Lucida Bright" w:cs="Calibri"/>
                <w:sz w:val="14"/>
                <w:szCs w:val="14"/>
                <w:lang w:val="es-ES"/>
              </w:rPr>
              <w:br/>
              <w:t>revertidas, donaciones y legados</w:t>
            </w:r>
          </w:p>
        </w:tc>
        <w:tc>
          <w:tcPr>
            <w:tcW w:w="1096" w:type="dxa"/>
            <w:tcBorders>
              <w:top w:val="single" w:sz="4" w:space="0" w:color="auto"/>
              <w:left w:val="nil"/>
              <w:bottom w:val="nil"/>
              <w:right w:val="single" w:sz="4" w:space="0" w:color="auto"/>
            </w:tcBorders>
            <w:shd w:val="clear" w:color="000000" w:fill="CCFFCC"/>
            <w:vAlign w:val="center"/>
            <w:hideMark/>
          </w:tcPr>
          <w:p w:rsidR="000B4249" w:rsidRPr="000B4249" w:rsidRDefault="000B4249" w:rsidP="000B4249">
            <w:pPr>
              <w:jc w:val="center"/>
              <w:rPr>
                <w:rFonts w:ascii="Lucida Bright" w:hAnsi="Lucida Bright" w:cs="Calibri"/>
                <w:sz w:val="14"/>
                <w:szCs w:val="14"/>
                <w:lang w:val="es-ES"/>
              </w:rPr>
            </w:pPr>
            <w:r w:rsidRPr="000B4249">
              <w:rPr>
                <w:rFonts w:ascii="Lucida Bright" w:hAnsi="Lucida Bright" w:cs="Calibri"/>
                <w:sz w:val="14"/>
                <w:szCs w:val="14"/>
                <w:lang w:val="es-ES"/>
              </w:rPr>
              <w:t>Rescate</w:t>
            </w:r>
            <w:r w:rsidRPr="000B4249">
              <w:rPr>
                <w:rFonts w:ascii="Lucida Bright" w:hAnsi="Lucida Bright" w:cs="Calibri"/>
                <w:sz w:val="14"/>
                <w:szCs w:val="14"/>
                <w:lang w:val="es-ES"/>
              </w:rPr>
              <w:br/>
              <w:t>anticipado</w:t>
            </w:r>
            <w:r>
              <w:rPr>
                <w:rFonts w:ascii="Lucida Bright" w:hAnsi="Lucida Bright" w:cs="Calibri"/>
                <w:sz w:val="14"/>
                <w:szCs w:val="14"/>
                <w:lang w:val="es-ES"/>
              </w:rPr>
              <w:t xml:space="preserve"> </w:t>
            </w:r>
            <w:r w:rsidRPr="000B4249">
              <w:rPr>
                <w:rFonts w:ascii="Lucida Bright" w:hAnsi="Lucida Bright" w:cs="Calibri"/>
                <w:sz w:val="14"/>
                <w:szCs w:val="14"/>
                <w:lang w:val="es-ES"/>
              </w:rPr>
              <w:t>de</w:t>
            </w:r>
            <w:r w:rsidRPr="000B4249">
              <w:rPr>
                <w:rFonts w:ascii="Lucida Bright" w:hAnsi="Lucida Bright" w:cs="Calibri"/>
                <w:sz w:val="14"/>
                <w:szCs w:val="14"/>
                <w:lang w:val="es-ES"/>
              </w:rPr>
              <w:br/>
              <w:t>concesiones</w:t>
            </w:r>
          </w:p>
        </w:tc>
        <w:tc>
          <w:tcPr>
            <w:tcW w:w="1096" w:type="dxa"/>
            <w:tcBorders>
              <w:top w:val="single" w:sz="4" w:space="0" w:color="auto"/>
              <w:left w:val="nil"/>
              <w:bottom w:val="single" w:sz="4" w:space="0" w:color="auto"/>
              <w:right w:val="single" w:sz="4" w:space="0" w:color="auto"/>
            </w:tcBorders>
            <w:shd w:val="clear" w:color="000000" w:fill="CCFFCC"/>
            <w:vAlign w:val="center"/>
            <w:hideMark/>
          </w:tcPr>
          <w:p w:rsidR="000B4249" w:rsidRPr="000B4249" w:rsidRDefault="000B4249" w:rsidP="000B4249">
            <w:pPr>
              <w:jc w:val="center"/>
              <w:rPr>
                <w:rFonts w:ascii="Lucida Bright" w:hAnsi="Lucida Bright" w:cs="Calibri"/>
                <w:sz w:val="14"/>
                <w:szCs w:val="14"/>
                <w:lang w:val="es-ES"/>
              </w:rPr>
            </w:pPr>
            <w:r w:rsidRPr="000B4249">
              <w:rPr>
                <w:rFonts w:ascii="Lucida Bright" w:hAnsi="Lucida Bright" w:cs="Calibri"/>
                <w:sz w:val="14"/>
                <w:szCs w:val="14"/>
                <w:lang w:val="es-ES"/>
              </w:rPr>
              <w:t>Transferencias</w:t>
            </w:r>
            <w:r w:rsidRPr="000B4249">
              <w:rPr>
                <w:rFonts w:ascii="Lucida Bright" w:hAnsi="Lucida Bright" w:cs="Calibri"/>
                <w:sz w:val="14"/>
                <w:szCs w:val="14"/>
                <w:lang w:val="es-ES"/>
              </w:rPr>
              <w:br/>
              <w:t>desde otros</w:t>
            </w:r>
            <w:r w:rsidRPr="000B4249">
              <w:rPr>
                <w:rFonts w:ascii="Lucida Bright" w:hAnsi="Lucida Bright" w:cs="Calibri"/>
                <w:sz w:val="14"/>
                <w:szCs w:val="14"/>
                <w:lang w:val="es-ES"/>
              </w:rPr>
              <w:br/>
            </w:r>
            <w:proofErr w:type="spellStart"/>
            <w:r w:rsidRPr="000B4249">
              <w:rPr>
                <w:rFonts w:ascii="Lucida Bright" w:hAnsi="Lucida Bright" w:cs="Calibri"/>
                <w:sz w:val="14"/>
                <w:szCs w:val="14"/>
                <w:lang w:val="es-ES"/>
              </w:rPr>
              <w:t>org</w:t>
            </w:r>
            <w:proofErr w:type="spellEnd"/>
            <w:r w:rsidRPr="000B4249">
              <w:rPr>
                <w:rFonts w:ascii="Lucida Bright" w:hAnsi="Lucida Bright" w:cs="Calibri"/>
                <w:sz w:val="14"/>
                <w:szCs w:val="14"/>
                <w:lang w:val="es-ES"/>
              </w:rPr>
              <w:t>. públicos y otras altas</w:t>
            </w:r>
          </w:p>
        </w:tc>
        <w:tc>
          <w:tcPr>
            <w:tcW w:w="1216" w:type="dxa"/>
            <w:tcBorders>
              <w:top w:val="single" w:sz="4" w:space="0" w:color="auto"/>
              <w:left w:val="nil"/>
              <w:bottom w:val="single" w:sz="4" w:space="0" w:color="auto"/>
              <w:right w:val="single" w:sz="4" w:space="0" w:color="auto"/>
            </w:tcBorders>
            <w:shd w:val="clear" w:color="000000" w:fill="CCFFCC"/>
            <w:vAlign w:val="center"/>
            <w:hideMark/>
          </w:tcPr>
          <w:p w:rsidR="000B4249" w:rsidRPr="000B4249" w:rsidRDefault="000B4249" w:rsidP="000B4249">
            <w:pPr>
              <w:jc w:val="center"/>
              <w:rPr>
                <w:rFonts w:ascii="Lucida Bright" w:hAnsi="Lucida Bright" w:cs="Calibri"/>
                <w:sz w:val="14"/>
                <w:szCs w:val="14"/>
                <w:lang w:val="es-ES"/>
              </w:rPr>
            </w:pPr>
            <w:r w:rsidRPr="000B4249">
              <w:rPr>
                <w:rFonts w:ascii="Lucida Bright" w:hAnsi="Lucida Bright" w:cs="Calibri"/>
                <w:sz w:val="14"/>
                <w:szCs w:val="14"/>
                <w:lang w:val="es-ES"/>
              </w:rPr>
              <w:t>Traspasos de inmovilizado</w:t>
            </w:r>
            <w:r w:rsidRPr="000B4249">
              <w:rPr>
                <w:rFonts w:ascii="Lucida Bright" w:hAnsi="Lucida Bright" w:cs="Calibri"/>
                <w:sz w:val="14"/>
                <w:szCs w:val="14"/>
                <w:lang w:val="es-ES"/>
              </w:rPr>
              <w:br/>
              <w:t>en curso</w:t>
            </w:r>
          </w:p>
        </w:tc>
        <w:tc>
          <w:tcPr>
            <w:tcW w:w="1216" w:type="dxa"/>
            <w:tcBorders>
              <w:top w:val="single" w:sz="4" w:space="0" w:color="auto"/>
              <w:left w:val="nil"/>
              <w:bottom w:val="single" w:sz="4" w:space="0" w:color="auto"/>
              <w:right w:val="single" w:sz="4" w:space="0" w:color="auto"/>
            </w:tcBorders>
            <w:shd w:val="clear" w:color="000000" w:fill="CCFFCC"/>
            <w:vAlign w:val="center"/>
            <w:hideMark/>
          </w:tcPr>
          <w:p w:rsidR="000B4249" w:rsidRPr="000B4249" w:rsidRDefault="000B4249" w:rsidP="000B4249">
            <w:pPr>
              <w:jc w:val="center"/>
              <w:rPr>
                <w:rFonts w:ascii="Lucida Bright" w:hAnsi="Lucida Bright" w:cs="Calibri"/>
                <w:sz w:val="14"/>
                <w:szCs w:val="14"/>
                <w:lang w:val="es-ES"/>
              </w:rPr>
            </w:pPr>
            <w:r w:rsidRPr="000B4249">
              <w:rPr>
                <w:rFonts w:ascii="Lucida Bright" w:hAnsi="Lucida Bright" w:cs="Calibri"/>
                <w:sz w:val="14"/>
                <w:szCs w:val="14"/>
                <w:lang w:val="es-ES"/>
              </w:rPr>
              <w:t>Total altas</w:t>
            </w:r>
            <w:r w:rsidRPr="000B4249">
              <w:rPr>
                <w:rFonts w:ascii="Lucida Bright" w:hAnsi="Lucida Bright" w:cs="Calibri"/>
                <w:sz w:val="14"/>
                <w:szCs w:val="14"/>
                <w:lang w:val="es-ES"/>
              </w:rPr>
              <w:br/>
              <w:t>del ejercicio</w:t>
            </w:r>
            <w:r w:rsidRPr="000B4249">
              <w:rPr>
                <w:rFonts w:ascii="Lucida Bright" w:hAnsi="Lucida Bright" w:cs="Calibri"/>
                <w:sz w:val="14"/>
                <w:szCs w:val="14"/>
                <w:lang w:val="es-ES"/>
              </w:rPr>
              <w:br/>
              <w:t>2023</w:t>
            </w:r>
          </w:p>
        </w:tc>
      </w:tr>
      <w:tr w:rsidR="000B4249" w:rsidRPr="000B4249" w:rsidTr="000B4249">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a) Terrenos y bienes naturales</w:t>
            </w:r>
          </w:p>
        </w:tc>
        <w:tc>
          <w:tcPr>
            <w:tcW w:w="1243"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b/>
                <w:bCs/>
                <w:sz w:val="14"/>
                <w:szCs w:val="14"/>
                <w:lang w:val="es-ES"/>
              </w:rPr>
            </w:pPr>
            <w:r w:rsidRPr="000B4249">
              <w:rPr>
                <w:rFonts w:ascii="Lucida Bright" w:hAnsi="Lucida Bright" w:cs="Calibri"/>
                <w:b/>
                <w:bCs/>
                <w:sz w:val="14"/>
                <w:szCs w:val="14"/>
                <w:lang w:val="es-ES"/>
              </w:rPr>
              <w:t xml:space="preserve">803.085,70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b/>
                <w:bCs/>
                <w:sz w:val="14"/>
                <w:szCs w:val="14"/>
                <w:lang w:val="es-ES"/>
              </w:rPr>
            </w:pPr>
            <w:r w:rsidRPr="000B4249">
              <w:rPr>
                <w:rFonts w:ascii="Lucida Bright" w:hAnsi="Lucida Bright" w:cs="Calibri"/>
                <w:b/>
                <w:bCs/>
                <w:sz w:val="14"/>
                <w:szCs w:val="14"/>
                <w:lang w:val="es-ES"/>
              </w:rPr>
              <w:t xml:space="preserve">803.085,70 </w:t>
            </w:r>
          </w:p>
        </w:tc>
      </w:tr>
      <w:tr w:rsidR="000B4249" w:rsidRPr="000B4249" w:rsidTr="000B4249">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b) Construcciones</w:t>
            </w:r>
          </w:p>
        </w:tc>
        <w:tc>
          <w:tcPr>
            <w:tcW w:w="1243"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159"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b/>
                <w:bCs/>
                <w:sz w:val="14"/>
                <w:szCs w:val="14"/>
                <w:lang w:val="es-ES"/>
              </w:rPr>
            </w:pPr>
            <w:r w:rsidRPr="000B4249">
              <w:rPr>
                <w:rFonts w:ascii="Lucida Bright" w:hAnsi="Lucida Bright" w:cs="Calibri"/>
                <w:b/>
                <w:bCs/>
                <w:sz w:val="14"/>
                <w:szCs w:val="14"/>
                <w:lang w:val="es-ES"/>
              </w:rPr>
              <w:t xml:space="preserve">26.089.917,47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b/>
                <w:bCs/>
                <w:sz w:val="14"/>
                <w:szCs w:val="14"/>
                <w:lang w:val="es-ES"/>
              </w:rPr>
            </w:pPr>
            <w:r w:rsidRPr="000B4249">
              <w:rPr>
                <w:rFonts w:ascii="Lucida Bright" w:hAnsi="Lucida Bright" w:cs="Calibri"/>
                <w:b/>
                <w:bCs/>
                <w:sz w:val="14"/>
                <w:szCs w:val="14"/>
                <w:lang w:val="es-ES"/>
              </w:rPr>
              <w:t xml:space="preserve">26.089.917,47 </w:t>
            </w:r>
          </w:p>
        </w:tc>
      </w:tr>
      <w:tr w:rsidR="000B4249" w:rsidRPr="000B4249" w:rsidTr="000B4249">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Accesos marítimos</w:t>
            </w:r>
          </w:p>
        </w:tc>
        <w:tc>
          <w:tcPr>
            <w:tcW w:w="1243"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r>
      <w:tr w:rsidR="000B4249" w:rsidRPr="000B4249" w:rsidTr="000B4249">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Obras de abrigo y defensa</w:t>
            </w:r>
          </w:p>
        </w:tc>
        <w:tc>
          <w:tcPr>
            <w:tcW w:w="1243"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r>
      <w:tr w:rsidR="000B4249" w:rsidRPr="000B4249" w:rsidTr="000B4249">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Obras de atraque</w:t>
            </w:r>
          </w:p>
        </w:tc>
        <w:tc>
          <w:tcPr>
            <w:tcW w:w="1243"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sz w:val="14"/>
                <w:szCs w:val="14"/>
                <w:lang w:val="es-ES"/>
              </w:rPr>
            </w:pPr>
            <w:r w:rsidRPr="000B4249">
              <w:rPr>
                <w:rFonts w:ascii="Lucida Bright" w:hAnsi="Lucida Bright" w:cs="Calibri"/>
                <w:sz w:val="14"/>
                <w:szCs w:val="14"/>
                <w:lang w:val="es-ES"/>
              </w:rPr>
              <w:t xml:space="preserve">2.982.720,75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sz w:val="14"/>
                <w:szCs w:val="14"/>
                <w:lang w:val="es-ES"/>
              </w:rPr>
            </w:pPr>
            <w:r w:rsidRPr="000B4249">
              <w:rPr>
                <w:rFonts w:ascii="Lucida Bright" w:hAnsi="Lucida Bright" w:cs="Calibri"/>
                <w:sz w:val="14"/>
                <w:szCs w:val="14"/>
                <w:lang w:val="es-ES"/>
              </w:rPr>
              <w:t xml:space="preserve">2.982.720,75 </w:t>
            </w:r>
          </w:p>
        </w:tc>
      </w:tr>
      <w:tr w:rsidR="000B4249" w:rsidRPr="000B4249" w:rsidTr="000B4249">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Instalaciones para reparación de barcos</w:t>
            </w:r>
          </w:p>
        </w:tc>
        <w:tc>
          <w:tcPr>
            <w:tcW w:w="1243"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r>
      <w:tr w:rsidR="000B4249" w:rsidRPr="000B4249" w:rsidTr="000B4249">
        <w:trPr>
          <w:trHeight w:val="210"/>
        </w:trPr>
        <w:tc>
          <w:tcPr>
            <w:tcW w:w="3239" w:type="dxa"/>
            <w:tcBorders>
              <w:top w:val="nil"/>
              <w:left w:val="single" w:sz="4" w:space="0" w:color="auto"/>
              <w:bottom w:val="single" w:sz="4" w:space="0" w:color="auto"/>
              <w:right w:val="nil"/>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Edificaciones</w:t>
            </w:r>
          </w:p>
        </w:tc>
        <w:tc>
          <w:tcPr>
            <w:tcW w:w="55"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43"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sz w:val="14"/>
                <w:szCs w:val="14"/>
                <w:lang w:val="es-ES"/>
              </w:rPr>
            </w:pPr>
            <w:r w:rsidRPr="000B4249">
              <w:rPr>
                <w:rFonts w:ascii="Lucida Bright" w:hAnsi="Lucida Bright" w:cs="Calibri"/>
                <w:sz w:val="14"/>
                <w:szCs w:val="14"/>
                <w:lang w:val="es-ES"/>
              </w:rPr>
              <w:t xml:space="preserve">13.103.155,25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sz w:val="14"/>
                <w:szCs w:val="14"/>
                <w:lang w:val="es-ES"/>
              </w:rPr>
            </w:pPr>
            <w:r w:rsidRPr="000B4249">
              <w:rPr>
                <w:rFonts w:ascii="Lucida Bright" w:hAnsi="Lucida Bright" w:cs="Calibri"/>
                <w:sz w:val="14"/>
                <w:szCs w:val="14"/>
                <w:lang w:val="es-ES"/>
              </w:rPr>
              <w:t xml:space="preserve">13.103.155,25 </w:t>
            </w:r>
          </w:p>
        </w:tc>
      </w:tr>
      <w:tr w:rsidR="000B4249" w:rsidRPr="000B4249" w:rsidTr="000B4249">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Instalaciones generales</w:t>
            </w:r>
          </w:p>
        </w:tc>
        <w:tc>
          <w:tcPr>
            <w:tcW w:w="1243"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sz w:val="14"/>
                <w:szCs w:val="14"/>
                <w:lang w:val="es-ES"/>
              </w:rPr>
            </w:pPr>
            <w:r w:rsidRPr="000B4249">
              <w:rPr>
                <w:rFonts w:ascii="Lucida Bright" w:hAnsi="Lucida Bright" w:cs="Calibri"/>
                <w:sz w:val="14"/>
                <w:szCs w:val="14"/>
                <w:lang w:val="es-ES"/>
              </w:rPr>
              <w:t xml:space="preserve">6.501.997,68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sz w:val="14"/>
                <w:szCs w:val="14"/>
                <w:lang w:val="es-ES"/>
              </w:rPr>
            </w:pPr>
            <w:r w:rsidRPr="000B4249">
              <w:rPr>
                <w:rFonts w:ascii="Lucida Bright" w:hAnsi="Lucida Bright" w:cs="Calibri"/>
                <w:sz w:val="14"/>
                <w:szCs w:val="14"/>
                <w:lang w:val="es-ES"/>
              </w:rPr>
              <w:t xml:space="preserve">6.501.997,68 </w:t>
            </w:r>
          </w:p>
        </w:tc>
      </w:tr>
      <w:tr w:rsidR="000B4249" w:rsidRPr="000B4249" w:rsidTr="000B4249">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Pavimentos, calzadas y vías de circulación</w:t>
            </w:r>
          </w:p>
        </w:tc>
        <w:tc>
          <w:tcPr>
            <w:tcW w:w="1243" w:type="dxa"/>
            <w:tcBorders>
              <w:top w:val="nil"/>
              <w:left w:val="nil"/>
              <w:bottom w:val="nil"/>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159" w:type="dxa"/>
            <w:tcBorders>
              <w:top w:val="nil"/>
              <w:left w:val="nil"/>
              <w:bottom w:val="nil"/>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16" w:type="dxa"/>
            <w:tcBorders>
              <w:top w:val="nil"/>
              <w:left w:val="nil"/>
              <w:bottom w:val="nil"/>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sz w:val="14"/>
                <w:szCs w:val="14"/>
                <w:lang w:val="es-ES"/>
              </w:rPr>
            </w:pPr>
            <w:r w:rsidRPr="000B4249">
              <w:rPr>
                <w:rFonts w:ascii="Lucida Bright" w:hAnsi="Lucida Bright" w:cs="Calibri"/>
                <w:sz w:val="14"/>
                <w:szCs w:val="14"/>
                <w:lang w:val="es-ES"/>
              </w:rPr>
              <w:t xml:space="preserve">3.502.043,79 </w:t>
            </w:r>
          </w:p>
        </w:tc>
        <w:tc>
          <w:tcPr>
            <w:tcW w:w="1216" w:type="dxa"/>
            <w:tcBorders>
              <w:top w:val="nil"/>
              <w:left w:val="nil"/>
              <w:bottom w:val="nil"/>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sz w:val="14"/>
                <w:szCs w:val="14"/>
                <w:lang w:val="es-ES"/>
              </w:rPr>
            </w:pPr>
            <w:r w:rsidRPr="000B4249">
              <w:rPr>
                <w:rFonts w:ascii="Lucida Bright" w:hAnsi="Lucida Bright" w:cs="Calibri"/>
                <w:sz w:val="14"/>
                <w:szCs w:val="14"/>
                <w:lang w:val="es-ES"/>
              </w:rPr>
              <w:t xml:space="preserve">3.502.043,79 </w:t>
            </w:r>
          </w:p>
        </w:tc>
      </w:tr>
      <w:tr w:rsidR="000B4249" w:rsidRPr="000B4249" w:rsidTr="000B4249">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c) Equipamientos e instalaciones técnicas</w:t>
            </w:r>
          </w:p>
        </w:tc>
        <w:tc>
          <w:tcPr>
            <w:tcW w:w="1243"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216"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b/>
                <w:bCs/>
                <w:sz w:val="14"/>
                <w:szCs w:val="14"/>
                <w:lang w:val="es-ES"/>
              </w:rPr>
            </w:pPr>
            <w:r w:rsidRPr="000B4249">
              <w:rPr>
                <w:rFonts w:ascii="Lucida Bright" w:hAnsi="Lucida Bright" w:cs="Calibri"/>
                <w:b/>
                <w:bCs/>
                <w:sz w:val="14"/>
                <w:szCs w:val="14"/>
                <w:lang w:val="es-ES"/>
              </w:rPr>
              <w:t xml:space="preserve">287.823,08 </w:t>
            </w:r>
          </w:p>
        </w:tc>
        <w:tc>
          <w:tcPr>
            <w:tcW w:w="1216"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b/>
                <w:bCs/>
                <w:sz w:val="14"/>
                <w:szCs w:val="14"/>
                <w:lang w:val="es-ES"/>
              </w:rPr>
            </w:pPr>
            <w:r w:rsidRPr="000B4249">
              <w:rPr>
                <w:rFonts w:ascii="Lucida Bright" w:hAnsi="Lucida Bright" w:cs="Calibri"/>
                <w:b/>
                <w:bCs/>
                <w:sz w:val="14"/>
                <w:szCs w:val="14"/>
                <w:lang w:val="es-ES"/>
              </w:rPr>
              <w:t xml:space="preserve">287.823,08 </w:t>
            </w:r>
          </w:p>
        </w:tc>
      </w:tr>
      <w:tr w:rsidR="000B4249" w:rsidRPr="000B4249" w:rsidTr="000B4249">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Instalaciones de ayuda a la navegación</w:t>
            </w:r>
          </w:p>
        </w:tc>
        <w:tc>
          <w:tcPr>
            <w:tcW w:w="1243"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sz w:val="14"/>
                <w:szCs w:val="14"/>
                <w:lang w:val="es-ES"/>
              </w:rPr>
            </w:pPr>
            <w:r w:rsidRPr="000B4249">
              <w:rPr>
                <w:rFonts w:ascii="Lucida Bright" w:hAnsi="Lucida Bright" w:cs="Calibri"/>
                <w:sz w:val="14"/>
                <w:szCs w:val="14"/>
                <w:lang w:val="es-ES"/>
              </w:rPr>
              <w:t xml:space="preserve">287.823,08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sz w:val="14"/>
                <w:szCs w:val="14"/>
                <w:lang w:val="es-ES"/>
              </w:rPr>
            </w:pPr>
            <w:r w:rsidRPr="000B4249">
              <w:rPr>
                <w:rFonts w:ascii="Lucida Bright" w:hAnsi="Lucida Bright" w:cs="Calibri"/>
                <w:sz w:val="14"/>
                <w:szCs w:val="14"/>
                <w:lang w:val="es-ES"/>
              </w:rPr>
              <w:t xml:space="preserve">287.823,08 </w:t>
            </w:r>
          </w:p>
        </w:tc>
      </w:tr>
      <w:tr w:rsidR="000B4249" w:rsidRPr="000B4249" w:rsidTr="000B4249">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Equipo de manipulación de </w:t>
            </w:r>
            <w:r w:rsidR="00DD448C" w:rsidRPr="000B4249">
              <w:rPr>
                <w:rFonts w:ascii="Lucida Bright" w:hAnsi="Lucida Bright" w:cs="Calibri"/>
                <w:sz w:val="14"/>
                <w:szCs w:val="14"/>
                <w:lang w:val="es-ES"/>
              </w:rPr>
              <w:t>mercancías</w:t>
            </w:r>
          </w:p>
        </w:tc>
        <w:tc>
          <w:tcPr>
            <w:tcW w:w="1243"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r>
      <w:tr w:rsidR="000B4249" w:rsidRPr="000B4249" w:rsidTr="000B4249">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Material flotante</w:t>
            </w:r>
          </w:p>
        </w:tc>
        <w:tc>
          <w:tcPr>
            <w:tcW w:w="1243"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r>
      <w:tr w:rsidR="000B4249" w:rsidRPr="000B4249" w:rsidTr="000B4249">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Material ferroviario</w:t>
            </w:r>
          </w:p>
        </w:tc>
        <w:tc>
          <w:tcPr>
            <w:tcW w:w="1243"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r>
      <w:tr w:rsidR="000B4249" w:rsidRPr="000B4249" w:rsidTr="000B4249">
        <w:trPr>
          <w:trHeight w:val="210"/>
        </w:trPr>
        <w:tc>
          <w:tcPr>
            <w:tcW w:w="3239" w:type="dxa"/>
            <w:tcBorders>
              <w:top w:val="nil"/>
              <w:left w:val="single" w:sz="4" w:space="0" w:color="auto"/>
              <w:bottom w:val="single" w:sz="4" w:space="0" w:color="auto"/>
              <w:right w:val="nil"/>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Equipo de taller</w:t>
            </w:r>
          </w:p>
        </w:tc>
        <w:tc>
          <w:tcPr>
            <w:tcW w:w="55"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43" w:type="dxa"/>
            <w:tcBorders>
              <w:top w:val="nil"/>
              <w:left w:val="nil"/>
              <w:bottom w:val="nil"/>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159" w:type="dxa"/>
            <w:tcBorders>
              <w:top w:val="nil"/>
              <w:left w:val="nil"/>
              <w:bottom w:val="nil"/>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16" w:type="dxa"/>
            <w:tcBorders>
              <w:top w:val="nil"/>
              <w:left w:val="nil"/>
              <w:bottom w:val="nil"/>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16" w:type="dxa"/>
            <w:tcBorders>
              <w:top w:val="nil"/>
              <w:left w:val="nil"/>
              <w:bottom w:val="nil"/>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r>
      <w:tr w:rsidR="000B4249" w:rsidRPr="000B4249" w:rsidTr="000B4249">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d) Otro inmovilizado</w:t>
            </w:r>
          </w:p>
        </w:tc>
        <w:tc>
          <w:tcPr>
            <w:tcW w:w="1243"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216"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b/>
                <w:bCs/>
                <w:sz w:val="14"/>
                <w:szCs w:val="14"/>
                <w:lang w:val="es-ES"/>
              </w:rPr>
            </w:pPr>
            <w:r w:rsidRPr="000B4249">
              <w:rPr>
                <w:rFonts w:ascii="Lucida Bright" w:hAnsi="Lucida Bright" w:cs="Calibri"/>
                <w:b/>
                <w:bCs/>
                <w:sz w:val="14"/>
                <w:szCs w:val="14"/>
                <w:lang w:val="es-ES"/>
              </w:rPr>
              <w:t xml:space="preserve">1.339.357,75 </w:t>
            </w:r>
          </w:p>
        </w:tc>
        <w:tc>
          <w:tcPr>
            <w:tcW w:w="1216"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b/>
                <w:bCs/>
                <w:sz w:val="14"/>
                <w:szCs w:val="14"/>
                <w:lang w:val="es-ES"/>
              </w:rPr>
            </w:pPr>
            <w:r w:rsidRPr="000B4249">
              <w:rPr>
                <w:rFonts w:ascii="Lucida Bright" w:hAnsi="Lucida Bright" w:cs="Calibri"/>
                <w:b/>
                <w:bCs/>
                <w:sz w:val="14"/>
                <w:szCs w:val="14"/>
                <w:lang w:val="es-ES"/>
              </w:rPr>
              <w:t xml:space="preserve">1.339.357,75 </w:t>
            </w:r>
          </w:p>
        </w:tc>
      </w:tr>
      <w:tr w:rsidR="000B4249" w:rsidRPr="000B4249" w:rsidTr="000B4249">
        <w:trPr>
          <w:trHeight w:val="210"/>
        </w:trPr>
        <w:tc>
          <w:tcPr>
            <w:tcW w:w="3239" w:type="dxa"/>
            <w:tcBorders>
              <w:top w:val="nil"/>
              <w:left w:val="single" w:sz="4" w:space="0" w:color="auto"/>
              <w:bottom w:val="single" w:sz="4" w:space="0" w:color="auto"/>
              <w:right w:val="nil"/>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Mobiliario</w:t>
            </w:r>
          </w:p>
        </w:tc>
        <w:tc>
          <w:tcPr>
            <w:tcW w:w="55"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43"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sz w:val="14"/>
                <w:szCs w:val="14"/>
                <w:lang w:val="es-ES"/>
              </w:rPr>
            </w:pPr>
            <w:r w:rsidRPr="000B4249">
              <w:rPr>
                <w:rFonts w:ascii="Lucida Bright" w:hAnsi="Lucida Bright" w:cs="Calibri"/>
                <w:sz w:val="14"/>
                <w:szCs w:val="14"/>
                <w:lang w:val="es-ES"/>
              </w:rPr>
              <w:t xml:space="preserve">49.518,25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sz w:val="14"/>
                <w:szCs w:val="14"/>
                <w:lang w:val="es-ES"/>
              </w:rPr>
            </w:pPr>
            <w:r w:rsidRPr="000B4249">
              <w:rPr>
                <w:rFonts w:ascii="Lucida Bright" w:hAnsi="Lucida Bright" w:cs="Calibri"/>
                <w:sz w:val="14"/>
                <w:szCs w:val="14"/>
                <w:lang w:val="es-ES"/>
              </w:rPr>
              <w:t xml:space="preserve">49.518,25 </w:t>
            </w:r>
          </w:p>
        </w:tc>
      </w:tr>
      <w:tr w:rsidR="000B4249" w:rsidRPr="000B4249" w:rsidTr="000B4249">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Equipos de proceso de información</w:t>
            </w:r>
          </w:p>
        </w:tc>
        <w:tc>
          <w:tcPr>
            <w:tcW w:w="1243"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sz w:val="14"/>
                <w:szCs w:val="14"/>
                <w:lang w:val="es-ES"/>
              </w:rPr>
            </w:pPr>
            <w:r w:rsidRPr="000B4249">
              <w:rPr>
                <w:rFonts w:ascii="Lucida Bright" w:hAnsi="Lucida Bright" w:cs="Calibri"/>
                <w:sz w:val="14"/>
                <w:szCs w:val="14"/>
                <w:lang w:val="es-ES"/>
              </w:rPr>
              <w:t xml:space="preserve">395.028,40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sz w:val="14"/>
                <w:szCs w:val="14"/>
                <w:lang w:val="es-ES"/>
              </w:rPr>
            </w:pPr>
            <w:r w:rsidRPr="000B4249">
              <w:rPr>
                <w:rFonts w:ascii="Lucida Bright" w:hAnsi="Lucida Bright" w:cs="Calibri"/>
                <w:sz w:val="14"/>
                <w:szCs w:val="14"/>
                <w:lang w:val="es-ES"/>
              </w:rPr>
              <w:t xml:space="preserve">395.028,40 </w:t>
            </w:r>
          </w:p>
        </w:tc>
      </w:tr>
      <w:tr w:rsidR="000B4249" w:rsidRPr="000B4249" w:rsidTr="000B4249">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Elementos de transporte</w:t>
            </w:r>
          </w:p>
        </w:tc>
        <w:tc>
          <w:tcPr>
            <w:tcW w:w="1243"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159"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sz w:val="14"/>
                <w:szCs w:val="14"/>
                <w:lang w:val="es-ES"/>
              </w:rPr>
            </w:pPr>
            <w:r w:rsidRPr="000B4249">
              <w:rPr>
                <w:rFonts w:ascii="Lucida Bright" w:hAnsi="Lucida Bright" w:cs="Calibri"/>
                <w:sz w:val="14"/>
                <w:szCs w:val="14"/>
                <w:lang w:val="es-ES"/>
              </w:rPr>
              <w:t xml:space="preserve">535.092,25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sz w:val="14"/>
                <w:szCs w:val="14"/>
                <w:lang w:val="es-ES"/>
              </w:rPr>
            </w:pPr>
            <w:r w:rsidRPr="000B4249">
              <w:rPr>
                <w:rFonts w:ascii="Lucida Bright" w:hAnsi="Lucida Bright" w:cs="Calibri"/>
                <w:sz w:val="14"/>
                <w:szCs w:val="14"/>
                <w:lang w:val="es-ES"/>
              </w:rPr>
              <w:t xml:space="preserve">535.092,25 </w:t>
            </w:r>
          </w:p>
        </w:tc>
      </w:tr>
      <w:tr w:rsidR="000B4249" w:rsidRPr="000B4249" w:rsidTr="000B4249">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xml:space="preserve">      Otro inmovilizado material</w:t>
            </w:r>
          </w:p>
        </w:tc>
        <w:tc>
          <w:tcPr>
            <w:tcW w:w="1243" w:type="dxa"/>
            <w:tcBorders>
              <w:top w:val="nil"/>
              <w:left w:val="nil"/>
              <w:bottom w:val="nil"/>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159" w:type="dxa"/>
            <w:tcBorders>
              <w:top w:val="nil"/>
              <w:left w:val="nil"/>
              <w:bottom w:val="nil"/>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nil"/>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216" w:type="dxa"/>
            <w:tcBorders>
              <w:top w:val="nil"/>
              <w:left w:val="nil"/>
              <w:bottom w:val="nil"/>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sz w:val="14"/>
                <w:szCs w:val="14"/>
                <w:lang w:val="es-ES"/>
              </w:rPr>
            </w:pPr>
            <w:r w:rsidRPr="000B4249">
              <w:rPr>
                <w:rFonts w:ascii="Lucida Bright" w:hAnsi="Lucida Bright" w:cs="Calibri"/>
                <w:sz w:val="14"/>
                <w:szCs w:val="14"/>
                <w:lang w:val="es-ES"/>
              </w:rPr>
              <w:t xml:space="preserve">359.718,85 </w:t>
            </w:r>
          </w:p>
        </w:tc>
        <w:tc>
          <w:tcPr>
            <w:tcW w:w="1216" w:type="dxa"/>
            <w:tcBorders>
              <w:top w:val="nil"/>
              <w:left w:val="nil"/>
              <w:bottom w:val="nil"/>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sz w:val="14"/>
                <w:szCs w:val="14"/>
                <w:lang w:val="es-ES"/>
              </w:rPr>
            </w:pPr>
            <w:r w:rsidRPr="000B4249">
              <w:rPr>
                <w:rFonts w:ascii="Lucida Bright" w:hAnsi="Lucida Bright" w:cs="Calibri"/>
                <w:sz w:val="14"/>
                <w:szCs w:val="14"/>
                <w:lang w:val="es-ES"/>
              </w:rPr>
              <w:t xml:space="preserve">359.718,85 </w:t>
            </w:r>
          </w:p>
        </w:tc>
      </w:tr>
      <w:tr w:rsidR="000B4249" w:rsidRPr="000B4249" w:rsidTr="000B4249">
        <w:trPr>
          <w:trHeight w:val="210"/>
        </w:trPr>
        <w:tc>
          <w:tcPr>
            <w:tcW w:w="3294"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TOTAL INMOVILIZADO MATERIAL</w:t>
            </w:r>
          </w:p>
        </w:tc>
        <w:tc>
          <w:tcPr>
            <w:tcW w:w="1243"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159"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216"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b/>
                <w:bCs/>
                <w:sz w:val="14"/>
                <w:szCs w:val="14"/>
                <w:lang w:val="es-ES"/>
              </w:rPr>
            </w:pPr>
            <w:r w:rsidRPr="000B4249">
              <w:rPr>
                <w:rFonts w:ascii="Lucida Bright" w:hAnsi="Lucida Bright" w:cs="Calibri"/>
                <w:b/>
                <w:bCs/>
                <w:sz w:val="14"/>
                <w:szCs w:val="14"/>
                <w:lang w:val="es-ES"/>
              </w:rPr>
              <w:t xml:space="preserve">28.520.184,00 </w:t>
            </w:r>
          </w:p>
        </w:tc>
        <w:tc>
          <w:tcPr>
            <w:tcW w:w="1216"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b/>
                <w:bCs/>
                <w:sz w:val="14"/>
                <w:szCs w:val="14"/>
                <w:lang w:val="es-ES"/>
              </w:rPr>
            </w:pPr>
            <w:r w:rsidRPr="000B4249">
              <w:rPr>
                <w:rFonts w:ascii="Lucida Bright" w:hAnsi="Lucida Bright" w:cs="Calibri"/>
                <w:b/>
                <w:bCs/>
                <w:sz w:val="14"/>
                <w:szCs w:val="14"/>
                <w:lang w:val="es-ES"/>
              </w:rPr>
              <w:t xml:space="preserve">28.520.184,00 </w:t>
            </w:r>
          </w:p>
        </w:tc>
      </w:tr>
      <w:tr w:rsidR="000B4249" w:rsidRPr="000B4249" w:rsidTr="000B4249">
        <w:trPr>
          <w:trHeight w:val="210"/>
        </w:trPr>
        <w:tc>
          <w:tcPr>
            <w:tcW w:w="3239" w:type="dxa"/>
            <w:tcBorders>
              <w:top w:val="nil"/>
              <w:left w:val="single" w:sz="4" w:space="0" w:color="auto"/>
              <w:bottom w:val="single" w:sz="4" w:space="0" w:color="auto"/>
              <w:right w:val="nil"/>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ANTICIPOS E INMOVILIZADO EN CURSO</w:t>
            </w:r>
          </w:p>
        </w:tc>
        <w:tc>
          <w:tcPr>
            <w:tcW w:w="55" w:type="dxa"/>
            <w:tcBorders>
              <w:top w:val="nil"/>
              <w:left w:val="nil"/>
              <w:bottom w:val="nil"/>
              <w:right w:val="nil"/>
            </w:tcBorders>
            <w:shd w:val="clear" w:color="auto" w:fill="auto"/>
            <w:noWrap/>
            <w:vAlign w:val="center"/>
            <w:hideMark/>
          </w:tcPr>
          <w:p w:rsidR="000B4249" w:rsidRPr="000B4249" w:rsidRDefault="000B4249" w:rsidP="000B4249">
            <w:pPr>
              <w:jc w:val="center"/>
              <w:rPr>
                <w:rFonts w:ascii="Lucida Bright" w:hAnsi="Lucida Bright" w:cs="Calibri"/>
                <w:b/>
                <w:bCs/>
                <w:sz w:val="14"/>
                <w:szCs w:val="14"/>
                <w:lang w:val="es-ES"/>
              </w:rPr>
            </w:pPr>
            <w:r w:rsidRPr="000B4249">
              <w:rPr>
                <w:rFonts w:ascii="Lucida Bright" w:hAnsi="Lucida Bright" w:cs="Calibri"/>
                <w:b/>
                <w:bCs/>
                <w:sz w:val="14"/>
                <w:szCs w:val="14"/>
                <w:lang w:val="es-ES"/>
              </w:rPr>
              <w:t> </w:t>
            </w:r>
          </w:p>
        </w:tc>
        <w:tc>
          <w:tcPr>
            <w:tcW w:w="1243" w:type="dxa"/>
            <w:tcBorders>
              <w:top w:val="nil"/>
              <w:left w:val="single" w:sz="4" w:space="0" w:color="auto"/>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sz w:val="14"/>
                <w:szCs w:val="14"/>
                <w:lang w:val="es-ES"/>
              </w:rPr>
            </w:pPr>
            <w:r w:rsidRPr="000B4249">
              <w:rPr>
                <w:rFonts w:ascii="Lucida Bright" w:hAnsi="Lucida Bright" w:cs="Calibri"/>
                <w:sz w:val="14"/>
                <w:szCs w:val="14"/>
                <w:lang w:val="es-ES"/>
              </w:rPr>
              <w:t xml:space="preserve">39.632.030,52 </w:t>
            </w:r>
          </w:p>
        </w:tc>
        <w:tc>
          <w:tcPr>
            <w:tcW w:w="1159"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sz w:val="14"/>
                <w:szCs w:val="14"/>
                <w:lang w:val="es-ES"/>
              </w:rPr>
            </w:pPr>
            <w:r w:rsidRPr="000B4249">
              <w:rPr>
                <w:rFonts w:ascii="Lucida Bright" w:hAnsi="Lucida Bright" w:cs="Calibri"/>
                <w:sz w:val="14"/>
                <w:szCs w:val="14"/>
                <w:lang w:val="es-ES"/>
              </w:rPr>
              <w:t>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sz w:val="14"/>
                <w:szCs w:val="14"/>
                <w:lang w:val="es-ES"/>
              </w:rPr>
            </w:pPr>
            <w:r w:rsidRPr="000B4249">
              <w:rPr>
                <w:rFonts w:ascii="Lucida Bright" w:hAnsi="Lucida Bright" w:cs="Calibri"/>
                <w:sz w:val="14"/>
                <w:szCs w:val="14"/>
                <w:lang w:val="es-ES"/>
              </w:rPr>
              <w:t xml:space="preserve">14.401,08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sz w:val="14"/>
                <w:szCs w:val="14"/>
                <w:lang w:val="es-ES"/>
              </w:rPr>
            </w:pPr>
            <w:r w:rsidRPr="000B4249">
              <w:rPr>
                <w:rFonts w:ascii="Lucida Bright" w:hAnsi="Lucida Bright" w:cs="Calibri"/>
                <w:sz w:val="14"/>
                <w:szCs w:val="14"/>
                <w:lang w:val="es-ES"/>
              </w:rPr>
              <w:t xml:space="preserve">(28.520.184,00)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sz w:val="14"/>
                <w:szCs w:val="14"/>
                <w:lang w:val="es-ES"/>
              </w:rPr>
            </w:pPr>
            <w:r w:rsidRPr="000B4249">
              <w:rPr>
                <w:rFonts w:ascii="Lucida Bright" w:hAnsi="Lucida Bright" w:cs="Calibri"/>
                <w:sz w:val="14"/>
                <w:szCs w:val="14"/>
                <w:lang w:val="es-ES"/>
              </w:rPr>
              <w:t xml:space="preserve">11.126.247,60 </w:t>
            </w:r>
          </w:p>
        </w:tc>
      </w:tr>
      <w:tr w:rsidR="000B4249" w:rsidRPr="000B4249" w:rsidTr="000B4249">
        <w:trPr>
          <w:trHeight w:val="210"/>
        </w:trPr>
        <w:tc>
          <w:tcPr>
            <w:tcW w:w="3239" w:type="dxa"/>
            <w:tcBorders>
              <w:top w:val="nil"/>
              <w:left w:val="single" w:sz="4" w:space="0" w:color="auto"/>
              <w:bottom w:val="single" w:sz="4" w:space="0" w:color="auto"/>
              <w:right w:val="nil"/>
            </w:tcBorders>
            <w:shd w:val="clear" w:color="000000" w:fill="FFFFFF"/>
            <w:noWrap/>
            <w:vAlign w:val="center"/>
            <w:hideMark/>
          </w:tcPr>
          <w:p w:rsidR="000B4249" w:rsidRPr="000B4249" w:rsidRDefault="000B4249" w:rsidP="000B4249">
            <w:pPr>
              <w:jc w:val="center"/>
              <w:rPr>
                <w:rFonts w:ascii="Lucida Bright" w:hAnsi="Lucida Bright" w:cs="Calibri"/>
                <w:b/>
                <w:bCs/>
                <w:sz w:val="14"/>
                <w:szCs w:val="14"/>
                <w:lang w:val="es-ES"/>
              </w:rPr>
            </w:pPr>
            <w:r w:rsidRPr="000B4249">
              <w:rPr>
                <w:rFonts w:ascii="Lucida Bright" w:hAnsi="Lucida Bright" w:cs="Calibri"/>
                <w:b/>
                <w:bCs/>
                <w:sz w:val="14"/>
                <w:szCs w:val="14"/>
                <w:lang w:val="es-ES"/>
              </w:rPr>
              <w:t>TOTAL</w:t>
            </w:r>
          </w:p>
        </w:tc>
        <w:tc>
          <w:tcPr>
            <w:tcW w:w="55" w:type="dxa"/>
            <w:tcBorders>
              <w:top w:val="single" w:sz="4" w:space="0" w:color="auto"/>
              <w:left w:val="nil"/>
              <w:bottom w:val="single" w:sz="4" w:space="0" w:color="auto"/>
              <w:right w:val="single" w:sz="4" w:space="0" w:color="auto"/>
            </w:tcBorders>
            <w:shd w:val="clear" w:color="000000" w:fill="FFFFFF"/>
            <w:noWrap/>
            <w:vAlign w:val="center"/>
            <w:hideMark/>
          </w:tcPr>
          <w:p w:rsidR="000B4249" w:rsidRPr="000B4249" w:rsidRDefault="000B4249" w:rsidP="000B4249">
            <w:pPr>
              <w:jc w:val="center"/>
              <w:rPr>
                <w:rFonts w:ascii="Lucida Bright" w:hAnsi="Lucida Bright" w:cs="Calibri"/>
                <w:b/>
                <w:bCs/>
                <w:sz w:val="14"/>
                <w:szCs w:val="14"/>
                <w:lang w:val="es-ES"/>
              </w:rPr>
            </w:pPr>
            <w:r w:rsidRPr="000B4249">
              <w:rPr>
                <w:rFonts w:ascii="Lucida Bright" w:hAnsi="Lucida Bright" w:cs="Calibri"/>
                <w:b/>
                <w:bCs/>
                <w:sz w:val="14"/>
                <w:szCs w:val="14"/>
                <w:lang w:val="es-ES"/>
              </w:rPr>
              <w:t> </w:t>
            </w:r>
          </w:p>
        </w:tc>
        <w:tc>
          <w:tcPr>
            <w:tcW w:w="1243"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b/>
                <w:bCs/>
                <w:sz w:val="14"/>
                <w:szCs w:val="14"/>
                <w:lang w:val="es-ES"/>
              </w:rPr>
            </w:pPr>
            <w:r w:rsidRPr="000B4249">
              <w:rPr>
                <w:rFonts w:ascii="Lucida Bright" w:hAnsi="Lucida Bright" w:cs="Calibri"/>
                <w:b/>
                <w:bCs/>
                <w:sz w:val="14"/>
                <w:szCs w:val="14"/>
                <w:lang w:val="es-ES"/>
              </w:rPr>
              <w:t xml:space="preserve">39.632.030,52 </w:t>
            </w:r>
          </w:p>
        </w:tc>
        <w:tc>
          <w:tcPr>
            <w:tcW w:w="1159"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09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b/>
                <w:bCs/>
                <w:sz w:val="14"/>
                <w:szCs w:val="14"/>
                <w:lang w:val="es-ES"/>
              </w:rPr>
            </w:pPr>
            <w:r w:rsidRPr="000B4249">
              <w:rPr>
                <w:rFonts w:ascii="Lucida Bright" w:hAnsi="Lucida Bright" w:cs="Calibri"/>
                <w:b/>
                <w:bCs/>
                <w:sz w:val="14"/>
                <w:szCs w:val="14"/>
                <w:lang w:val="es-ES"/>
              </w:rPr>
              <w:t xml:space="preserve">14.401,08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rPr>
                <w:rFonts w:ascii="Lucida Bright" w:hAnsi="Lucida Bright" w:cs="Calibri"/>
                <w:b/>
                <w:bCs/>
                <w:sz w:val="14"/>
                <w:szCs w:val="14"/>
                <w:lang w:val="es-ES"/>
              </w:rPr>
            </w:pPr>
            <w:r w:rsidRPr="000B4249">
              <w:rPr>
                <w:rFonts w:ascii="Lucida Bright" w:hAnsi="Lucida Bright" w:cs="Calibri"/>
                <w:b/>
                <w:bCs/>
                <w:sz w:val="14"/>
                <w:szCs w:val="14"/>
                <w:lang w:val="es-ES"/>
              </w:rPr>
              <w:t xml:space="preserve">- </w:t>
            </w:r>
          </w:p>
        </w:tc>
        <w:tc>
          <w:tcPr>
            <w:tcW w:w="1216" w:type="dxa"/>
            <w:tcBorders>
              <w:top w:val="nil"/>
              <w:left w:val="nil"/>
              <w:bottom w:val="single" w:sz="4" w:space="0" w:color="auto"/>
              <w:right w:val="single" w:sz="4" w:space="0" w:color="auto"/>
            </w:tcBorders>
            <w:shd w:val="clear" w:color="000000" w:fill="FFFFFF"/>
            <w:noWrap/>
            <w:vAlign w:val="center"/>
            <w:hideMark/>
          </w:tcPr>
          <w:p w:rsidR="000B4249" w:rsidRPr="000B4249" w:rsidRDefault="000B4249" w:rsidP="000B4249">
            <w:pPr>
              <w:jc w:val="right"/>
              <w:rPr>
                <w:rFonts w:ascii="Lucida Bright" w:hAnsi="Lucida Bright" w:cs="Calibri"/>
                <w:b/>
                <w:bCs/>
                <w:sz w:val="14"/>
                <w:szCs w:val="14"/>
                <w:lang w:val="es-ES"/>
              </w:rPr>
            </w:pPr>
            <w:r w:rsidRPr="000B4249">
              <w:rPr>
                <w:rFonts w:ascii="Lucida Bright" w:hAnsi="Lucida Bright" w:cs="Calibri"/>
                <w:b/>
                <w:bCs/>
                <w:sz w:val="14"/>
                <w:szCs w:val="14"/>
                <w:lang w:val="es-ES"/>
              </w:rPr>
              <w:t xml:space="preserve">39.646.431,60 </w:t>
            </w:r>
          </w:p>
        </w:tc>
      </w:tr>
    </w:tbl>
    <w:p w:rsidR="001C4AD5" w:rsidRDefault="001C4AD5" w:rsidP="004E5856">
      <w:pPr>
        <w:shd w:val="clear" w:color="auto" w:fill="FFFFFF"/>
        <w:ind w:left="12" w:right="1108"/>
        <w:rPr>
          <w:rFonts w:ascii="Lucida Bright" w:eastAsia="Lucida Bright" w:hAnsi="Lucida Bright" w:cs="Lucida Bright"/>
          <w:color w:val="000000"/>
          <w:sz w:val="15"/>
        </w:rPr>
      </w:pPr>
    </w:p>
    <w:p w:rsidR="001C4AD5" w:rsidRDefault="001C4AD5" w:rsidP="004E5856">
      <w:pPr>
        <w:shd w:val="clear" w:color="auto" w:fill="FFFFFF"/>
        <w:ind w:left="12" w:right="1108"/>
        <w:rPr>
          <w:rFonts w:ascii="Lucida Bright" w:eastAsia="Lucida Bright" w:hAnsi="Lucida Bright" w:cs="Lucida Bright"/>
          <w:color w:val="000000"/>
          <w:sz w:val="15"/>
        </w:rPr>
      </w:pPr>
    </w:p>
    <w:p w:rsidR="001C4AD5" w:rsidRDefault="001C4AD5" w:rsidP="004E5856">
      <w:pPr>
        <w:shd w:val="clear" w:color="auto" w:fill="FFFFFF"/>
        <w:ind w:left="12" w:right="1108"/>
        <w:rPr>
          <w:rFonts w:ascii="Lucida Bright" w:eastAsia="Lucida Bright" w:hAnsi="Lucida Bright" w:cs="Lucida Bright"/>
          <w:color w:val="000000"/>
          <w:sz w:val="15"/>
        </w:rPr>
      </w:pPr>
    </w:p>
    <w:p w:rsidR="001C4AD5" w:rsidRDefault="001C4AD5" w:rsidP="004E5856">
      <w:pPr>
        <w:shd w:val="clear" w:color="auto" w:fill="FFFFFF"/>
        <w:ind w:left="12" w:right="1108"/>
        <w:rPr>
          <w:rFonts w:ascii="Lucida Bright" w:eastAsia="Lucida Bright" w:hAnsi="Lucida Bright" w:cs="Lucida Bright"/>
          <w:color w:val="000000"/>
          <w:sz w:val="15"/>
        </w:rPr>
      </w:pPr>
    </w:p>
    <w:p w:rsidR="002075D9" w:rsidRDefault="002075D9" w:rsidP="004E5856">
      <w:pPr>
        <w:shd w:val="clear" w:color="auto" w:fill="FFFFFF"/>
        <w:ind w:left="12" w:right="1108"/>
        <w:rPr>
          <w:rFonts w:ascii="Lucida Bright" w:eastAsia="Lucida Bright" w:hAnsi="Lucida Bright" w:cs="Lucida Bright"/>
          <w:color w:val="000000"/>
          <w:sz w:val="15"/>
        </w:rPr>
      </w:pPr>
    </w:p>
    <w:p w:rsidR="00B9194A" w:rsidRDefault="00B9194A" w:rsidP="004E5856">
      <w:pPr>
        <w:shd w:val="clear" w:color="auto" w:fill="FFFFFF"/>
        <w:ind w:left="12" w:right="1108"/>
        <w:rPr>
          <w:rFonts w:ascii="Lucida Bright" w:eastAsia="Lucida Bright" w:hAnsi="Lucida Bright" w:cs="Lucida Bright"/>
          <w:color w:val="000000"/>
          <w:sz w:val="15"/>
          <w:highlight w:val="white"/>
        </w:rPr>
      </w:pPr>
    </w:p>
    <w:p w:rsidR="002075D9" w:rsidRDefault="002075D9" w:rsidP="004E5856">
      <w:pPr>
        <w:shd w:val="clear" w:color="auto" w:fill="FFFFFF"/>
        <w:ind w:left="12" w:right="1108"/>
        <w:rPr>
          <w:rFonts w:ascii="Lucida Bright" w:eastAsia="Lucida Bright" w:hAnsi="Lucida Bright" w:cs="Lucida Bright"/>
          <w:color w:val="000000"/>
          <w:sz w:val="15"/>
          <w:highlight w:val="white"/>
        </w:rPr>
      </w:pPr>
    </w:p>
    <w:p w:rsidR="002075D9" w:rsidRDefault="002075D9" w:rsidP="004E5856">
      <w:pPr>
        <w:shd w:val="clear" w:color="auto" w:fill="FFFFFF"/>
        <w:ind w:left="12" w:right="1108"/>
        <w:rPr>
          <w:rFonts w:ascii="Lucida Bright" w:eastAsia="Lucida Bright" w:hAnsi="Lucida Bright" w:cs="Lucida Bright"/>
          <w:color w:val="000000"/>
          <w:sz w:val="15"/>
          <w:highlight w:val="white"/>
        </w:rPr>
      </w:pPr>
    </w:p>
    <w:p w:rsidR="002075D9" w:rsidRDefault="002075D9" w:rsidP="004E5856">
      <w:pPr>
        <w:shd w:val="clear" w:color="auto" w:fill="FFFFFF"/>
        <w:ind w:left="12" w:right="1108"/>
        <w:rPr>
          <w:rFonts w:ascii="Lucida Bright" w:eastAsia="Lucida Bright" w:hAnsi="Lucida Bright" w:cs="Lucida Bright"/>
          <w:color w:val="000000"/>
          <w:sz w:val="15"/>
          <w:highlight w:val="white"/>
        </w:rPr>
      </w:pPr>
    </w:p>
    <w:p w:rsidR="002075D9" w:rsidRDefault="002075D9" w:rsidP="004E5856">
      <w:pPr>
        <w:shd w:val="clear" w:color="auto" w:fill="FFFFFF"/>
        <w:ind w:left="12" w:right="1108"/>
        <w:rPr>
          <w:rFonts w:ascii="Lucida Bright" w:eastAsia="Lucida Bright" w:hAnsi="Lucida Bright" w:cs="Lucida Bright"/>
          <w:color w:val="000000"/>
          <w:sz w:val="15"/>
          <w:highlight w:val="white"/>
        </w:rPr>
      </w:pPr>
    </w:p>
    <w:tbl>
      <w:tblPr>
        <w:tblW w:w="15452" w:type="dxa"/>
        <w:tblInd w:w="-781" w:type="dxa"/>
        <w:tblCellMar>
          <w:left w:w="70" w:type="dxa"/>
          <w:right w:w="70" w:type="dxa"/>
        </w:tblCellMar>
        <w:tblLook w:val="04A0" w:firstRow="1" w:lastRow="0" w:firstColumn="1" w:lastColumn="0" w:noHBand="0" w:noVBand="1"/>
      </w:tblPr>
      <w:tblGrid>
        <w:gridCol w:w="2853"/>
        <w:gridCol w:w="367"/>
        <w:gridCol w:w="1220"/>
        <w:gridCol w:w="1132"/>
        <w:gridCol w:w="1136"/>
        <w:gridCol w:w="999"/>
        <w:gridCol w:w="1200"/>
        <w:gridCol w:w="1069"/>
        <w:gridCol w:w="673"/>
        <w:gridCol w:w="673"/>
        <w:gridCol w:w="1065"/>
        <w:gridCol w:w="893"/>
        <w:gridCol w:w="920"/>
        <w:gridCol w:w="1252"/>
      </w:tblGrid>
      <w:tr w:rsidR="002075D9" w:rsidRPr="002075D9" w:rsidTr="001E4C9E">
        <w:trPr>
          <w:trHeight w:val="300"/>
        </w:trPr>
        <w:tc>
          <w:tcPr>
            <w:tcW w:w="0" w:type="auto"/>
            <w:gridSpan w:val="7"/>
            <w:tcBorders>
              <w:top w:val="nil"/>
              <w:left w:val="nil"/>
              <w:bottom w:val="single" w:sz="4" w:space="0" w:color="auto"/>
              <w:right w:val="nil"/>
            </w:tcBorders>
            <w:shd w:val="clear" w:color="000000" w:fill="FFFFFF"/>
            <w:noWrap/>
            <w:vAlign w:val="center"/>
            <w:hideMark/>
          </w:tcPr>
          <w:p w:rsidR="002075D9" w:rsidRPr="002075D9" w:rsidRDefault="002075D9" w:rsidP="002075D9">
            <w:pPr>
              <w:rPr>
                <w:rFonts w:ascii="Lucida Bright" w:hAnsi="Lucida Bright" w:cs="Calibri"/>
                <w:b/>
                <w:bCs/>
                <w:sz w:val="18"/>
                <w:szCs w:val="18"/>
                <w:lang w:val="es-ES"/>
              </w:rPr>
            </w:pPr>
            <w:r w:rsidRPr="002075D9">
              <w:rPr>
                <w:rFonts w:ascii="Lucida Bright" w:hAnsi="Lucida Bright" w:cs="Calibri"/>
                <w:b/>
                <w:bCs/>
                <w:sz w:val="18"/>
                <w:szCs w:val="18"/>
                <w:lang w:val="es-ES"/>
              </w:rPr>
              <w:t>CUADRO: AMORTIZACIÓN ACUMULADA DEL INMOVILIZADO MATERIAL 2023</w:t>
            </w:r>
          </w:p>
        </w:tc>
        <w:tc>
          <w:tcPr>
            <w:tcW w:w="0" w:type="auto"/>
            <w:tcBorders>
              <w:top w:val="nil"/>
              <w:left w:val="nil"/>
              <w:bottom w:val="nil"/>
              <w:right w:val="nil"/>
            </w:tcBorders>
            <w:shd w:val="clear" w:color="000000" w:fill="FFFFFF"/>
            <w:noWrap/>
            <w:vAlign w:val="center"/>
            <w:hideMark/>
          </w:tcPr>
          <w:p w:rsidR="002075D9" w:rsidRPr="002075D9" w:rsidRDefault="002075D9" w:rsidP="002075D9">
            <w:pPr>
              <w:rPr>
                <w:rFonts w:ascii="Tahoma" w:hAnsi="Tahoma" w:cs="Tahoma"/>
                <w:lang w:val="es-ES"/>
              </w:rPr>
            </w:pPr>
            <w:r w:rsidRPr="002075D9">
              <w:rPr>
                <w:rFonts w:ascii="Tahoma" w:hAnsi="Tahoma" w:cs="Tahoma"/>
                <w:lang w:val="es-ES"/>
              </w:rPr>
              <w:t> </w:t>
            </w:r>
          </w:p>
        </w:tc>
        <w:tc>
          <w:tcPr>
            <w:tcW w:w="0" w:type="auto"/>
            <w:tcBorders>
              <w:top w:val="nil"/>
              <w:left w:val="nil"/>
              <w:bottom w:val="nil"/>
              <w:right w:val="nil"/>
            </w:tcBorders>
            <w:shd w:val="clear" w:color="000000" w:fill="FFFFFF"/>
            <w:noWrap/>
            <w:vAlign w:val="center"/>
            <w:hideMark/>
          </w:tcPr>
          <w:p w:rsidR="002075D9" w:rsidRPr="002075D9" w:rsidRDefault="002075D9" w:rsidP="002075D9">
            <w:pPr>
              <w:rPr>
                <w:rFonts w:ascii="Tahoma" w:hAnsi="Tahoma" w:cs="Tahoma"/>
                <w:lang w:val="es-ES"/>
              </w:rPr>
            </w:pPr>
            <w:r w:rsidRPr="002075D9">
              <w:rPr>
                <w:rFonts w:ascii="Tahoma" w:hAnsi="Tahoma" w:cs="Tahoma"/>
                <w:lang w:val="es-ES"/>
              </w:rPr>
              <w:t> </w:t>
            </w:r>
          </w:p>
        </w:tc>
        <w:tc>
          <w:tcPr>
            <w:tcW w:w="0" w:type="auto"/>
            <w:tcBorders>
              <w:top w:val="nil"/>
              <w:left w:val="nil"/>
              <w:bottom w:val="nil"/>
              <w:right w:val="nil"/>
            </w:tcBorders>
            <w:shd w:val="clear" w:color="000000" w:fill="FFFFFF"/>
            <w:noWrap/>
            <w:vAlign w:val="center"/>
            <w:hideMark/>
          </w:tcPr>
          <w:p w:rsidR="002075D9" w:rsidRPr="002075D9" w:rsidRDefault="002075D9" w:rsidP="002075D9">
            <w:pPr>
              <w:rPr>
                <w:rFonts w:ascii="Tahoma" w:hAnsi="Tahoma" w:cs="Tahoma"/>
                <w:lang w:val="es-ES"/>
              </w:rPr>
            </w:pPr>
            <w:r w:rsidRPr="002075D9">
              <w:rPr>
                <w:rFonts w:ascii="Tahoma" w:hAnsi="Tahoma" w:cs="Tahoma"/>
                <w:lang w:val="es-ES"/>
              </w:rPr>
              <w:t> </w:t>
            </w:r>
          </w:p>
        </w:tc>
        <w:tc>
          <w:tcPr>
            <w:tcW w:w="0" w:type="auto"/>
            <w:tcBorders>
              <w:top w:val="nil"/>
              <w:left w:val="nil"/>
              <w:bottom w:val="nil"/>
              <w:right w:val="nil"/>
            </w:tcBorders>
            <w:shd w:val="clear" w:color="000000" w:fill="FFFFFF"/>
            <w:noWrap/>
            <w:vAlign w:val="center"/>
            <w:hideMark/>
          </w:tcPr>
          <w:p w:rsidR="002075D9" w:rsidRPr="002075D9" w:rsidRDefault="002075D9" w:rsidP="002075D9">
            <w:pPr>
              <w:rPr>
                <w:rFonts w:ascii="Tahoma" w:hAnsi="Tahoma" w:cs="Tahoma"/>
                <w:lang w:val="es-ES"/>
              </w:rPr>
            </w:pPr>
            <w:r w:rsidRPr="002075D9">
              <w:rPr>
                <w:rFonts w:ascii="Tahoma" w:hAnsi="Tahoma" w:cs="Tahoma"/>
                <w:lang w:val="es-ES"/>
              </w:rPr>
              <w:t> </w:t>
            </w:r>
          </w:p>
        </w:tc>
        <w:tc>
          <w:tcPr>
            <w:tcW w:w="0" w:type="auto"/>
            <w:tcBorders>
              <w:top w:val="nil"/>
              <w:left w:val="nil"/>
              <w:bottom w:val="nil"/>
              <w:right w:val="nil"/>
            </w:tcBorders>
            <w:shd w:val="clear" w:color="000000" w:fill="FFFFFF"/>
            <w:noWrap/>
            <w:vAlign w:val="bottom"/>
            <w:hideMark/>
          </w:tcPr>
          <w:p w:rsidR="002075D9" w:rsidRPr="002075D9" w:rsidRDefault="002075D9" w:rsidP="002075D9">
            <w:pPr>
              <w:jc w:val="center"/>
              <w:rPr>
                <w:rFonts w:ascii="Lucida Bright" w:hAnsi="Lucida Bright" w:cs="Calibri"/>
                <w:sz w:val="14"/>
                <w:szCs w:val="14"/>
                <w:lang w:val="es-ES"/>
              </w:rPr>
            </w:pPr>
            <w:r w:rsidRPr="002075D9">
              <w:rPr>
                <w:rFonts w:ascii="Lucida Bright" w:hAnsi="Lucida Bright" w:cs="Calibri"/>
                <w:sz w:val="14"/>
                <w:szCs w:val="14"/>
                <w:lang w:val="es-ES"/>
              </w:rPr>
              <w:t>(en euros)</w:t>
            </w:r>
          </w:p>
        </w:tc>
        <w:tc>
          <w:tcPr>
            <w:tcW w:w="0" w:type="auto"/>
            <w:tcBorders>
              <w:top w:val="nil"/>
              <w:left w:val="nil"/>
              <w:bottom w:val="nil"/>
              <w:right w:val="nil"/>
            </w:tcBorders>
            <w:shd w:val="clear" w:color="000000" w:fill="FFFFFF"/>
            <w:noWrap/>
            <w:vAlign w:val="center"/>
            <w:hideMark/>
          </w:tcPr>
          <w:p w:rsidR="002075D9" w:rsidRPr="002075D9" w:rsidRDefault="002075D9" w:rsidP="002075D9">
            <w:pPr>
              <w:rPr>
                <w:rFonts w:ascii="Tahoma" w:hAnsi="Tahoma" w:cs="Tahoma"/>
                <w:lang w:val="es-ES"/>
              </w:rPr>
            </w:pPr>
            <w:r w:rsidRPr="002075D9">
              <w:rPr>
                <w:rFonts w:ascii="Tahoma" w:hAnsi="Tahoma" w:cs="Tahoma"/>
                <w:lang w:val="es-ES"/>
              </w:rPr>
              <w:t> </w:t>
            </w:r>
          </w:p>
        </w:tc>
        <w:tc>
          <w:tcPr>
            <w:tcW w:w="1252" w:type="dxa"/>
            <w:tcBorders>
              <w:top w:val="nil"/>
              <w:left w:val="nil"/>
              <w:bottom w:val="nil"/>
              <w:right w:val="nil"/>
            </w:tcBorders>
            <w:shd w:val="clear" w:color="000000" w:fill="FFFFFF"/>
            <w:noWrap/>
            <w:vAlign w:val="center"/>
            <w:hideMark/>
          </w:tcPr>
          <w:p w:rsidR="002075D9" w:rsidRPr="002075D9" w:rsidRDefault="002075D9" w:rsidP="002075D9">
            <w:pPr>
              <w:rPr>
                <w:rFonts w:ascii="Tahoma" w:hAnsi="Tahoma" w:cs="Tahoma"/>
                <w:lang w:val="es-ES"/>
              </w:rPr>
            </w:pPr>
            <w:r w:rsidRPr="002075D9">
              <w:rPr>
                <w:rFonts w:ascii="Tahoma" w:hAnsi="Tahoma" w:cs="Tahoma"/>
                <w:lang w:val="es-ES"/>
              </w:rPr>
              <w:t> </w:t>
            </w:r>
          </w:p>
        </w:tc>
      </w:tr>
      <w:tr w:rsidR="002075D9" w:rsidRPr="002075D9" w:rsidTr="001E4C9E">
        <w:trPr>
          <w:trHeight w:val="330"/>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000000" w:fill="CCFFCC"/>
            <w:vAlign w:val="center"/>
            <w:hideMark/>
          </w:tcPr>
          <w:p w:rsidR="002075D9" w:rsidRPr="002075D9" w:rsidRDefault="002075D9" w:rsidP="002075D9">
            <w:pPr>
              <w:jc w:val="center"/>
              <w:rPr>
                <w:rFonts w:ascii="Lucida Bright" w:hAnsi="Lucida Bright" w:cs="Calibri"/>
                <w:b/>
                <w:bCs/>
                <w:sz w:val="14"/>
                <w:szCs w:val="14"/>
                <w:lang w:val="es-ES"/>
              </w:rPr>
            </w:pPr>
            <w:r w:rsidRPr="002075D9">
              <w:rPr>
                <w:rFonts w:ascii="Lucida Bright" w:hAnsi="Lucida Bright" w:cs="Calibri"/>
                <w:b/>
                <w:bCs/>
                <w:sz w:val="14"/>
                <w:szCs w:val="14"/>
                <w:lang w:val="es-ES"/>
              </w:rPr>
              <w:t>CONCEPTO</w:t>
            </w:r>
          </w:p>
        </w:tc>
        <w:tc>
          <w:tcPr>
            <w:tcW w:w="0" w:type="auto"/>
            <w:vMerge w:val="restart"/>
            <w:tcBorders>
              <w:top w:val="nil"/>
              <w:left w:val="single" w:sz="4" w:space="0" w:color="auto"/>
              <w:bottom w:val="single" w:sz="4" w:space="0" w:color="000000"/>
              <w:right w:val="single" w:sz="4" w:space="0" w:color="auto"/>
            </w:tcBorders>
            <w:shd w:val="clear" w:color="000000" w:fill="CCFFCC"/>
            <w:vAlign w:val="center"/>
            <w:hideMark/>
          </w:tcPr>
          <w:p w:rsidR="002075D9" w:rsidRPr="002075D9" w:rsidRDefault="002075D9" w:rsidP="002075D9">
            <w:pPr>
              <w:jc w:val="center"/>
              <w:rPr>
                <w:rFonts w:ascii="Lucida Bright" w:hAnsi="Lucida Bright" w:cs="Calibri"/>
                <w:b/>
                <w:bCs/>
                <w:sz w:val="14"/>
                <w:szCs w:val="14"/>
                <w:lang w:val="es-ES"/>
              </w:rPr>
            </w:pPr>
            <w:r w:rsidRPr="002075D9">
              <w:rPr>
                <w:rFonts w:ascii="Lucida Bright" w:hAnsi="Lucida Bright" w:cs="Calibri"/>
                <w:b/>
                <w:bCs/>
                <w:sz w:val="14"/>
                <w:szCs w:val="14"/>
                <w:lang w:val="es-ES"/>
              </w:rPr>
              <w:t>Saldo a</w:t>
            </w:r>
            <w:r w:rsidRPr="002075D9">
              <w:rPr>
                <w:rFonts w:ascii="Lucida Bright" w:hAnsi="Lucida Bright" w:cs="Calibri"/>
                <w:b/>
                <w:bCs/>
                <w:sz w:val="14"/>
                <w:szCs w:val="14"/>
                <w:lang w:val="es-ES"/>
              </w:rPr>
              <w:br/>
            </w:r>
            <w:r w:rsidRPr="002075D9">
              <w:rPr>
                <w:rFonts w:ascii="Lucida Bright" w:hAnsi="Lucida Bright" w:cs="Calibri"/>
                <w:b/>
                <w:bCs/>
                <w:sz w:val="14"/>
                <w:szCs w:val="14"/>
                <w:lang w:val="es-ES"/>
              </w:rPr>
              <w:br/>
              <w:t>31-12-22</w:t>
            </w:r>
          </w:p>
        </w:tc>
        <w:tc>
          <w:tcPr>
            <w:tcW w:w="0" w:type="auto"/>
            <w:vMerge w:val="restart"/>
            <w:tcBorders>
              <w:top w:val="nil"/>
              <w:left w:val="single" w:sz="4" w:space="0" w:color="auto"/>
              <w:bottom w:val="single" w:sz="4" w:space="0" w:color="000000"/>
              <w:right w:val="single" w:sz="4" w:space="0" w:color="auto"/>
            </w:tcBorders>
            <w:shd w:val="clear" w:color="000000" w:fill="CCFFCC"/>
            <w:vAlign w:val="center"/>
            <w:hideMark/>
          </w:tcPr>
          <w:p w:rsidR="002075D9" w:rsidRPr="002075D9" w:rsidRDefault="002075D9" w:rsidP="002075D9">
            <w:pPr>
              <w:jc w:val="center"/>
              <w:rPr>
                <w:rFonts w:ascii="Lucida Bright" w:hAnsi="Lucida Bright" w:cs="Calibri"/>
                <w:b/>
                <w:bCs/>
                <w:sz w:val="14"/>
                <w:szCs w:val="14"/>
                <w:lang w:val="es-ES"/>
              </w:rPr>
            </w:pPr>
            <w:r w:rsidRPr="002075D9">
              <w:rPr>
                <w:rFonts w:ascii="Lucida Bright" w:hAnsi="Lucida Bright" w:cs="Calibri"/>
                <w:b/>
                <w:bCs/>
                <w:sz w:val="14"/>
                <w:szCs w:val="14"/>
                <w:lang w:val="es-ES"/>
              </w:rPr>
              <w:t>Dotaciones</w:t>
            </w:r>
            <w:r w:rsidRPr="002075D9">
              <w:rPr>
                <w:rFonts w:ascii="Lucida Bright" w:hAnsi="Lucida Bright" w:cs="Calibri"/>
                <w:b/>
                <w:bCs/>
                <w:sz w:val="14"/>
                <w:szCs w:val="14"/>
                <w:lang w:val="es-ES"/>
              </w:rPr>
              <w:br/>
            </w:r>
            <w:r w:rsidRPr="002075D9">
              <w:rPr>
                <w:rFonts w:ascii="Lucida Bright" w:hAnsi="Lucida Bright" w:cs="Calibri"/>
                <w:b/>
                <w:bCs/>
                <w:sz w:val="14"/>
                <w:szCs w:val="14"/>
                <w:lang w:val="es-ES"/>
              </w:rPr>
              <w:br/>
              <w:t>(+)</w:t>
            </w:r>
          </w:p>
        </w:tc>
        <w:tc>
          <w:tcPr>
            <w:tcW w:w="0" w:type="auto"/>
            <w:gridSpan w:val="4"/>
            <w:tcBorders>
              <w:top w:val="single" w:sz="4" w:space="0" w:color="auto"/>
              <w:left w:val="nil"/>
              <w:bottom w:val="single" w:sz="4" w:space="0" w:color="auto"/>
              <w:right w:val="single" w:sz="4" w:space="0" w:color="000000"/>
            </w:tcBorders>
            <w:shd w:val="clear" w:color="000000" w:fill="CCFFCC"/>
            <w:noWrap/>
            <w:vAlign w:val="center"/>
            <w:hideMark/>
          </w:tcPr>
          <w:p w:rsidR="002075D9" w:rsidRPr="002075D9" w:rsidRDefault="002075D9" w:rsidP="002075D9">
            <w:pPr>
              <w:jc w:val="center"/>
              <w:rPr>
                <w:rFonts w:ascii="Lucida Bright" w:hAnsi="Lucida Bright" w:cs="Calibri"/>
                <w:b/>
                <w:bCs/>
                <w:sz w:val="14"/>
                <w:szCs w:val="14"/>
                <w:lang w:val="es-ES"/>
              </w:rPr>
            </w:pPr>
            <w:r w:rsidRPr="002075D9">
              <w:rPr>
                <w:rFonts w:ascii="Lucida Bright" w:hAnsi="Lucida Bright" w:cs="Calibri"/>
                <w:b/>
                <w:bCs/>
                <w:sz w:val="14"/>
                <w:szCs w:val="14"/>
                <w:lang w:val="es-ES"/>
              </w:rPr>
              <w:t>Bajas</w:t>
            </w:r>
          </w:p>
        </w:tc>
        <w:tc>
          <w:tcPr>
            <w:tcW w:w="0" w:type="auto"/>
            <w:gridSpan w:val="2"/>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2075D9" w:rsidRPr="002075D9" w:rsidRDefault="002075D9" w:rsidP="002075D9">
            <w:pPr>
              <w:jc w:val="center"/>
              <w:rPr>
                <w:rFonts w:ascii="Lucida Bright" w:hAnsi="Lucida Bright" w:cs="Calibri"/>
                <w:b/>
                <w:bCs/>
                <w:sz w:val="14"/>
                <w:szCs w:val="14"/>
                <w:lang w:val="es-ES"/>
              </w:rPr>
            </w:pPr>
            <w:r w:rsidRPr="002075D9">
              <w:rPr>
                <w:rFonts w:ascii="Lucida Bright" w:hAnsi="Lucida Bright" w:cs="Calibri"/>
                <w:b/>
                <w:bCs/>
                <w:sz w:val="14"/>
                <w:szCs w:val="14"/>
                <w:lang w:val="es-ES"/>
              </w:rPr>
              <w:t>Reclasificaciones</w:t>
            </w:r>
            <w:r w:rsidRPr="002075D9">
              <w:rPr>
                <w:rFonts w:ascii="Lucida Bright" w:hAnsi="Lucida Bright" w:cs="Calibri"/>
                <w:b/>
                <w:bCs/>
                <w:sz w:val="14"/>
                <w:szCs w:val="14"/>
                <w:lang w:val="es-ES"/>
              </w:rPr>
              <w:br/>
              <w:t>(+/-)</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2075D9" w:rsidRPr="002075D9" w:rsidRDefault="002075D9" w:rsidP="001E4C9E">
            <w:pPr>
              <w:jc w:val="center"/>
              <w:rPr>
                <w:rFonts w:ascii="Lucida Bright" w:hAnsi="Lucida Bright" w:cs="Calibri"/>
                <w:b/>
                <w:bCs/>
                <w:sz w:val="14"/>
                <w:szCs w:val="14"/>
                <w:lang w:val="es-ES"/>
              </w:rPr>
            </w:pPr>
            <w:r w:rsidRPr="002075D9">
              <w:rPr>
                <w:rFonts w:ascii="Lucida Bright" w:hAnsi="Lucida Bright" w:cs="Calibri"/>
                <w:b/>
                <w:bCs/>
                <w:sz w:val="14"/>
                <w:szCs w:val="14"/>
                <w:lang w:val="es-ES"/>
              </w:rPr>
              <w:t>Traspaso a / de inversiones inmobiliarias</w:t>
            </w:r>
            <w:r w:rsidRPr="002075D9">
              <w:rPr>
                <w:rFonts w:ascii="Lucida Bright" w:hAnsi="Lucida Bright" w:cs="Calibri"/>
                <w:b/>
                <w:bCs/>
                <w:sz w:val="14"/>
                <w:szCs w:val="14"/>
                <w:lang w:val="es-ES"/>
              </w:rPr>
              <w:br/>
              <w:t>(-/+)</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2075D9" w:rsidRPr="002075D9" w:rsidRDefault="002075D9" w:rsidP="001E4C9E">
            <w:pPr>
              <w:jc w:val="center"/>
              <w:rPr>
                <w:rFonts w:ascii="Lucida Bright" w:hAnsi="Lucida Bright" w:cs="Calibri"/>
                <w:b/>
                <w:bCs/>
                <w:sz w:val="14"/>
                <w:szCs w:val="14"/>
                <w:lang w:val="es-ES"/>
              </w:rPr>
            </w:pPr>
            <w:r w:rsidRPr="002075D9">
              <w:rPr>
                <w:rFonts w:ascii="Lucida Bright" w:hAnsi="Lucida Bright" w:cs="Calibri"/>
                <w:b/>
                <w:bCs/>
                <w:sz w:val="14"/>
                <w:szCs w:val="14"/>
                <w:lang w:val="es-ES"/>
              </w:rPr>
              <w:t>Traspaso a activo</w:t>
            </w:r>
            <w:r w:rsidRPr="002075D9">
              <w:rPr>
                <w:rFonts w:ascii="Lucida Bright" w:hAnsi="Lucida Bright" w:cs="Calibri"/>
                <w:b/>
                <w:bCs/>
                <w:sz w:val="14"/>
                <w:szCs w:val="14"/>
                <w:lang w:val="es-ES"/>
              </w:rPr>
              <w:br/>
              <w:t>no corriente mantenido</w:t>
            </w:r>
            <w:r w:rsidRPr="002075D9">
              <w:rPr>
                <w:rFonts w:ascii="Lucida Bright" w:hAnsi="Lucida Bright" w:cs="Calibri"/>
                <w:b/>
                <w:bCs/>
                <w:sz w:val="14"/>
                <w:szCs w:val="14"/>
                <w:lang w:val="es-ES"/>
              </w:rPr>
              <w:br/>
              <w:t>para la venta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2075D9" w:rsidRPr="002075D9" w:rsidRDefault="002075D9" w:rsidP="001E4C9E">
            <w:pPr>
              <w:jc w:val="center"/>
              <w:rPr>
                <w:rFonts w:ascii="Lucida Bright" w:hAnsi="Lucida Bright" w:cs="Calibri"/>
                <w:b/>
                <w:bCs/>
                <w:sz w:val="14"/>
                <w:szCs w:val="14"/>
                <w:lang w:val="es-ES"/>
              </w:rPr>
            </w:pPr>
            <w:r w:rsidRPr="002075D9">
              <w:rPr>
                <w:rFonts w:ascii="Lucida Bright" w:hAnsi="Lucida Bright" w:cs="Calibri"/>
                <w:b/>
                <w:bCs/>
                <w:sz w:val="14"/>
                <w:szCs w:val="14"/>
                <w:lang w:val="es-ES"/>
              </w:rPr>
              <w:t>Ajustes</w:t>
            </w:r>
            <w:r w:rsidRPr="002075D9">
              <w:rPr>
                <w:rFonts w:ascii="Lucida Bright" w:hAnsi="Lucida Bright" w:cs="Calibri"/>
                <w:b/>
                <w:bCs/>
                <w:sz w:val="14"/>
                <w:szCs w:val="14"/>
                <w:lang w:val="es-ES"/>
              </w:rPr>
              <w:br/>
              <w:t>contra</w:t>
            </w:r>
            <w:r w:rsidRPr="002075D9">
              <w:rPr>
                <w:rFonts w:ascii="Lucida Bright" w:hAnsi="Lucida Bright" w:cs="Calibri"/>
                <w:b/>
                <w:bCs/>
                <w:sz w:val="14"/>
                <w:szCs w:val="14"/>
                <w:lang w:val="es-ES"/>
              </w:rPr>
              <w:br/>
              <w:t>patrimonio (+/-)</w:t>
            </w:r>
          </w:p>
        </w:tc>
        <w:tc>
          <w:tcPr>
            <w:tcW w:w="1252"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2075D9" w:rsidRPr="002075D9" w:rsidRDefault="002075D9" w:rsidP="002075D9">
            <w:pPr>
              <w:jc w:val="center"/>
              <w:rPr>
                <w:rFonts w:ascii="Lucida Bright" w:hAnsi="Lucida Bright" w:cs="Calibri"/>
                <w:b/>
                <w:bCs/>
                <w:sz w:val="14"/>
                <w:szCs w:val="14"/>
                <w:lang w:val="es-ES"/>
              </w:rPr>
            </w:pPr>
            <w:r w:rsidRPr="002075D9">
              <w:rPr>
                <w:rFonts w:ascii="Lucida Bright" w:hAnsi="Lucida Bright" w:cs="Calibri"/>
                <w:b/>
                <w:bCs/>
                <w:sz w:val="14"/>
                <w:szCs w:val="14"/>
                <w:lang w:val="es-ES"/>
              </w:rPr>
              <w:t>Saldo a</w:t>
            </w:r>
            <w:r w:rsidRPr="002075D9">
              <w:rPr>
                <w:rFonts w:ascii="Lucida Bright" w:hAnsi="Lucida Bright" w:cs="Calibri"/>
                <w:b/>
                <w:bCs/>
                <w:sz w:val="14"/>
                <w:szCs w:val="14"/>
                <w:lang w:val="es-ES"/>
              </w:rPr>
              <w:br/>
            </w:r>
            <w:r w:rsidRPr="002075D9">
              <w:rPr>
                <w:rFonts w:ascii="Lucida Bright" w:hAnsi="Lucida Bright" w:cs="Calibri"/>
                <w:b/>
                <w:bCs/>
                <w:sz w:val="14"/>
                <w:szCs w:val="14"/>
                <w:lang w:val="es-ES"/>
              </w:rPr>
              <w:br/>
              <w:t>31-12-23</w:t>
            </w:r>
          </w:p>
        </w:tc>
      </w:tr>
      <w:tr w:rsidR="002075D9" w:rsidRPr="002075D9" w:rsidTr="001E4C9E">
        <w:trPr>
          <w:trHeight w:val="96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2075D9" w:rsidRPr="002075D9" w:rsidRDefault="002075D9" w:rsidP="002075D9">
            <w:pPr>
              <w:rPr>
                <w:rFonts w:ascii="Lucida Bright" w:hAnsi="Lucida Bright" w:cs="Calibri"/>
                <w:b/>
                <w:bCs/>
                <w:sz w:val="14"/>
                <w:szCs w:val="14"/>
                <w:lang w:val="es-ES"/>
              </w:rPr>
            </w:pPr>
          </w:p>
        </w:tc>
        <w:tc>
          <w:tcPr>
            <w:tcW w:w="0" w:type="auto"/>
            <w:vMerge/>
            <w:tcBorders>
              <w:top w:val="nil"/>
              <w:left w:val="single" w:sz="4" w:space="0" w:color="auto"/>
              <w:bottom w:val="single" w:sz="4" w:space="0" w:color="000000"/>
              <w:right w:val="single" w:sz="4" w:space="0" w:color="auto"/>
            </w:tcBorders>
            <w:vAlign w:val="center"/>
            <w:hideMark/>
          </w:tcPr>
          <w:p w:rsidR="002075D9" w:rsidRPr="002075D9" w:rsidRDefault="002075D9" w:rsidP="002075D9">
            <w:pPr>
              <w:rPr>
                <w:rFonts w:ascii="Lucida Bright" w:hAnsi="Lucida Bright" w:cs="Calibri"/>
                <w:b/>
                <w:bCs/>
                <w:sz w:val="14"/>
                <w:szCs w:val="14"/>
                <w:lang w:val="es-ES"/>
              </w:rPr>
            </w:pPr>
          </w:p>
        </w:tc>
        <w:tc>
          <w:tcPr>
            <w:tcW w:w="0" w:type="auto"/>
            <w:vMerge/>
            <w:tcBorders>
              <w:top w:val="nil"/>
              <w:left w:val="single" w:sz="4" w:space="0" w:color="auto"/>
              <w:bottom w:val="single" w:sz="4" w:space="0" w:color="000000"/>
              <w:right w:val="single" w:sz="4" w:space="0" w:color="auto"/>
            </w:tcBorders>
            <w:vAlign w:val="center"/>
            <w:hideMark/>
          </w:tcPr>
          <w:p w:rsidR="002075D9" w:rsidRPr="002075D9" w:rsidRDefault="002075D9" w:rsidP="002075D9">
            <w:pPr>
              <w:rPr>
                <w:rFonts w:ascii="Lucida Bright" w:hAnsi="Lucida Bright" w:cs="Calibri"/>
                <w:b/>
                <w:bCs/>
                <w:sz w:val="14"/>
                <w:szCs w:val="14"/>
                <w:lang w:val="es-ES"/>
              </w:rPr>
            </w:pPr>
          </w:p>
        </w:tc>
        <w:tc>
          <w:tcPr>
            <w:tcW w:w="0" w:type="auto"/>
            <w:tcBorders>
              <w:top w:val="nil"/>
              <w:left w:val="nil"/>
              <w:bottom w:val="single" w:sz="4" w:space="0" w:color="auto"/>
              <w:right w:val="single" w:sz="4" w:space="0" w:color="auto"/>
            </w:tcBorders>
            <w:shd w:val="clear" w:color="000000" w:fill="CCFFCC"/>
            <w:vAlign w:val="center"/>
            <w:hideMark/>
          </w:tcPr>
          <w:p w:rsidR="002075D9" w:rsidRPr="002075D9" w:rsidRDefault="002075D9" w:rsidP="001E4C9E">
            <w:pPr>
              <w:jc w:val="center"/>
              <w:rPr>
                <w:rFonts w:ascii="Lucida Bright" w:hAnsi="Lucida Bright" w:cs="Calibri"/>
                <w:b/>
                <w:bCs/>
                <w:sz w:val="14"/>
                <w:szCs w:val="14"/>
                <w:lang w:val="es-ES"/>
              </w:rPr>
            </w:pPr>
            <w:r w:rsidRPr="002075D9">
              <w:rPr>
                <w:rFonts w:ascii="Lucida Bright" w:hAnsi="Lucida Bright" w:cs="Calibri"/>
                <w:b/>
                <w:bCs/>
                <w:sz w:val="14"/>
                <w:szCs w:val="14"/>
                <w:lang w:val="es-ES"/>
              </w:rPr>
              <w:t>Ventas,</w:t>
            </w:r>
            <w:r w:rsidRPr="002075D9">
              <w:rPr>
                <w:rFonts w:ascii="Lucida Bright" w:hAnsi="Lucida Bright" w:cs="Calibri"/>
                <w:b/>
                <w:bCs/>
                <w:sz w:val="14"/>
                <w:szCs w:val="14"/>
                <w:lang w:val="es-ES"/>
              </w:rPr>
              <w:br/>
              <w:t>Retiros</w:t>
            </w:r>
            <w:r w:rsidRPr="002075D9">
              <w:rPr>
                <w:rFonts w:ascii="Lucida Bright" w:hAnsi="Lucida Bright" w:cs="Calibri"/>
                <w:b/>
                <w:bCs/>
                <w:sz w:val="14"/>
                <w:szCs w:val="14"/>
                <w:lang w:val="es-ES"/>
              </w:rPr>
              <w:br/>
              <w:t>y otras bajas</w:t>
            </w:r>
            <w:r w:rsidRPr="002075D9">
              <w:rPr>
                <w:rFonts w:ascii="Lucida Bright" w:hAnsi="Lucida Bright" w:cs="Calibri"/>
                <w:b/>
                <w:bCs/>
                <w:sz w:val="14"/>
                <w:szCs w:val="14"/>
                <w:lang w:val="es-ES"/>
              </w:rPr>
              <w:br/>
              <w:t>(-)</w:t>
            </w:r>
          </w:p>
        </w:tc>
        <w:tc>
          <w:tcPr>
            <w:tcW w:w="0" w:type="auto"/>
            <w:tcBorders>
              <w:top w:val="nil"/>
              <w:left w:val="nil"/>
              <w:bottom w:val="nil"/>
              <w:right w:val="single" w:sz="4" w:space="0" w:color="auto"/>
            </w:tcBorders>
            <w:shd w:val="clear" w:color="000000" w:fill="CCFFCC"/>
            <w:vAlign w:val="center"/>
            <w:hideMark/>
          </w:tcPr>
          <w:p w:rsidR="002075D9" w:rsidRPr="002075D9" w:rsidRDefault="002075D9" w:rsidP="001E4C9E">
            <w:pPr>
              <w:jc w:val="center"/>
              <w:rPr>
                <w:rFonts w:ascii="Lucida Bright" w:hAnsi="Lucida Bright" w:cs="Calibri"/>
                <w:b/>
                <w:bCs/>
                <w:sz w:val="14"/>
                <w:szCs w:val="14"/>
                <w:lang w:val="es-ES"/>
              </w:rPr>
            </w:pPr>
            <w:r w:rsidRPr="002075D9">
              <w:rPr>
                <w:rFonts w:ascii="Lucida Bright" w:hAnsi="Lucida Bright" w:cs="Calibri"/>
                <w:b/>
                <w:bCs/>
                <w:sz w:val="14"/>
                <w:szCs w:val="14"/>
                <w:lang w:val="es-ES"/>
              </w:rPr>
              <w:t>Elementos</w:t>
            </w:r>
            <w:r w:rsidRPr="002075D9">
              <w:rPr>
                <w:rFonts w:ascii="Lucida Bright" w:hAnsi="Lucida Bright" w:cs="Calibri"/>
                <w:b/>
                <w:bCs/>
                <w:sz w:val="14"/>
                <w:szCs w:val="14"/>
                <w:lang w:val="es-ES"/>
              </w:rPr>
              <w:br/>
              <w:t>subsumidos</w:t>
            </w:r>
            <w:r w:rsidRPr="002075D9">
              <w:rPr>
                <w:rFonts w:ascii="Lucida Bright" w:hAnsi="Lucida Bright" w:cs="Calibri"/>
                <w:b/>
                <w:bCs/>
                <w:sz w:val="14"/>
                <w:szCs w:val="14"/>
                <w:lang w:val="es-ES"/>
              </w:rPr>
              <w:br/>
              <w:t>(-)</w:t>
            </w:r>
          </w:p>
        </w:tc>
        <w:tc>
          <w:tcPr>
            <w:tcW w:w="0" w:type="auto"/>
            <w:tcBorders>
              <w:top w:val="nil"/>
              <w:left w:val="nil"/>
              <w:bottom w:val="nil"/>
              <w:right w:val="single" w:sz="4" w:space="0" w:color="auto"/>
            </w:tcBorders>
            <w:shd w:val="clear" w:color="000000" w:fill="CCFFCC"/>
            <w:vAlign w:val="center"/>
            <w:hideMark/>
          </w:tcPr>
          <w:p w:rsidR="002075D9" w:rsidRPr="002075D9" w:rsidRDefault="002075D9" w:rsidP="001E4C9E">
            <w:pPr>
              <w:jc w:val="center"/>
              <w:rPr>
                <w:rFonts w:ascii="Lucida Bright" w:hAnsi="Lucida Bright" w:cs="Calibri"/>
                <w:b/>
                <w:bCs/>
                <w:sz w:val="14"/>
                <w:szCs w:val="14"/>
                <w:lang w:val="es-ES"/>
              </w:rPr>
            </w:pPr>
            <w:r w:rsidRPr="002075D9">
              <w:rPr>
                <w:rFonts w:ascii="Lucida Bright" w:hAnsi="Lucida Bright" w:cs="Calibri"/>
                <w:b/>
                <w:bCs/>
                <w:sz w:val="14"/>
                <w:szCs w:val="14"/>
                <w:lang w:val="es-ES"/>
              </w:rPr>
              <w:t>Transferencias</w:t>
            </w:r>
            <w:r w:rsidRPr="002075D9">
              <w:rPr>
                <w:rFonts w:ascii="Lucida Bright" w:hAnsi="Lucida Bright" w:cs="Calibri"/>
                <w:b/>
                <w:bCs/>
                <w:sz w:val="14"/>
                <w:szCs w:val="14"/>
                <w:lang w:val="es-ES"/>
              </w:rPr>
              <w:br/>
              <w:t>a otros</w:t>
            </w:r>
            <w:r w:rsidRPr="002075D9">
              <w:rPr>
                <w:rFonts w:ascii="Lucida Bright" w:hAnsi="Lucida Bright" w:cs="Calibri"/>
                <w:b/>
                <w:bCs/>
                <w:sz w:val="14"/>
                <w:szCs w:val="14"/>
                <w:lang w:val="es-ES"/>
              </w:rPr>
              <w:br/>
              <w:t>Organismos</w:t>
            </w:r>
            <w:r w:rsidRPr="002075D9">
              <w:rPr>
                <w:rFonts w:ascii="Lucida Bright" w:hAnsi="Lucida Bright" w:cs="Calibri"/>
                <w:b/>
                <w:bCs/>
                <w:sz w:val="14"/>
                <w:szCs w:val="14"/>
                <w:lang w:val="es-ES"/>
              </w:rPr>
              <w:br/>
              <w:t>Públicos (-)</w:t>
            </w:r>
          </w:p>
        </w:tc>
        <w:tc>
          <w:tcPr>
            <w:tcW w:w="0" w:type="auto"/>
            <w:tcBorders>
              <w:top w:val="nil"/>
              <w:left w:val="nil"/>
              <w:bottom w:val="nil"/>
              <w:right w:val="single" w:sz="4" w:space="0" w:color="auto"/>
            </w:tcBorders>
            <w:shd w:val="clear" w:color="000000" w:fill="CCFFCC"/>
            <w:vAlign w:val="center"/>
            <w:hideMark/>
          </w:tcPr>
          <w:p w:rsidR="002075D9" w:rsidRPr="002075D9" w:rsidRDefault="002075D9" w:rsidP="001E4C9E">
            <w:pPr>
              <w:jc w:val="center"/>
              <w:rPr>
                <w:rFonts w:ascii="Lucida Bright" w:hAnsi="Lucida Bright" w:cs="Calibri"/>
                <w:b/>
                <w:bCs/>
                <w:sz w:val="14"/>
                <w:szCs w:val="14"/>
                <w:lang w:val="es-ES"/>
              </w:rPr>
            </w:pPr>
            <w:r w:rsidRPr="002075D9">
              <w:rPr>
                <w:rFonts w:ascii="Lucida Bright" w:hAnsi="Lucida Bright" w:cs="Calibri"/>
                <w:b/>
                <w:bCs/>
                <w:sz w:val="14"/>
                <w:szCs w:val="14"/>
                <w:lang w:val="es-ES"/>
              </w:rPr>
              <w:t>Inmovilizado</w:t>
            </w:r>
            <w:r w:rsidRPr="002075D9">
              <w:rPr>
                <w:rFonts w:ascii="Lucida Bright" w:hAnsi="Lucida Bright" w:cs="Calibri"/>
                <w:b/>
                <w:bCs/>
                <w:sz w:val="14"/>
                <w:szCs w:val="14"/>
                <w:lang w:val="es-ES"/>
              </w:rPr>
              <w:br/>
              <w:t>abierto al</w:t>
            </w:r>
            <w:r w:rsidRPr="002075D9">
              <w:rPr>
                <w:rFonts w:ascii="Lucida Bright" w:hAnsi="Lucida Bright" w:cs="Calibri"/>
                <w:b/>
                <w:bCs/>
                <w:sz w:val="14"/>
                <w:szCs w:val="14"/>
                <w:lang w:val="es-ES"/>
              </w:rPr>
              <w:br/>
              <w:t>uso general (-)</w:t>
            </w: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2075D9" w:rsidRPr="002075D9" w:rsidRDefault="002075D9" w:rsidP="002075D9">
            <w:pPr>
              <w:rPr>
                <w:rFonts w:ascii="Lucida Bright" w:hAnsi="Lucida Bright" w:cs="Calibri"/>
                <w:b/>
                <w:bCs/>
                <w:sz w:val="14"/>
                <w:szCs w:val="14"/>
                <w:lang w:val="es-E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075D9" w:rsidRPr="002075D9" w:rsidRDefault="002075D9" w:rsidP="002075D9">
            <w:pPr>
              <w:rPr>
                <w:rFonts w:ascii="Lucida Bright" w:hAnsi="Lucida Bright" w:cs="Calibri"/>
                <w:b/>
                <w:bCs/>
                <w:sz w:val="14"/>
                <w:szCs w:val="14"/>
                <w:lang w:val="es-E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075D9" w:rsidRPr="002075D9" w:rsidRDefault="002075D9" w:rsidP="002075D9">
            <w:pPr>
              <w:rPr>
                <w:rFonts w:ascii="Lucida Bright" w:hAnsi="Lucida Bright" w:cs="Calibri"/>
                <w:b/>
                <w:bCs/>
                <w:sz w:val="14"/>
                <w:szCs w:val="14"/>
                <w:lang w:val="es-E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075D9" w:rsidRPr="002075D9" w:rsidRDefault="002075D9" w:rsidP="002075D9">
            <w:pPr>
              <w:rPr>
                <w:rFonts w:ascii="Lucida Bright" w:hAnsi="Lucida Bright" w:cs="Calibri"/>
                <w:b/>
                <w:bCs/>
                <w:sz w:val="14"/>
                <w:szCs w:val="14"/>
                <w:lang w:val="es-ES"/>
              </w:rPr>
            </w:pPr>
          </w:p>
        </w:tc>
        <w:tc>
          <w:tcPr>
            <w:tcW w:w="1252" w:type="dxa"/>
            <w:vMerge/>
            <w:tcBorders>
              <w:top w:val="single" w:sz="4" w:space="0" w:color="auto"/>
              <w:left w:val="single" w:sz="4" w:space="0" w:color="auto"/>
              <w:bottom w:val="single" w:sz="4" w:space="0" w:color="000000"/>
              <w:right w:val="single" w:sz="4" w:space="0" w:color="auto"/>
            </w:tcBorders>
            <w:vAlign w:val="center"/>
            <w:hideMark/>
          </w:tcPr>
          <w:p w:rsidR="002075D9" w:rsidRPr="002075D9" w:rsidRDefault="002075D9" w:rsidP="002075D9">
            <w:pPr>
              <w:rPr>
                <w:rFonts w:ascii="Lucida Bright" w:hAnsi="Lucida Bright" w:cs="Calibri"/>
                <w:b/>
                <w:bCs/>
                <w:sz w:val="14"/>
                <w:szCs w:val="14"/>
                <w:lang w:val="es-ES"/>
              </w:rPr>
            </w:pPr>
          </w:p>
        </w:tc>
      </w:tr>
      <w:tr w:rsidR="002075D9" w:rsidRPr="002075D9" w:rsidTr="001E4C9E">
        <w:trPr>
          <w:trHeight w:val="210"/>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a) Terrenos y bienes naturales</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1252" w:type="dxa"/>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r>
      <w:tr w:rsidR="002075D9" w:rsidRPr="002075D9" w:rsidTr="001E4C9E">
        <w:trPr>
          <w:trHeight w:val="210"/>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b) Construcciones</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b/>
                <w:bCs/>
                <w:sz w:val="14"/>
                <w:szCs w:val="14"/>
                <w:lang w:val="es-ES"/>
              </w:rPr>
            </w:pPr>
            <w:r w:rsidRPr="002075D9">
              <w:rPr>
                <w:rFonts w:ascii="Lucida Bright" w:hAnsi="Lucida Bright" w:cs="Calibri"/>
                <w:b/>
                <w:bCs/>
                <w:sz w:val="14"/>
                <w:szCs w:val="14"/>
                <w:lang w:val="es-ES"/>
              </w:rPr>
              <w:t xml:space="preserve">330.562.558,22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b/>
                <w:bCs/>
                <w:sz w:val="14"/>
                <w:szCs w:val="14"/>
                <w:lang w:val="es-ES"/>
              </w:rPr>
            </w:pPr>
            <w:r w:rsidRPr="002075D9">
              <w:rPr>
                <w:rFonts w:ascii="Lucida Bright" w:hAnsi="Lucida Bright" w:cs="Calibri"/>
                <w:b/>
                <w:bCs/>
                <w:sz w:val="14"/>
                <w:szCs w:val="14"/>
                <w:lang w:val="es-ES"/>
              </w:rPr>
              <w:t xml:space="preserve">16.098.169,67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b/>
                <w:bCs/>
                <w:sz w:val="14"/>
                <w:szCs w:val="14"/>
                <w:lang w:val="es-ES"/>
              </w:rPr>
            </w:pPr>
            <w:r w:rsidRPr="002075D9">
              <w:rPr>
                <w:rFonts w:ascii="Lucida Bright" w:hAnsi="Lucida Bright" w:cs="Calibri"/>
                <w:b/>
                <w:bCs/>
                <w:sz w:val="14"/>
                <w:szCs w:val="14"/>
                <w:lang w:val="es-ES"/>
              </w:rPr>
              <w:t xml:space="preserve">(693.680,26)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b/>
                <w:bCs/>
                <w:sz w:val="14"/>
                <w:szCs w:val="14"/>
                <w:lang w:val="es-ES"/>
              </w:rPr>
            </w:pPr>
            <w:r w:rsidRPr="002075D9">
              <w:rPr>
                <w:rFonts w:ascii="Lucida Bright" w:hAnsi="Lucida Bright" w:cs="Calibri"/>
                <w:b/>
                <w:bCs/>
                <w:sz w:val="14"/>
                <w:szCs w:val="14"/>
                <w:lang w:val="es-ES"/>
              </w:rPr>
              <w:t xml:space="preserve">(1.977,49)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1252" w:type="dxa"/>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b/>
                <w:bCs/>
                <w:sz w:val="14"/>
                <w:szCs w:val="14"/>
                <w:lang w:val="es-ES"/>
              </w:rPr>
            </w:pPr>
            <w:r w:rsidRPr="002075D9">
              <w:rPr>
                <w:rFonts w:ascii="Lucida Bright" w:hAnsi="Lucida Bright" w:cs="Calibri"/>
                <w:b/>
                <w:bCs/>
                <w:sz w:val="14"/>
                <w:szCs w:val="14"/>
                <w:lang w:val="es-ES"/>
              </w:rPr>
              <w:t xml:space="preserve">345.965.070,14 </w:t>
            </w:r>
          </w:p>
        </w:tc>
      </w:tr>
      <w:tr w:rsidR="002075D9" w:rsidRPr="002075D9" w:rsidTr="001E4C9E">
        <w:trPr>
          <w:trHeight w:val="210"/>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xml:space="preserve">     Accesos marítimos</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7.292.450,38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380.722,20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0,02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1252" w:type="dxa"/>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7.673.172,60 </w:t>
            </w:r>
          </w:p>
        </w:tc>
      </w:tr>
      <w:tr w:rsidR="002075D9" w:rsidRPr="002075D9" w:rsidTr="001E4C9E">
        <w:trPr>
          <w:trHeight w:val="210"/>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xml:space="preserve">     Obras de abrigo y defensa</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46.672.994,56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788.227,50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(0,02)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1252" w:type="dxa"/>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47.461.222,04 </w:t>
            </w:r>
          </w:p>
        </w:tc>
      </w:tr>
      <w:tr w:rsidR="002075D9" w:rsidRPr="002075D9" w:rsidTr="001E4C9E">
        <w:trPr>
          <w:trHeight w:val="210"/>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xml:space="preserve">     Obras de atraque</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137.146.938,36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7.140.318,42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(82.967,57)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(1,34)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1252" w:type="dxa"/>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144.204.287,87 </w:t>
            </w:r>
          </w:p>
        </w:tc>
      </w:tr>
      <w:tr w:rsidR="002075D9" w:rsidRPr="002075D9" w:rsidTr="001E4C9E">
        <w:trPr>
          <w:trHeight w:val="210"/>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xml:space="preserve">     Instalaciones para reparación de barcos</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1252" w:type="dxa"/>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r>
      <w:tr w:rsidR="002075D9" w:rsidRPr="002075D9" w:rsidTr="001E4C9E">
        <w:trPr>
          <w:trHeight w:val="210"/>
        </w:trPr>
        <w:tc>
          <w:tcPr>
            <w:tcW w:w="0" w:type="auto"/>
            <w:tcBorders>
              <w:top w:val="nil"/>
              <w:left w:val="single" w:sz="4" w:space="0" w:color="auto"/>
              <w:bottom w:val="single" w:sz="4" w:space="0" w:color="auto"/>
              <w:right w:val="nil"/>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xml:space="preserve">     Edificaciones</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41.654.203,48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2.607.880,45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(189.513,83)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332,78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1252" w:type="dxa"/>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44.072.902,88 </w:t>
            </w:r>
          </w:p>
        </w:tc>
      </w:tr>
      <w:tr w:rsidR="002075D9" w:rsidRPr="002075D9" w:rsidTr="001E4C9E">
        <w:trPr>
          <w:trHeight w:val="210"/>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xml:space="preserve">     Instalaciones generales</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40.523.260,27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2.520.226,88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(361.894,69)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(2.990,02)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1252" w:type="dxa"/>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42.678.602,44 </w:t>
            </w:r>
          </w:p>
        </w:tc>
      </w:tr>
      <w:tr w:rsidR="002075D9" w:rsidRPr="002075D9" w:rsidTr="001E4C9E">
        <w:trPr>
          <w:trHeight w:val="210"/>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xml:space="preserve">     Pavimentos, calzadas y vías de circulación</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57.272.711,17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2.660.794,22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(59.304,17)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gridSpan w:val="2"/>
            <w:tcBorders>
              <w:top w:val="nil"/>
              <w:left w:val="nil"/>
              <w:bottom w:val="nil"/>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681,09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1252" w:type="dxa"/>
            <w:tcBorders>
              <w:top w:val="nil"/>
              <w:left w:val="nil"/>
              <w:bottom w:val="nil"/>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59.874.882,31 </w:t>
            </w:r>
          </w:p>
        </w:tc>
      </w:tr>
      <w:tr w:rsidR="002075D9" w:rsidRPr="002075D9" w:rsidTr="001E4C9E">
        <w:trPr>
          <w:trHeight w:val="210"/>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c) Equipamientos e instalaciones técnicas</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b/>
                <w:bCs/>
                <w:sz w:val="14"/>
                <w:szCs w:val="14"/>
                <w:lang w:val="es-ES"/>
              </w:rPr>
            </w:pPr>
            <w:r w:rsidRPr="002075D9">
              <w:rPr>
                <w:rFonts w:ascii="Lucida Bright" w:hAnsi="Lucida Bright" w:cs="Calibri"/>
                <w:b/>
                <w:bCs/>
                <w:sz w:val="14"/>
                <w:szCs w:val="14"/>
                <w:lang w:val="es-ES"/>
              </w:rPr>
              <w:t xml:space="preserve">20.933.675,75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b/>
                <w:bCs/>
                <w:sz w:val="14"/>
                <w:szCs w:val="14"/>
                <w:lang w:val="es-ES"/>
              </w:rPr>
            </w:pPr>
            <w:r w:rsidRPr="002075D9">
              <w:rPr>
                <w:rFonts w:ascii="Lucida Bright" w:hAnsi="Lucida Bright" w:cs="Calibri"/>
                <w:b/>
                <w:bCs/>
                <w:sz w:val="14"/>
                <w:szCs w:val="14"/>
                <w:lang w:val="es-ES"/>
              </w:rPr>
              <w:t xml:space="preserve">1.174.432,94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b/>
                <w:bCs/>
                <w:sz w:val="14"/>
                <w:szCs w:val="14"/>
                <w:lang w:val="es-ES"/>
              </w:rPr>
            </w:pPr>
            <w:r w:rsidRPr="002075D9">
              <w:rPr>
                <w:rFonts w:ascii="Lucida Bright" w:hAnsi="Lucida Bright" w:cs="Calibri"/>
                <w:b/>
                <w:bCs/>
                <w:sz w:val="14"/>
                <w:szCs w:val="14"/>
                <w:lang w:val="es-ES"/>
              </w:rPr>
              <w:t xml:space="preserve">(703.161,12)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gridSpan w:val="2"/>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b/>
                <w:bCs/>
                <w:sz w:val="14"/>
                <w:szCs w:val="14"/>
                <w:lang w:val="es-ES"/>
              </w:rPr>
            </w:pPr>
            <w:r w:rsidRPr="002075D9">
              <w:rPr>
                <w:rFonts w:ascii="Lucida Bright" w:hAnsi="Lucida Bright" w:cs="Calibri"/>
                <w:b/>
                <w:bCs/>
                <w:sz w:val="14"/>
                <w:szCs w:val="14"/>
                <w:lang w:val="es-ES"/>
              </w:rPr>
              <w:t xml:space="preserve">886,73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1252" w:type="dxa"/>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b/>
                <w:bCs/>
                <w:sz w:val="14"/>
                <w:szCs w:val="14"/>
                <w:lang w:val="es-ES"/>
              </w:rPr>
            </w:pPr>
            <w:r w:rsidRPr="002075D9">
              <w:rPr>
                <w:rFonts w:ascii="Lucida Bright" w:hAnsi="Lucida Bright" w:cs="Calibri"/>
                <w:b/>
                <w:bCs/>
                <w:sz w:val="14"/>
                <w:szCs w:val="14"/>
                <w:lang w:val="es-ES"/>
              </w:rPr>
              <w:t xml:space="preserve">21.405.834,30 </w:t>
            </w:r>
          </w:p>
        </w:tc>
      </w:tr>
      <w:tr w:rsidR="002075D9" w:rsidRPr="002075D9" w:rsidTr="001E4C9E">
        <w:trPr>
          <w:trHeight w:val="210"/>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xml:space="preserve">     Instalaciones de ayuda a la navegación</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5.710.412,00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157.473,40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(490.141,59)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891,35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1252" w:type="dxa"/>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5.378.635,16 </w:t>
            </w:r>
          </w:p>
        </w:tc>
      </w:tr>
      <w:tr w:rsidR="002075D9" w:rsidRPr="002075D9" w:rsidTr="001E4C9E">
        <w:trPr>
          <w:trHeight w:val="210"/>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xml:space="preserve">     Equipo de manipulación de </w:t>
            </w:r>
            <w:r w:rsidR="00DD448C" w:rsidRPr="002075D9">
              <w:rPr>
                <w:rFonts w:ascii="Lucida Bright" w:hAnsi="Lucida Bright" w:cs="Calibri"/>
                <w:sz w:val="14"/>
                <w:szCs w:val="14"/>
                <w:lang w:val="es-ES"/>
              </w:rPr>
              <w:t>mercancías</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13.888.146,33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988.853,41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(48.539,64)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(0,16)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1252" w:type="dxa"/>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14.828.459,94 </w:t>
            </w:r>
          </w:p>
        </w:tc>
      </w:tr>
      <w:tr w:rsidR="002075D9" w:rsidRPr="002075D9" w:rsidTr="001E4C9E">
        <w:trPr>
          <w:trHeight w:val="210"/>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xml:space="preserve">     Material flotante</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1.154.170,88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27.999,33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(150.464,94)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(4,52)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1252" w:type="dxa"/>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1.031.700,75 </w:t>
            </w:r>
          </w:p>
        </w:tc>
      </w:tr>
      <w:tr w:rsidR="002075D9" w:rsidRPr="002075D9" w:rsidTr="001E4C9E">
        <w:trPr>
          <w:trHeight w:val="210"/>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xml:space="preserve">     Material ferroviario</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1252" w:type="dxa"/>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r>
      <w:tr w:rsidR="002075D9" w:rsidRPr="002075D9" w:rsidTr="001E4C9E">
        <w:trPr>
          <w:trHeight w:val="210"/>
        </w:trPr>
        <w:tc>
          <w:tcPr>
            <w:tcW w:w="0" w:type="auto"/>
            <w:tcBorders>
              <w:top w:val="nil"/>
              <w:left w:val="single" w:sz="4" w:space="0" w:color="auto"/>
              <w:bottom w:val="single" w:sz="4" w:space="0" w:color="auto"/>
              <w:right w:val="nil"/>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xml:space="preserve">     Equipo de taller</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180.946,54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106,80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(14.014,95)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gridSpan w:val="2"/>
            <w:tcBorders>
              <w:top w:val="nil"/>
              <w:left w:val="nil"/>
              <w:bottom w:val="nil"/>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0,06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1252" w:type="dxa"/>
            <w:tcBorders>
              <w:top w:val="nil"/>
              <w:left w:val="nil"/>
              <w:bottom w:val="nil"/>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167.038,45 </w:t>
            </w:r>
          </w:p>
        </w:tc>
      </w:tr>
      <w:tr w:rsidR="002075D9" w:rsidRPr="002075D9" w:rsidTr="001E4C9E">
        <w:trPr>
          <w:trHeight w:val="210"/>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d) Otro inmovilizado</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b/>
                <w:bCs/>
                <w:sz w:val="14"/>
                <w:szCs w:val="14"/>
                <w:lang w:val="es-ES"/>
              </w:rPr>
            </w:pPr>
            <w:r w:rsidRPr="002075D9">
              <w:rPr>
                <w:rFonts w:ascii="Lucida Bright" w:hAnsi="Lucida Bright" w:cs="Calibri"/>
                <w:b/>
                <w:bCs/>
                <w:sz w:val="14"/>
                <w:szCs w:val="14"/>
                <w:lang w:val="es-ES"/>
              </w:rPr>
              <w:t xml:space="preserve">17.813.324,03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b/>
                <w:bCs/>
                <w:sz w:val="14"/>
                <w:szCs w:val="14"/>
                <w:lang w:val="es-ES"/>
              </w:rPr>
            </w:pPr>
            <w:r w:rsidRPr="002075D9">
              <w:rPr>
                <w:rFonts w:ascii="Lucida Bright" w:hAnsi="Lucida Bright" w:cs="Calibri"/>
                <w:b/>
                <w:bCs/>
                <w:sz w:val="14"/>
                <w:szCs w:val="14"/>
                <w:lang w:val="es-ES"/>
              </w:rPr>
              <w:t xml:space="preserve">1.023.882,15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b/>
                <w:bCs/>
                <w:sz w:val="14"/>
                <w:szCs w:val="14"/>
                <w:lang w:val="es-ES"/>
              </w:rPr>
            </w:pPr>
            <w:r w:rsidRPr="002075D9">
              <w:rPr>
                <w:rFonts w:ascii="Lucida Bright" w:hAnsi="Lucida Bright" w:cs="Calibri"/>
                <w:b/>
                <w:bCs/>
                <w:sz w:val="14"/>
                <w:szCs w:val="14"/>
                <w:lang w:val="es-ES"/>
              </w:rPr>
              <w:t xml:space="preserve">(2.426.078,93)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gridSpan w:val="2"/>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b/>
                <w:bCs/>
                <w:sz w:val="14"/>
                <w:szCs w:val="14"/>
                <w:lang w:val="es-ES"/>
              </w:rPr>
            </w:pPr>
            <w:r w:rsidRPr="002075D9">
              <w:rPr>
                <w:rFonts w:ascii="Lucida Bright" w:hAnsi="Lucida Bright" w:cs="Calibri"/>
                <w:b/>
                <w:bCs/>
                <w:sz w:val="14"/>
                <w:szCs w:val="14"/>
                <w:lang w:val="es-ES"/>
              </w:rPr>
              <w:t xml:space="preserve">(3,04)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1252" w:type="dxa"/>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b/>
                <w:bCs/>
                <w:sz w:val="14"/>
                <w:szCs w:val="14"/>
                <w:lang w:val="es-ES"/>
              </w:rPr>
            </w:pPr>
            <w:r w:rsidRPr="002075D9">
              <w:rPr>
                <w:rFonts w:ascii="Lucida Bright" w:hAnsi="Lucida Bright" w:cs="Calibri"/>
                <w:b/>
                <w:bCs/>
                <w:sz w:val="14"/>
                <w:szCs w:val="14"/>
                <w:lang w:val="es-ES"/>
              </w:rPr>
              <w:t xml:space="preserve">16.411.124,21 </w:t>
            </w:r>
          </w:p>
        </w:tc>
      </w:tr>
      <w:tr w:rsidR="002075D9" w:rsidRPr="002075D9" w:rsidTr="001E4C9E">
        <w:trPr>
          <w:trHeight w:val="210"/>
        </w:trPr>
        <w:tc>
          <w:tcPr>
            <w:tcW w:w="0" w:type="auto"/>
            <w:tcBorders>
              <w:top w:val="nil"/>
              <w:left w:val="single" w:sz="4" w:space="0" w:color="auto"/>
              <w:bottom w:val="single" w:sz="4" w:space="0" w:color="auto"/>
              <w:right w:val="nil"/>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xml:space="preserve">     Mobiliario</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2.718.645,46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25.220,02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(140.001,47)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(0,07)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1252" w:type="dxa"/>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2.603.863,94 </w:t>
            </w:r>
          </w:p>
        </w:tc>
      </w:tr>
      <w:tr w:rsidR="002075D9" w:rsidRPr="002075D9" w:rsidTr="001E4C9E">
        <w:trPr>
          <w:trHeight w:val="210"/>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xml:space="preserve">     Equipos de proceso de información</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2.538.354,36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271.425,76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(229.120,44)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(1,02)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1252" w:type="dxa"/>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2.580.658,66 </w:t>
            </w:r>
          </w:p>
        </w:tc>
      </w:tr>
      <w:tr w:rsidR="002075D9" w:rsidRPr="002075D9" w:rsidTr="001E4C9E">
        <w:trPr>
          <w:trHeight w:val="210"/>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xml:space="preserve">     Elementos de transporte</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2.624.194,51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301.998,06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gridSpan w:val="2"/>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(0,72)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1252" w:type="dxa"/>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2.926.191,85 </w:t>
            </w:r>
          </w:p>
        </w:tc>
      </w:tr>
      <w:tr w:rsidR="002075D9" w:rsidRPr="002075D9" w:rsidTr="001E4C9E">
        <w:trPr>
          <w:trHeight w:val="210"/>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xml:space="preserve">     Otro inmovilizado material</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9.932.129,70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425.238,31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(2.056.957,02)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gridSpan w:val="2"/>
            <w:tcBorders>
              <w:top w:val="nil"/>
              <w:left w:val="nil"/>
              <w:bottom w:val="nil"/>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(1,23)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000000" w:fill="FFFFFF"/>
            <w:noWrap/>
            <w:vAlign w:val="center"/>
            <w:hideMark/>
          </w:tcPr>
          <w:p w:rsidR="002075D9" w:rsidRPr="002075D9" w:rsidRDefault="002075D9" w:rsidP="002075D9">
            <w:pPr>
              <w:rPr>
                <w:rFonts w:ascii="Lucida Bright" w:hAnsi="Lucida Bright" w:cs="Calibri"/>
                <w:sz w:val="14"/>
                <w:szCs w:val="14"/>
                <w:lang w:val="es-ES"/>
              </w:rPr>
            </w:pPr>
            <w:r w:rsidRPr="002075D9">
              <w:rPr>
                <w:rFonts w:ascii="Lucida Bright" w:hAnsi="Lucida Bright" w:cs="Calibri"/>
                <w:sz w:val="14"/>
                <w:szCs w:val="14"/>
                <w:lang w:val="es-ES"/>
              </w:rPr>
              <w:t> </w:t>
            </w:r>
          </w:p>
        </w:tc>
        <w:tc>
          <w:tcPr>
            <w:tcW w:w="1252" w:type="dxa"/>
            <w:tcBorders>
              <w:top w:val="nil"/>
              <w:left w:val="nil"/>
              <w:bottom w:val="nil"/>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sz w:val="14"/>
                <w:szCs w:val="14"/>
                <w:lang w:val="es-ES"/>
              </w:rPr>
            </w:pPr>
            <w:r w:rsidRPr="002075D9">
              <w:rPr>
                <w:rFonts w:ascii="Lucida Bright" w:hAnsi="Lucida Bright" w:cs="Calibri"/>
                <w:sz w:val="14"/>
                <w:szCs w:val="14"/>
                <w:lang w:val="es-ES"/>
              </w:rPr>
              <w:t xml:space="preserve">8.300.409,76 </w:t>
            </w:r>
          </w:p>
        </w:tc>
      </w:tr>
      <w:tr w:rsidR="002075D9" w:rsidRPr="002075D9" w:rsidTr="001E4C9E">
        <w:trPr>
          <w:trHeight w:val="210"/>
        </w:trPr>
        <w:tc>
          <w:tcPr>
            <w:tcW w:w="0" w:type="auto"/>
            <w:tcBorders>
              <w:top w:val="nil"/>
              <w:left w:val="single" w:sz="4" w:space="0" w:color="auto"/>
              <w:bottom w:val="single" w:sz="4" w:space="0" w:color="auto"/>
              <w:right w:val="nil"/>
            </w:tcBorders>
            <w:shd w:val="clear" w:color="000000" w:fill="FFFFFF"/>
            <w:noWrap/>
            <w:vAlign w:val="center"/>
            <w:hideMark/>
          </w:tcPr>
          <w:p w:rsidR="002075D9" w:rsidRPr="002075D9" w:rsidRDefault="002075D9" w:rsidP="002075D9">
            <w:pPr>
              <w:jc w:val="center"/>
              <w:rPr>
                <w:rFonts w:ascii="Lucida Bright" w:hAnsi="Lucida Bright" w:cs="Calibri"/>
                <w:b/>
                <w:bCs/>
                <w:sz w:val="14"/>
                <w:szCs w:val="14"/>
                <w:lang w:val="es-ES"/>
              </w:rPr>
            </w:pPr>
            <w:r w:rsidRPr="002075D9">
              <w:rPr>
                <w:rFonts w:ascii="Lucida Bright" w:hAnsi="Lucida Bright" w:cs="Calibri"/>
                <w:b/>
                <w:bCs/>
                <w:sz w:val="14"/>
                <w:szCs w:val="14"/>
                <w:lang w:val="es-ES"/>
              </w:rPr>
              <w:t>TOTAL</w:t>
            </w:r>
          </w:p>
        </w:tc>
        <w:tc>
          <w:tcPr>
            <w:tcW w:w="0" w:type="auto"/>
            <w:tcBorders>
              <w:top w:val="nil"/>
              <w:left w:val="nil"/>
              <w:bottom w:val="single" w:sz="4" w:space="0" w:color="auto"/>
              <w:right w:val="single" w:sz="4" w:space="0" w:color="auto"/>
            </w:tcBorders>
            <w:shd w:val="clear" w:color="000000" w:fill="FFFFFF"/>
            <w:noWrap/>
            <w:vAlign w:val="center"/>
            <w:hideMark/>
          </w:tcPr>
          <w:p w:rsidR="002075D9" w:rsidRPr="002075D9" w:rsidRDefault="002075D9" w:rsidP="002075D9">
            <w:pPr>
              <w:jc w:val="center"/>
              <w:rPr>
                <w:rFonts w:ascii="Lucida Bright" w:hAnsi="Lucida Bright" w:cs="Calibri"/>
                <w:b/>
                <w:bCs/>
                <w:sz w:val="14"/>
                <w:szCs w:val="14"/>
                <w:lang w:val="es-ES"/>
              </w:rPr>
            </w:pPr>
            <w:r w:rsidRPr="002075D9">
              <w:rPr>
                <w:rFonts w:ascii="Lucida Bright" w:hAnsi="Lucida Bright" w:cs="Calibri"/>
                <w:b/>
                <w:bCs/>
                <w:sz w:val="14"/>
                <w:szCs w:val="14"/>
                <w:lang w:val="es-ES"/>
              </w:rPr>
              <w:t>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b/>
                <w:bCs/>
                <w:sz w:val="14"/>
                <w:szCs w:val="14"/>
                <w:lang w:val="es-ES"/>
              </w:rPr>
            </w:pPr>
            <w:r w:rsidRPr="002075D9">
              <w:rPr>
                <w:rFonts w:ascii="Lucida Bright" w:hAnsi="Lucida Bright" w:cs="Calibri"/>
                <w:b/>
                <w:bCs/>
                <w:sz w:val="14"/>
                <w:szCs w:val="14"/>
                <w:lang w:val="es-ES"/>
              </w:rPr>
              <w:t xml:space="preserve">369.309.558,00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b/>
                <w:bCs/>
                <w:sz w:val="14"/>
                <w:szCs w:val="14"/>
                <w:lang w:val="es-ES"/>
              </w:rPr>
            </w:pPr>
            <w:r w:rsidRPr="002075D9">
              <w:rPr>
                <w:rFonts w:ascii="Lucida Bright" w:hAnsi="Lucida Bright" w:cs="Calibri"/>
                <w:b/>
                <w:bCs/>
                <w:sz w:val="14"/>
                <w:szCs w:val="14"/>
                <w:lang w:val="es-ES"/>
              </w:rPr>
              <w:t xml:space="preserve">18.296.484,76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b/>
                <w:bCs/>
                <w:sz w:val="14"/>
                <w:szCs w:val="14"/>
                <w:lang w:val="es-ES"/>
              </w:rPr>
            </w:pPr>
            <w:r w:rsidRPr="002075D9">
              <w:rPr>
                <w:rFonts w:ascii="Lucida Bright" w:hAnsi="Lucida Bright" w:cs="Calibri"/>
                <w:b/>
                <w:bCs/>
                <w:sz w:val="14"/>
                <w:szCs w:val="14"/>
                <w:lang w:val="es-ES"/>
              </w:rPr>
              <w:t xml:space="preserve">(3.822.920,31)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gridSpan w:val="2"/>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b/>
                <w:bCs/>
                <w:sz w:val="14"/>
                <w:szCs w:val="14"/>
                <w:lang w:val="es-ES"/>
              </w:rPr>
            </w:pPr>
            <w:r w:rsidRPr="002075D9">
              <w:rPr>
                <w:rFonts w:ascii="Lucida Bright" w:hAnsi="Lucida Bright" w:cs="Calibri"/>
                <w:b/>
                <w:bCs/>
                <w:sz w:val="14"/>
                <w:szCs w:val="14"/>
                <w:lang w:val="es-ES"/>
              </w:rPr>
              <w:t xml:space="preserve">(1.093,80)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rPr>
                <w:rFonts w:ascii="Lucida Bright" w:hAnsi="Lucida Bright" w:cs="Calibri"/>
                <w:b/>
                <w:bCs/>
                <w:sz w:val="14"/>
                <w:szCs w:val="14"/>
                <w:lang w:val="es-ES"/>
              </w:rPr>
            </w:pPr>
            <w:r w:rsidRPr="002075D9">
              <w:rPr>
                <w:rFonts w:ascii="Lucida Bright" w:hAnsi="Lucida Bright" w:cs="Calibri"/>
                <w:b/>
                <w:bCs/>
                <w:sz w:val="14"/>
                <w:szCs w:val="14"/>
                <w:lang w:val="es-ES"/>
              </w:rPr>
              <w:t xml:space="preserve">- </w:t>
            </w:r>
          </w:p>
        </w:tc>
        <w:tc>
          <w:tcPr>
            <w:tcW w:w="1252" w:type="dxa"/>
            <w:tcBorders>
              <w:top w:val="single" w:sz="4" w:space="0" w:color="auto"/>
              <w:left w:val="nil"/>
              <w:bottom w:val="single" w:sz="4" w:space="0" w:color="auto"/>
              <w:right w:val="single" w:sz="4" w:space="0" w:color="auto"/>
            </w:tcBorders>
            <w:shd w:val="clear" w:color="000000" w:fill="FFFFFF"/>
            <w:noWrap/>
            <w:vAlign w:val="center"/>
            <w:hideMark/>
          </w:tcPr>
          <w:p w:rsidR="002075D9" w:rsidRPr="002075D9" w:rsidRDefault="002075D9" w:rsidP="002075D9">
            <w:pPr>
              <w:jc w:val="right"/>
              <w:rPr>
                <w:rFonts w:ascii="Lucida Bright" w:hAnsi="Lucida Bright" w:cs="Calibri"/>
                <w:b/>
                <w:bCs/>
                <w:sz w:val="14"/>
                <w:szCs w:val="14"/>
                <w:lang w:val="es-ES"/>
              </w:rPr>
            </w:pPr>
            <w:r w:rsidRPr="002075D9">
              <w:rPr>
                <w:rFonts w:ascii="Lucida Bright" w:hAnsi="Lucida Bright" w:cs="Calibri"/>
                <w:b/>
                <w:bCs/>
                <w:sz w:val="14"/>
                <w:szCs w:val="14"/>
                <w:lang w:val="es-ES"/>
              </w:rPr>
              <w:t xml:space="preserve">383.782.028,65 </w:t>
            </w:r>
          </w:p>
        </w:tc>
      </w:tr>
    </w:tbl>
    <w:p w:rsidR="00462607" w:rsidRDefault="00462607" w:rsidP="00462607">
      <w:pPr>
        <w:shd w:val="clear" w:color="auto" w:fill="FFFFFF"/>
        <w:ind w:right="1108"/>
        <w:rPr>
          <w:rFonts w:ascii="Lucida Bright" w:eastAsia="Lucida Bright" w:hAnsi="Lucida Bright" w:cs="Lucida Bright"/>
          <w:color w:val="000000"/>
          <w:sz w:val="15"/>
          <w:highlight w:val="white"/>
        </w:rPr>
        <w:sectPr w:rsidR="00462607" w:rsidSect="00855D01">
          <w:pgSz w:w="16840" w:h="11907" w:orient="landscape" w:code="9"/>
          <w:pgMar w:top="1985" w:right="1701" w:bottom="1418" w:left="1701" w:header="567" w:footer="641" w:gutter="0"/>
          <w:cols w:space="720"/>
          <w:docGrid w:linePitch="272"/>
        </w:sectPr>
      </w:pPr>
    </w:p>
    <w:p w:rsidR="00B9194A" w:rsidRDefault="00B9194A" w:rsidP="004E5856">
      <w:pPr>
        <w:shd w:val="clear" w:color="auto" w:fill="FFFFFF"/>
        <w:ind w:left="12" w:right="1108"/>
        <w:rPr>
          <w:rFonts w:ascii="Lucida Bright" w:eastAsia="Lucida Bright" w:hAnsi="Lucida Bright" w:cs="Lucida Bright"/>
          <w:color w:val="000000"/>
          <w:sz w:val="15"/>
          <w:highlight w:val="white"/>
        </w:rPr>
      </w:pPr>
    </w:p>
    <w:tbl>
      <w:tblPr>
        <w:tblW w:w="5000" w:type="pct"/>
        <w:tblCellMar>
          <w:left w:w="70" w:type="dxa"/>
          <w:right w:w="70" w:type="dxa"/>
        </w:tblCellMar>
        <w:tblLook w:val="04A0" w:firstRow="1" w:lastRow="0" w:firstColumn="1" w:lastColumn="0" w:noHBand="0" w:noVBand="1"/>
      </w:tblPr>
      <w:tblGrid>
        <w:gridCol w:w="3091"/>
        <w:gridCol w:w="183"/>
        <w:gridCol w:w="1728"/>
        <w:gridCol w:w="1310"/>
        <w:gridCol w:w="1312"/>
        <w:gridCol w:w="1483"/>
        <w:gridCol w:w="1158"/>
        <w:gridCol w:w="1158"/>
        <w:gridCol w:w="920"/>
        <w:gridCol w:w="1235"/>
      </w:tblGrid>
      <w:tr w:rsidR="00FE5DBD" w:rsidRPr="00FE5DBD" w:rsidTr="00FE5DBD">
        <w:trPr>
          <w:trHeight w:val="300"/>
        </w:trPr>
        <w:tc>
          <w:tcPr>
            <w:tcW w:w="1840" w:type="pct"/>
            <w:gridSpan w:val="3"/>
            <w:tcBorders>
              <w:top w:val="nil"/>
              <w:left w:val="nil"/>
              <w:bottom w:val="nil"/>
              <w:right w:val="nil"/>
            </w:tcBorders>
            <w:shd w:val="clear" w:color="auto" w:fill="auto"/>
            <w:noWrap/>
            <w:vAlign w:val="bottom"/>
            <w:hideMark/>
          </w:tcPr>
          <w:p w:rsidR="00FE5DBD" w:rsidRPr="00FE5DBD" w:rsidRDefault="00FE5DBD" w:rsidP="00FE5DBD">
            <w:pPr>
              <w:rPr>
                <w:rFonts w:ascii="Lucida Bright" w:hAnsi="Lucida Bright" w:cs="Calibri"/>
                <w:b/>
                <w:bCs/>
                <w:color w:val="000000"/>
                <w:sz w:val="18"/>
                <w:szCs w:val="18"/>
                <w:lang w:val="es-ES"/>
              </w:rPr>
            </w:pPr>
            <w:r w:rsidRPr="00FE5DBD">
              <w:rPr>
                <w:rFonts w:ascii="Lucida Bright" w:hAnsi="Lucida Bright" w:cs="Calibri"/>
                <w:b/>
                <w:bCs/>
                <w:color w:val="000000"/>
                <w:sz w:val="18"/>
                <w:szCs w:val="18"/>
                <w:lang w:val="es-ES"/>
              </w:rPr>
              <w:t>CUADRO: INMOVILIZADO MATERIAL 2022</w:t>
            </w:r>
          </w:p>
        </w:tc>
        <w:tc>
          <w:tcPr>
            <w:tcW w:w="483" w:type="pct"/>
            <w:tcBorders>
              <w:top w:val="nil"/>
              <w:left w:val="nil"/>
              <w:bottom w:val="nil"/>
              <w:right w:val="nil"/>
            </w:tcBorders>
            <w:shd w:val="clear" w:color="auto" w:fill="auto"/>
            <w:noWrap/>
            <w:vAlign w:val="bottom"/>
            <w:hideMark/>
          </w:tcPr>
          <w:p w:rsidR="00FE5DBD" w:rsidRPr="00FE5DBD" w:rsidRDefault="00FE5DBD" w:rsidP="00FE5DBD">
            <w:pPr>
              <w:rPr>
                <w:rFonts w:ascii="Lucida Bright" w:hAnsi="Lucida Bright" w:cs="Calibri"/>
                <w:color w:val="000000"/>
                <w:sz w:val="18"/>
                <w:szCs w:val="18"/>
                <w:lang w:val="es-ES"/>
              </w:rPr>
            </w:pPr>
          </w:p>
        </w:tc>
        <w:tc>
          <w:tcPr>
            <w:tcW w:w="483" w:type="pct"/>
            <w:tcBorders>
              <w:top w:val="nil"/>
              <w:left w:val="nil"/>
              <w:bottom w:val="nil"/>
              <w:right w:val="nil"/>
            </w:tcBorders>
            <w:shd w:val="clear" w:color="auto" w:fill="auto"/>
            <w:noWrap/>
            <w:vAlign w:val="bottom"/>
            <w:hideMark/>
          </w:tcPr>
          <w:p w:rsidR="00FE5DBD" w:rsidRPr="00FE5DBD" w:rsidRDefault="00FE5DBD" w:rsidP="00FE5DBD">
            <w:pPr>
              <w:rPr>
                <w:rFonts w:ascii="Lucida Bright" w:hAnsi="Lucida Bright" w:cs="Calibri"/>
                <w:color w:val="000000"/>
                <w:sz w:val="18"/>
                <w:szCs w:val="18"/>
                <w:lang w:val="es-ES"/>
              </w:rPr>
            </w:pPr>
          </w:p>
        </w:tc>
        <w:tc>
          <w:tcPr>
            <w:tcW w:w="547" w:type="pct"/>
            <w:tcBorders>
              <w:top w:val="nil"/>
              <w:left w:val="nil"/>
              <w:bottom w:val="nil"/>
              <w:right w:val="nil"/>
            </w:tcBorders>
            <w:shd w:val="clear" w:color="auto" w:fill="auto"/>
            <w:noWrap/>
            <w:vAlign w:val="bottom"/>
            <w:hideMark/>
          </w:tcPr>
          <w:p w:rsidR="00FE5DBD" w:rsidRPr="00FE5DBD" w:rsidRDefault="00FE5DBD" w:rsidP="00FE5DBD">
            <w:pPr>
              <w:rPr>
                <w:rFonts w:ascii="Lucida Bright" w:hAnsi="Lucida Bright" w:cs="Calibri"/>
                <w:color w:val="000000"/>
                <w:sz w:val="18"/>
                <w:szCs w:val="18"/>
                <w:lang w:val="es-ES"/>
              </w:rPr>
            </w:pPr>
          </w:p>
        </w:tc>
        <w:tc>
          <w:tcPr>
            <w:tcW w:w="427" w:type="pct"/>
            <w:tcBorders>
              <w:top w:val="nil"/>
              <w:left w:val="nil"/>
              <w:bottom w:val="nil"/>
              <w:right w:val="nil"/>
            </w:tcBorders>
            <w:shd w:val="clear" w:color="auto" w:fill="auto"/>
            <w:noWrap/>
            <w:vAlign w:val="bottom"/>
            <w:hideMark/>
          </w:tcPr>
          <w:p w:rsidR="00FE5DBD" w:rsidRPr="00FE5DBD" w:rsidRDefault="00FE5DBD" w:rsidP="00FE5DBD">
            <w:pPr>
              <w:rPr>
                <w:rFonts w:ascii="Lucida Bright" w:hAnsi="Lucida Bright" w:cs="Calibri"/>
                <w:color w:val="000000"/>
                <w:sz w:val="18"/>
                <w:szCs w:val="18"/>
                <w:lang w:val="es-ES"/>
              </w:rPr>
            </w:pPr>
          </w:p>
        </w:tc>
        <w:tc>
          <w:tcPr>
            <w:tcW w:w="427" w:type="pct"/>
            <w:tcBorders>
              <w:top w:val="nil"/>
              <w:left w:val="nil"/>
              <w:bottom w:val="nil"/>
              <w:right w:val="nil"/>
            </w:tcBorders>
            <w:shd w:val="clear" w:color="auto" w:fill="auto"/>
            <w:noWrap/>
            <w:vAlign w:val="bottom"/>
            <w:hideMark/>
          </w:tcPr>
          <w:p w:rsidR="00FE5DBD" w:rsidRPr="00FE5DBD" w:rsidRDefault="00FE5DBD" w:rsidP="00FE5DBD">
            <w:pPr>
              <w:rPr>
                <w:rFonts w:ascii="Lucida Bright" w:hAnsi="Lucida Bright" w:cs="Calibri"/>
                <w:color w:val="000000"/>
                <w:sz w:val="18"/>
                <w:szCs w:val="18"/>
                <w:lang w:val="es-ES"/>
              </w:rPr>
            </w:pPr>
          </w:p>
        </w:tc>
        <w:tc>
          <w:tcPr>
            <w:tcW w:w="336" w:type="pct"/>
            <w:tcBorders>
              <w:top w:val="nil"/>
              <w:left w:val="nil"/>
              <w:bottom w:val="nil"/>
              <w:right w:val="nil"/>
            </w:tcBorders>
            <w:shd w:val="clear" w:color="auto" w:fill="auto"/>
            <w:noWrap/>
            <w:vAlign w:val="bottom"/>
            <w:hideMark/>
          </w:tcPr>
          <w:p w:rsidR="00FE5DBD" w:rsidRPr="00FE5DBD" w:rsidRDefault="00FE5DBD" w:rsidP="00FE5DBD">
            <w:pPr>
              <w:rPr>
                <w:rFonts w:ascii="Lucida Bright" w:hAnsi="Lucida Bright" w:cs="Calibri"/>
                <w:color w:val="000000"/>
                <w:sz w:val="18"/>
                <w:szCs w:val="18"/>
                <w:lang w:val="es-ES"/>
              </w:rPr>
            </w:pPr>
          </w:p>
        </w:tc>
        <w:tc>
          <w:tcPr>
            <w:tcW w:w="455" w:type="pct"/>
            <w:tcBorders>
              <w:top w:val="nil"/>
              <w:left w:val="nil"/>
              <w:bottom w:val="nil"/>
              <w:right w:val="nil"/>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(en euros)</w:t>
            </w:r>
          </w:p>
        </w:tc>
      </w:tr>
      <w:tr w:rsidR="00FE5DBD" w:rsidRPr="00FE5DBD" w:rsidTr="00FE5DBD">
        <w:trPr>
          <w:trHeight w:val="630"/>
        </w:trPr>
        <w:tc>
          <w:tcPr>
            <w:tcW w:w="1203" w:type="pct"/>
            <w:gridSpan w:val="2"/>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FE5DBD" w:rsidRPr="00FE5DBD" w:rsidRDefault="00FE5DBD" w:rsidP="00FE5DBD">
            <w:pPr>
              <w:jc w:val="cente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CONCEPTO</w:t>
            </w:r>
          </w:p>
        </w:tc>
        <w:tc>
          <w:tcPr>
            <w:tcW w:w="637" w:type="pct"/>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FE5DBD" w:rsidRPr="00FE5DBD" w:rsidRDefault="00FE5DBD" w:rsidP="00FE5DBD">
            <w:pPr>
              <w:jc w:val="cente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Saldo a</w:t>
            </w:r>
            <w:r w:rsidRPr="00FE5DBD">
              <w:rPr>
                <w:rFonts w:ascii="Lucida Bright" w:hAnsi="Lucida Bright" w:cs="Calibri"/>
                <w:b/>
                <w:bCs/>
                <w:color w:val="000000"/>
                <w:sz w:val="14"/>
                <w:szCs w:val="14"/>
                <w:lang w:val="es-ES"/>
              </w:rPr>
              <w:br/>
              <w:t>31-12-21</w:t>
            </w:r>
          </w:p>
        </w:tc>
        <w:tc>
          <w:tcPr>
            <w:tcW w:w="967" w:type="pct"/>
            <w:gridSpan w:val="2"/>
            <w:tcBorders>
              <w:top w:val="single" w:sz="4" w:space="0" w:color="auto"/>
              <w:left w:val="nil"/>
              <w:bottom w:val="single" w:sz="4" w:space="0" w:color="auto"/>
              <w:right w:val="single" w:sz="4" w:space="0" w:color="auto"/>
            </w:tcBorders>
            <w:shd w:val="clear" w:color="000000" w:fill="CCFFCC"/>
            <w:noWrap/>
            <w:vAlign w:val="center"/>
            <w:hideMark/>
          </w:tcPr>
          <w:p w:rsidR="00FE5DBD" w:rsidRPr="00FE5DBD" w:rsidRDefault="00FE5DBD" w:rsidP="00FE5DBD">
            <w:pPr>
              <w:jc w:val="cente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Variaciones del ejercicio</w:t>
            </w:r>
          </w:p>
        </w:tc>
        <w:tc>
          <w:tcPr>
            <w:tcW w:w="547" w:type="pct"/>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FE5DBD" w:rsidRPr="00FE5DBD" w:rsidRDefault="00FE5DBD" w:rsidP="00FE5DBD">
            <w:pPr>
              <w:jc w:val="cente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Reclasificaciones</w:t>
            </w:r>
            <w:r w:rsidRPr="00FE5DBD">
              <w:rPr>
                <w:rFonts w:ascii="Lucida Bright" w:hAnsi="Lucida Bright" w:cs="Calibri"/>
                <w:b/>
                <w:bCs/>
                <w:color w:val="000000"/>
                <w:sz w:val="14"/>
                <w:szCs w:val="14"/>
                <w:lang w:val="es-ES"/>
              </w:rPr>
              <w:br/>
              <w:t>(+/-)</w:t>
            </w:r>
          </w:p>
        </w:tc>
        <w:tc>
          <w:tcPr>
            <w:tcW w:w="427" w:type="pct"/>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FE5DBD" w:rsidRPr="00FE5DBD" w:rsidRDefault="00FE5DBD" w:rsidP="00FE5DBD">
            <w:pPr>
              <w:jc w:val="cente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Traspaso a / de inversiones inmobiliarias (-/+)</w:t>
            </w:r>
          </w:p>
        </w:tc>
        <w:tc>
          <w:tcPr>
            <w:tcW w:w="427" w:type="pct"/>
            <w:vMerge w:val="restart"/>
            <w:tcBorders>
              <w:top w:val="single" w:sz="4" w:space="0" w:color="auto"/>
              <w:left w:val="single" w:sz="4" w:space="0" w:color="auto"/>
              <w:bottom w:val="single" w:sz="4" w:space="0" w:color="auto"/>
              <w:right w:val="single" w:sz="4" w:space="0" w:color="auto"/>
            </w:tcBorders>
            <w:shd w:val="clear" w:color="000000" w:fill="CCFFCC"/>
            <w:vAlign w:val="bottom"/>
            <w:hideMark/>
          </w:tcPr>
          <w:p w:rsidR="00FE5DBD" w:rsidRPr="00FE5DBD" w:rsidRDefault="00FE5DBD" w:rsidP="00FE5DBD">
            <w:pPr>
              <w:jc w:val="cente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Traspaso a activo</w:t>
            </w:r>
            <w:r w:rsidRPr="00FE5DBD">
              <w:rPr>
                <w:rFonts w:ascii="Lucida Bright" w:hAnsi="Lucida Bright" w:cs="Calibri"/>
                <w:b/>
                <w:bCs/>
                <w:color w:val="000000"/>
                <w:sz w:val="14"/>
                <w:szCs w:val="14"/>
                <w:lang w:val="es-ES"/>
              </w:rPr>
              <w:br/>
              <w:t>no corriente mantenido para</w:t>
            </w:r>
            <w:r w:rsidRPr="00FE5DBD">
              <w:rPr>
                <w:rFonts w:ascii="Lucida Bright" w:hAnsi="Lucida Bright" w:cs="Calibri"/>
                <w:b/>
                <w:bCs/>
                <w:color w:val="000000"/>
                <w:sz w:val="14"/>
                <w:szCs w:val="14"/>
                <w:lang w:val="es-ES"/>
              </w:rPr>
              <w:br/>
              <w:t>la venta (-)</w:t>
            </w:r>
          </w:p>
        </w:tc>
        <w:tc>
          <w:tcPr>
            <w:tcW w:w="336" w:type="pct"/>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FE5DBD" w:rsidRPr="00FE5DBD" w:rsidRDefault="00FE5DBD" w:rsidP="00FE5DBD">
            <w:pPr>
              <w:jc w:val="cente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Ajustes contra patrimonio (+/-)</w:t>
            </w:r>
          </w:p>
        </w:tc>
        <w:tc>
          <w:tcPr>
            <w:tcW w:w="455" w:type="pct"/>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FE5DBD" w:rsidRPr="00FE5DBD" w:rsidRDefault="00FE5DBD" w:rsidP="00FE5DBD">
            <w:pPr>
              <w:jc w:val="cente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Saldo a</w:t>
            </w:r>
            <w:r w:rsidRPr="00FE5DBD">
              <w:rPr>
                <w:rFonts w:ascii="Lucida Bright" w:hAnsi="Lucida Bright" w:cs="Calibri"/>
                <w:b/>
                <w:bCs/>
                <w:color w:val="000000"/>
                <w:sz w:val="14"/>
                <w:szCs w:val="14"/>
                <w:lang w:val="es-ES"/>
              </w:rPr>
              <w:br/>
              <w:t>31-12-22</w:t>
            </w:r>
          </w:p>
        </w:tc>
      </w:tr>
      <w:tr w:rsidR="00FE5DBD" w:rsidRPr="00FE5DBD" w:rsidTr="00FE5DBD">
        <w:trPr>
          <w:trHeight w:val="300"/>
        </w:trPr>
        <w:tc>
          <w:tcPr>
            <w:tcW w:w="1203" w:type="pct"/>
            <w:gridSpan w:val="2"/>
            <w:vMerge/>
            <w:tcBorders>
              <w:top w:val="single" w:sz="4" w:space="0" w:color="auto"/>
              <w:left w:val="single" w:sz="4" w:space="0" w:color="auto"/>
              <w:bottom w:val="single" w:sz="4" w:space="0" w:color="auto"/>
              <w:right w:val="single" w:sz="4" w:space="0" w:color="auto"/>
            </w:tcBorders>
            <w:vAlign w:val="center"/>
            <w:hideMark/>
          </w:tcPr>
          <w:p w:rsidR="00FE5DBD" w:rsidRPr="00FE5DBD" w:rsidRDefault="00FE5DBD" w:rsidP="00FE5DBD">
            <w:pPr>
              <w:rPr>
                <w:rFonts w:ascii="Lucida Bright" w:hAnsi="Lucida Bright" w:cs="Calibri"/>
                <w:b/>
                <w:bCs/>
                <w:color w:val="000000"/>
                <w:sz w:val="14"/>
                <w:szCs w:val="14"/>
                <w:lang w:val="es-ES"/>
              </w:rPr>
            </w:pPr>
          </w:p>
        </w:tc>
        <w:tc>
          <w:tcPr>
            <w:tcW w:w="637" w:type="pct"/>
            <w:vMerge/>
            <w:tcBorders>
              <w:top w:val="single" w:sz="4" w:space="0" w:color="auto"/>
              <w:left w:val="single" w:sz="4" w:space="0" w:color="auto"/>
              <w:bottom w:val="single" w:sz="4" w:space="0" w:color="auto"/>
              <w:right w:val="single" w:sz="4" w:space="0" w:color="auto"/>
            </w:tcBorders>
            <w:vAlign w:val="center"/>
            <w:hideMark/>
          </w:tcPr>
          <w:p w:rsidR="00FE5DBD" w:rsidRPr="00FE5DBD" w:rsidRDefault="00FE5DBD" w:rsidP="00FE5DBD">
            <w:pPr>
              <w:rPr>
                <w:rFonts w:ascii="Lucida Bright" w:hAnsi="Lucida Bright" w:cs="Calibri"/>
                <w:b/>
                <w:bCs/>
                <w:color w:val="000000"/>
                <w:sz w:val="14"/>
                <w:szCs w:val="14"/>
                <w:lang w:val="es-ES"/>
              </w:rPr>
            </w:pPr>
          </w:p>
        </w:tc>
        <w:tc>
          <w:tcPr>
            <w:tcW w:w="483" w:type="pct"/>
            <w:tcBorders>
              <w:top w:val="nil"/>
              <w:left w:val="nil"/>
              <w:bottom w:val="single" w:sz="4" w:space="0" w:color="auto"/>
              <w:right w:val="single" w:sz="4" w:space="0" w:color="auto"/>
            </w:tcBorders>
            <w:shd w:val="clear" w:color="000000" w:fill="CCFFCC"/>
            <w:noWrap/>
            <w:vAlign w:val="bottom"/>
            <w:hideMark/>
          </w:tcPr>
          <w:p w:rsidR="00FE5DBD" w:rsidRPr="00FE5DBD" w:rsidRDefault="00FE5DBD" w:rsidP="00FE5DBD">
            <w:pPr>
              <w:jc w:val="cente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Altas (+)</w:t>
            </w:r>
          </w:p>
        </w:tc>
        <w:tc>
          <w:tcPr>
            <w:tcW w:w="483" w:type="pct"/>
            <w:tcBorders>
              <w:top w:val="nil"/>
              <w:left w:val="nil"/>
              <w:bottom w:val="single" w:sz="4" w:space="0" w:color="auto"/>
              <w:right w:val="single" w:sz="4" w:space="0" w:color="auto"/>
            </w:tcBorders>
            <w:shd w:val="clear" w:color="000000" w:fill="CCFFCC"/>
            <w:noWrap/>
            <w:vAlign w:val="bottom"/>
            <w:hideMark/>
          </w:tcPr>
          <w:p w:rsidR="00FE5DBD" w:rsidRPr="00FE5DBD" w:rsidRDefault="00FE5DBD" w:rsidP="00FE5DBD">
            <w:pPr>
              <w:jc w:val="cente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Bajas (-)</w:t>
            </w:r>
          </w:p>
        </w:tc>
        <w:tc>
          <w:tcPr>
            <w:tcW w:w="547" w:type="pct"/>
            <w:vMerge/>
            <w:tcBorders>
              <w:top w:val="single" w:sz="4" w:space="0" w:color="auto"/>
              <w:left w:val="single" w:sz="4" w:space="0" w:color="auto"/>
              <w:bottom w:val="single" w:sz="4" w:space="0" w:color="auto"/>
              <w:right w:val="single" w:sz="4" w:space="0" w:color="auto"/>
            </w:tcBorders>
            <w:vAlign w:val="center"/>
            <w:hideMark/>
          </w:tcPr>
          <w:p w:rsidR="00FE5DBD" w:rsidRPr="00FE5DBD" w:rsidRDefault="00FE5DBD" w:rsidP="00FE5DBD">
            <w:pPr>
              <w:rPr>
                <w:rFonts w:ascii="Lucida Bright" w:hAnsi="Lucida Bright" w:cs="Calibri"/>
                <w:b/>
                <w:bCs/>
                <w:color w:val="000000"/>
                <w:sz w:val="14"/>
                <w:szCs w:val="14"/>
                <w:lang w:val="es-ES"/>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FE5DBD" w:rsidRPr="00FE5DBD" w:rsidRDefault="00FE5DBD" w:rsidP="00FE5DBD">
            <w:pPr>
              <w:rPr>
                <w:rFonts w:ascii="Lucida Bright" w:hAnsi="Lucida Bright" w:cs="Calibri"/>
                <w:b/>
                <w:bCs/>
                <w:color w:val="000000"/>
                <w:sz w:val="14"/>
                <w:szCs w:val="14"/>
                <w:lang w:val="es-ES"/>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FE5DBD" w:rsidRPr="00FE5DBD" w:rsidRDefault="00FE5DBD" w:rsidP="00FE5DBD">
            <w:pPr>
              <w:rPr>
                <w:rFonts w:ascii="Lucida Bright" w:hAnsi="Lucida Bright" w:cs="Calibri"/>
                <w:b/>
                <w:bCs/>
                <w:color w:val="000000"/>
                <w:sz w:val="14"/>
                <w:szCs w:val="14"/>
                <w:lang w:val="es-ES"/>
              </w:rPr>
            </w:pP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FE5DBD" w:rsidRPr="00FE5DBD" w:rsidRDefault="00FE5DBD" w:rsidP="00FE5DBD">
            <w:pPr>
              <w:rPr>
                <w:rFonts w:ascii="Lucida Bright" w:hAnsi="Lucida Bright" w:cs="Calibri"/>
                <w:b/>
                <w:bCs/>
                <w:color w:val="000000"/>
                <w:sz w:val="14"/>
                <w:szCs w:val="14"/>
                <w:lang w:val="es-ES"/>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rsidR="00FE5DBD" w:rsidRPr="00FE5DBD" w:rsidRDefault="00FE5DBD" w:rsidP="00FE5DBD">
            <w:pPr>
              <w:rPr>
                <w:rFonts w:ascii="Lucida Bright" w:hAnsi="Lucida Bright" w:cs="Calibri"/>
                <w:b/>
                <w:bCs/>
                <w:color w:val="000000"/>
                <w:sz w:val="14"/>
                <w:szCs w:val="14"/>
                <w:lang w:val="es-ES"/>
              </w:rPr>
            </w:pPr>
          </w:p>
        </w:tc>
      </w:tr>
      <w:tr w:rsidR="00FE5DBD" w:rsidRPr="00FE5DBD" w:rsidTr="00FE5DBD">
        <w:trPr>
          <w:trHeight w:val="210"/>
        </w:trPr>
        <w:tc>
          <w:tcPr>
            <w:tcW w:w="120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b/>
                <w:bCs/>
                <w:sz w:val="14"/>
                <w:szCs w:val="14"/>
                <w:lang w:val="es-ES"/>
              </w:rPr>
            </w:pPr>
            <w:r w:rsidRPr="00FE5DBD">
              <w:rPr>
                <w:rFonts w:ascii="Lucida Bright" w:hAnsi="Lucida Bright" w:cs="Calibri"/>
                <w:b/>
                <w:bCs/>
                <w:sz w:val="14"/>
                <w:szCs w:val="14"/>
                <w:lang w:val="es-ES"/>
              </w:rPr>
              <w:t xml:space="preserve"> a) Terrenos y bienes naturales</w:t>
            </w:r>
          </w:p>
        </w:tc>
        <w:tc>
          <w:tcPr>
            <w:tcW w:w="63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77.085.886,48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13.354,02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(61.584,00) </w:t>
            </w:r>
          </w:p>
        </w:tc>
        <w:tc>
          <w:tcPr>
            <w:tcW w:w="54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336"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455"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77.037.656,50 </w:t>
            </w:r>
          </w:p>
        </w:tc>
      </w:tr>
      <w:tr w:rsidR="00FE5DBD" w:rsidRPr="00FE5DBD" w:rsidTr="00FE5DBD">
        <w:trPr>
          <w:trHeight w:val="210"/>
        </w:trPr>
        <w:tc>
          <w:tcPr>
            <w:tcW w:w="120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b/>
                <w:bCs/>
                <w:sz w:val="14"/>
                <w:szCs w:val="14"/>
                <w:lang w:val="es-ES"/>
              </w:rPr>
            </w:pPr>
            <w:r w:rsidRPr="00FE5DBD">
              <w:rPr>
                <w:rFonts w:ascii="Lucida Bright" w:hAnsi="Lucida Bright" w:cs="Calibri"/>
                <w:b/>
                <w:bCs/>
                <w:sz w:val="14"/>
                <w:szCs w:val="14"/>
                <w:lang w:val="es-ES"/>
              </w:rPr>
              <w:t xml:space="preserve"> b) Construcciones</w:t>
            </w:r>
          </w:p>
        </w:tc>
        <w:tc>
          <w:tcPr>
            <w:tcW w:w="63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561.423.256,37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14.694.536,26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54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336"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455"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576.117.792,63 </w:t>
            </w:r>
          </w:p>
        </w:tc>
      </w:tr>
      <w:tr w:rsidR="00FE5DBD" w:rsidRPr="00FE5DBD" w:rsidTr="00FE5DBD">
        <w:trPr>
          <w:trHeight w:val="210"/>
        </w:trPr>
        <w:tc>
          <w:tcPr>
            <w:tcW w:w="120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Accesos marítimos</w:t>
            </w:r>
          </w:p>
        </w:tc>
        <w:tc>
          <w:tcPr>
            <w:tcW w:w="63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19.404.546,66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321.107,12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54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336"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55"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19.725.653,78 </w:t>
            </w:r>
          </w:p>
        </w:tc>
      </w:tr>
      <w:tr w:rsidR="00FE5DBD" w:rsidRPr="00FE5DBD" w:rsidTr="00FE5DBD">
        <w:trPr>
          <w:trHeight w:val="210"/>
        </w:trPr>
        <w:tc>
          <w:tcPr>
            <w:tcW w:w="120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Obras de abrigo y defensa</w:t>
            </w:r>
          </w:p>
        </w:tc>
        <w:tc>
          <w:tcPr>
            <w:tcW w:w="63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68.457.260,90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97.161,55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54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336"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55"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68.554.422,45 </w:t>
            </w:r>
          </w:p>
        </w:tc>
      </w:tr>
      <w:tr w:rsidR="00FE5DBD" w:rsidRPr="00FE5DBD" w:rsidTr="00FE5DBD">
        <w:trPr>
          <w:trHeight w:val="210"/>
        </w:trPr>
        <w:tc>
          <w:tcPr>
            <w:tcW w:w="120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Obras de atraque</w:t>
            </w:r>
          </w:p>
        </w:tc>
        <w:tc>
          <w:tcPr>
            <w:tcW w:w="63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246.459.999,25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4.703.464,52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54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336"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55"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251.163.463,77 </w:t>
            </w:r>
          </w:p>
        </w:tc>
      </w:tr>
      <w:tr w:rsidR="00FE5DBD" w:rsidRPr="00FE5DBD" w:rsidTr="00FE5DBD">
        <w:trPr>
          <w:trHeight w:val="210"/>
        </w:trPr>
        <w:tc>
          <w:tcPr>
            <w:tcW w:w="120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Instalaciones para reparación de barcos</w:t>
            </w:r>
          </w:p>
        </w:tc>
        <w:tc>
          <w:tcPr>
            <w:tcW w:w="63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54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336"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55"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r>
      <w:tr w:rsidR="00FE5DBD" w:rsidRPr="00FE5DBD" w:rsidTr="00FE5DBD">
        <w:trPr>
          <w:trHeight w:val="210"/>
        </w:trPr>
        <w:tc>
          <w:tcPr>
            <w:tcW w:w="120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Edificaciones</w:t>
            </w:r>
          </w:p>
        </w:tc>
        <w:tc>
          <w:tcPr>
            <w:tcW w:w="63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100.170.436,34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500.222,26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54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336"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55"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100.670.658,60 </w:t>
            </w:r>
          </w:p>
        </w:tc>
      </w:tr>
      <w:tr w:rsidR="00FE5DBD" w:rsidRPr="00FE5DBD" w:rsidTr="00FE5DBD">
        <w:trPr>
          <w:trHeight w:val="210"/>
        </w:trPr>
        <w:tc>
          <w:tcPr>
            <w:tcW w:w="120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Instalaciones generales</w:t>
            </w:r>
          </w:p>
        </w:tc>
        <w:tc>
          <w:tcPr>
            <w:tcW w:w="63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56.267.583,98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3.016.365,42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54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336"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55"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59.283.949,40 </w:t>
            </w:r>
          </w:p>
        </w:tc>
      </w:tr>
      <w:tr w:rsidR="00FE5DBD" w:rsidRPr="00FE5DBD" w:rsidTr="00FE5DBD">
        <w:trPr>
          <w:trHeight w:val="210"/>
        </w:trPr>
        <w:tc>
          <w:tcPr>
            <w:tcW w:w="120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Pavimentos, calzadas y vías de circulación</w:t>
            </w:r>
          </w:p>
        </w:tc>
        <w:tc>
          <w:tcPr>
            <w:tcW w:w="63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70.663.429,24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6.056.215,39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54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336"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55"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76.719.644,63 </w:t>
            </w:r>
          </w:p>
        </w:tc>
      </w:tr>
      <w:tr w:rsidR="00FE5DBD" w:rsidRPr="00FE5DBD" w:rsidTr="00FE5DBD">
        <w:trPr>
          <w:trHeight w:val="210"/>
        </w:trPr>
        <w:tc>
          <w:tcPr>
            <w:tcW w:w="120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b/>
                <w:bCs/>
                <w:sz w:val="14"/>
                <w:szCs w:val="14"/>
                <w:lang w:val="es-ES"/>
              </w:rPr>
            </w:pPr>
            <w:r w:rsidRPr="00FE5DBD">
              <w:rPr>
                <w:rFonts w:ascii="Lucida Bright" w:hAnsi="Lucida Bright" w:cs="Calibri"/>
                <w:b/>
                <w:bCs/>
                <w:sz w:val="14"/>
                <w:szCs w:val="14"/>
                <w:lang w:val="es-ES"/>
              </w:rPr>
              <w:t xml:space="preserve"> c) Equipamientos e instalaciones técnicas</w:t>
            </w:r>
          </w:p>
        </w:tc>
        <w:tc>
          <w:tcPr>
            <w:tcW w:w="63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29.279.877,66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209.728,99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54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336"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455"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29.489.606,65 </w:t>
            </w:r>
          </w:p>
        </w:tc>
      </w:tr>
      <w:tr w:rsidR="00FE5DBD" w:rsidRPr="00FE5DBD" w:rsidTr="00FE5DBD">
        <w:trPr>
          <w:trHeight w:val="210"/>
        </w:trPr>
        <w:tc>
          <w:tcPr>
            <w:tcW w:w="120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Instalaciones de ayuda a la navegación</w:t>
            </w:r>
          </w:p>
        </w:tc>
        <w:tc>
          <w:tcPr>
            <w:tcW w:w="63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5.975.371,01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209.728,99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54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336"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55"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6.185.100,00 </w:t>
            </w:r>
          </w:p>
        </w:tc>
      </w:tr>
      <w:tr w:rsidR="00FE5DBD" w:rsidRPr="00FE5DBD" w:rsidTr="00FE5DBD">
        <w:trPr>
          <w:trHeight w:val="210"/>
        </w:trPr>
        <w:tc>
          <w:tcPr>
            <w:tcW w:w="120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Equipos de manipulación de </w:t>
            </w:r>
            <w:proofErr w:type="spellStart"/>
            <w:r w:rsidRPr="00FE5DBD">
              <w:rPr>
                <w:rFonts w:ascii="Lucida Bright" w:hAnsi="Lucida Bright" w:cs="Calibri"/>
                <w:sz w:val="14"/>
                <w:szCs w:val="14"/>
                <w:lang w:val="es-ES"/>
              </w:rPr>
              <w:t>mercancias</w:t>
            </w:r>
            <w:proofErr w:type="spellEnd"/>
          </w:p>
        </w:tc>
        <w:tc>
          <w:tcPr>
            <w:tcW w:w="63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21.803.965,39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54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336"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55"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21.803.965,39 </w:t>
            </w:r>
          </w:p>
        </w:tc>
      </w:tr>
      <w:tr w:rsidR="00FE5DBD" w:rsidRPr="00FE5DBD" w:rsidTr="00FE5DBD">
        <w:trPr>
          <w:trHeight w:val="210"/>
        </w:trPr>
        <w:tc>
          <w:tcPr>
            <w:tcW w:w="120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Material flotante</w:t>
            </w:r>
          </w:p>
        </w:tc>
        <w:tc>
          <w:tcPr>
            <w:tcW w:w="63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1.318.595,34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54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336"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55"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1.318.595,34 </w:t>
            </w:r>
          </w:p>
        </w:tc>
      </w:tr>
      <w:tr w:rsidR="00FE5DBD" w:rsidRPr="00FE5DBD" w:rsidTr="00FE5DBD">
        <w:trPr>
          <w:trHeight w:val="210"/>
        </w:trPr>
        <w:tc>
          <w:tcPr>
            <w:tcW w:w="120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Material ferroviario</w:t>
            </w:r>
          </w:p>
        </w:tc>
        <w:tc>
          <w:tcPr>
            <w:tcW w:w="63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54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336"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55"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r>
      <w:tr w:rsidR="00FE5DBD" w:rsidRPr="00FE5DBD" w:rsidTr="00FE5DBD">
        <w:trPr>
          <w:trHeight w:val="210"/>
        </w:trPr>
        <w:tc>
          <w:tcPr>
            <w:tcW w:w="120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Equipo de taller</w:t>
            </w:r>
          </w:p>
        </w:tc>
        <w:tc>
          <w:tcPr>
            <w:tcW w:w="63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181.945,92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54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336"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55"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181.945,92 </w:t>
            </w:r>
          </w:p>
        </w:tc>
      </w:tr>
      <w:tr w:rsidR="00FE5DBD" w:rsidRPr="00FE5DBD" w:rsidTr="00FE5DBD">
        <w:trPr>
          <w:trHeight w:val="210"/>
        </w:trPr>
        <w:tc>
          <w:tcPr>
            <w:tcW w:w="120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b/>
                <w:bCs/>
                <w:sz w:val="14"/>
                <w:szCs w:val="14"/>
                <w:lang w:val="es-ES"/>
              </w:rPr>
            </w:pPr>
            <w:r w:rsidRPr="00FE5DBD">
              <w:rPr>
                <w:rFonts w:ascii="Lucida Bright" w:hAnsi="Lucida Bright" w:cs="Calibri"/>
                <w:b/>
                <w:bCs/>
                <w:sz w:val="14"/>
                <w:szCs w:val="14"/>
                <w:lang w:val="es-ES"/>
              </w:rPr>
              <w:t xml:space="preserve"> d) Otro inmovilizado</w:t>
            </w:r>
          </w:p>
        </w:tc>
        <w:tc>
          <w:tcPr>
            <w:tcW w:w="63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19.394.062,03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548.087,09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54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336"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455"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19.942.149,12 </w:t>
            </w:r>
          </w:p>
        </w:tc>
      </w:tr>
      <w:tr w:rsidR="00FE5DBD" w:rsidRPr="00FE5DBD" w:rsidTr="00FE5DBD">
        <w:trPr>
          <w:trHeight w:val="210"/>
        </w:trPr>
        <w:tc>
          <w:tcPr>
            <w:tcW w:w="120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Mobiliario</w:t>
            </w:r>
          </w:p>
        </w:tc>
        <w:tc>
          <w:tcPr>
            <w:tcW w:w="63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2.781.841,32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11.390,41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54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336"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55"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2.793.231,73 </w:t>
            </w:r>
          </w:p>
        </w:tc>
      </w:tr>
      <w:tr w:rsidR="00FE5DBD" w:rsidRPr="00FE5DBD" w:rsidTr="00FE5DBD">
        <w:trPr>
          <w:trHeight w:val="210"/>
        </w:trPr>
        <w:tc>
          <w:tcPr>
            <w:tcW w:w="120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Equipos para proceso de información</w:t>
            </w:r>
          </w:p>
        </w:tc>
        <w:tc>
          <w:tcPr>
            <w:tcW w:w="63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2.997.919,10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273.205,48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54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336"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55"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3.271.124,58 </w:t>
            </w:r>
          </w:p>
        </w:tc>
      </w:tr>
      <w:tr w:rsidR="00FE5DBD" w:rsidRPr="00FE5DBD" w:rsidTr="00FE5DBD">
        <w:trPr>
          <w:trHeight w:val="210"/>
        </w:trPr>
        <w:tc>
          <w:tcPr>
            <w:tcW w:w="120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Elementos de transporte</w:t>
            </w:r>
          </w:p>
        </w:tc>
        <w:tc>
          <w:tcPr>
            <w:tcW w:w="63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2.979.283,34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129.243,45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54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336"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55"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3.108.526,79 </w:t>
            </w:r>
          </w:p>
        </w:tc>
      </w:tr>
      <w:tr w:rsidR="00FE5DBD" w:rsidRPr="00FE5DBD" w:rsidTr="00FE5DBD">
        <w:trPr>
          <w:trHeight w:val="210"/>
        </w:trPr>
        <w:tc>
          <w:tcPr>
            <w:tcW w:w="1139" w:type="pct"/>
            <w:tcBorders>
              <w:top w:val="nil"/>
              <w:left w:val="single" w:sz="4" w:space="0" w:color="auto"/>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Otro inmovilizado material</w:t>
            </w:r>
          </w:p>
        </w:tc>
        <w:tc>
          <w:tcPr>
            <w:tcW w:w="64"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63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10.635.018,27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134.247,75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54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336"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w:t>
            </w:r>
          </w:p>
        </w:tc>
        <w:tc>
          <w:tcPr>
            <w:tcW w:w="455"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color w:val="000000"/>
                <w:sz w:val="14"/>
                <w:szCs w:val="14"/>
                <w:lang w:val="es-ES"/>
              </w:rPr>
            </w:pPr>
            <w:r w:rsidRPr="00FE5DBD">
              <w:rPr>
                <w:rFonts w:ascii="Lucida Bright" w:hAnsi="Lucida Bright" w:cs="Calibri"/>
                <w:color w:val="000000"/>
                <w:sz w:val="14"/>
                <w:szCs w:val="14"/>
                <w:lang w:val="es-ES"/>
              </w:rPr>
              <w:t xml:space="preserve">10.769.266,02 </w:t>
            </w:r>
          </w:p>
        </w:tc>
      </w:tr>
      <w:tr w:rsidR="00FE5DBD" w:rsidRPr="00FE5DBD" w:rsidTr="00FE5DBD">
        <w:trPr>
          <w:trHeight w:val="210"/>
        </w:trPr>
        <w:tc>
          <w:tcPr>
            <w:tcW w:w="120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jc w:val="center"/>
              <w:rPr>
                <w:rFonts w:ascii="Lucida Bright" w:hAnsi="Lucida Bright" w:cs="Calibri"/>
                <w:b/>
                <w:bCs/>
                <w:sz w:val="14"/>
                <w:szCs w:val="14"/>
                <w:lang w:val="es-ES"/>
              </w:rPr>
            </w:pPr>
            <w:r w:rsidRPr="00FE5DBD">
              <w:rPr>
                <w:rFonts w:ascii="Lucida Bright" w:hAnsi="Lucida Bright" w:cs="Calibri"/>
                <w:b/>
                <w:bCs/>
                <w:sz w:val="14"/>
                <w:szCs w:val="14"/>
                <w:lang w:val="es-ES"/>
              </w:rPr>
              <w:t>TOTAL INMOVILIZADO MATERIAL</w:t>
            </w:r>
          </w:p>
        </w:tc>
        <w:tc>
          <w:tcPr>
            <w:tcW w:w="63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687.183.082,54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15.465.706,36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(61.584,00) </w:t>
            </w:r>
          </w:p>
        </w:tc>
        <w:tc>
          <w:tcPr>
            <w:tcW w:w="54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336"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455"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702.587.204,90 </w:t>
            </w:r>
          </w:p>
        </w:tc>
      </w:tr>
      <w:tr w:rsidR="00FE5DBD" w:rsidRPr="00FE5DBD" w:rsidTr="00FE5DBD">
        <w:trPr>
          <w:trHeight w:val="210"/>
        </w:trPr>
        <w:tc>
          <w:tcPr>
            <w:tcW w:w="120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jc w:val="center"/>
              <w:rPr>
                <w:rFonts w:ascii="Lucida Bright" w:hAnsi="Lucida Bright" w:cs="Calibri"/>
                <w:b/>
                <w:bCs/>
                <w:sz w:val="14"/>
                <w:szCs w:val="14"/>
                <w:lang w:val="es-ES"/>
              </w:rPr>
            </w:pPr>
            <w:r w:rsidRPr="00FE5DBD">
              <w:rPr>
                <w:rFonts w:ascii="Lucida Bright" w:hAnsi="Lucida Bright" w:cs="Calibri"/>
                <w:b/>
                <w:bCs/>
                <w:sz w:val="14"/>
                <w:szCs w:val="14"/>
                <w:lang w:val="es-ES"/>
              </w:rPr>
              <w:t>ANTICIPOS E INMOVILIZADO EN CURSO</w:t>
            </w:r>
          </w:p>
        </w:tc>
        <w:tc>
          <w:tcPr>
            <w:tcW w:w="63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51.162.815,00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5.315.174,46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54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(119.074,17)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(182.714,66)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336"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455"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56.176.200,63 </w:t>
            </w:r>
          </w:p>
        </w:tc>
      </w:tr>
      <w:tr w:rsidR="00FE5DBD" w:rsidRPr="00FE5DBD" w:rsidTr="00FE5DBD">
        <w:trPr>
          <w:trHeight w:val="210"/>
        </w:trPr>
        <w:tc>
          <w:tcPr>
            <w:tcW w:w="1203"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jc w:val="center"/>
              <w:rPr>
                <w:rFonts w:ascii="Lucida Bright" w:hAnsi="Lucida Bright" w:cs="Calibri"/>
                <w:b/>
                <w:bCs/>
                <w:sz w:val="14"/>
                <w:szCs w:val="14"/>
                <w:lang w:val="es-ES"/>
              </w:rPr>
            </w:pPr>
            <w:r w:rsidRPr="00FE5DBD">
              <w:rPr>
                <w:rFonts w:ascii="Lucida Bright" w:hAnsi="Lucida Bright" w:cs="Calibri"/>
                <w:b/>
                <w:bCs/>
                <w:sz w:val="14"/>
                <w:szCs w:val="14"/>
                <w:lang w:val="es-ES"/>
              </w:rPr>
              <w:t>TOTAL</w:t>
            </w:r>
          </w:p>
        </w:tc>
        <w:tc>
          <w:tcPr>
            <w:tcW w:w="63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738.345.897,54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20.780.880,82 </w:t>
            </w:r>
          </w:p>
        </w:tc>
        <w:tc>
          <w:tcPr>
            <w:tcW w:w="483"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(61.584,00) </w:t>
            </w:r>
          </w:p>
        </w:tc>
        <w:tc>
          <w:tcPr>
            <w:tcW w:w="54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(119.074,17)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(182.714,66) </w:t>
            </w:r>
          </w:p>
        </w:tc>
        <w:tc>
          <w:tcPr>
            <w:tcW w:w="427"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336"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w:t>
            </w:r>
          </w:p>
        </w:tc>
        <w:tc>
          <w:tcPr>
            <w:tcW w:w="455" w:type="pct"/>
            <w:tcBorders>
              <w:top w:val="nil"/>
              <w:left w:val="nil"/>
              <w:bottom w:val="single" w:sz="4" w:space="0" w:color="auto"/>
              <w:right w:val="single" w:sz="4" w:space="0" w:color="auto"/>
            </w:tcBorders>
            <w:shd w:val="clear" w:color="auto" w:fill="auto"/>
            <w:noWrap/>
            <w:vAlign w:val="bottom"/>
            <w:hideMark/>
          </w:tcPr>
          <w:p w:rsidR="00FE5DBD" w:rsidRPr="00FE5DBD" w:rsidRDefault="00FE5DBD" w:rsidP="00FE5DBD">
            <w:pPr>
              <w:jc w:val="right"/>
              <w:rPr>
                <w:rFonts w:ascii="Lucida Bright" w:hAnsi="Lucida Bright" w:cs="Calibri"/>
                <w:b/>
                <w:bCs/>
                <w:color w:val="000000"/>
                <w:sz w:val="14"/>
                <w:szCs w:val="14"/>
                <w:lang w:val="es-ES"/>
              </w:rPr>
            </w:pPr>
            <w:r w:rsidRPr="00FE5DBD">
              <w:rPr>
                <w:rFonts w:ascii="Lucida Bright" w:hAnsi="Lucida Bright" w:cs="Calibri"/>
                <w:b/>
                <w:bCs/>
                <w:color w:val="000000"/>
                <w:sz w:val="14"/>
                <w:szCs w:val="14"/>
                <w:lang w:val="es-ES"/>
              </w:rPr>
              <w:t xml:space="preserve">758.763.405,53 </w:t>
            </w:r>
          </w:p>
        </w:tc>
      </w:tr>
    </w:tbl>
    <w:p w:rsidR="008D60E9" w:rsidRDefault="008D60E9" w:rsidP="008D60E9">
      <w:pPr>
        <w:pStyle w:val="Sangra3detindependiente"/>
        <w:tabs>
          <w:tab w:val="clear" w:pos="5671"/>
          <w:tab w:val="clear" w:pos="7797"/>
        </w:tabs>
        <w:ind w:firstLine="0"/>
        <w:rPr>
          <w:rFonts w:ascii="NewBaskerville" w:hAnsi="NewBaskerville"/>
          <w:sz w:val="20"/>
          <w:szCs w:val="20"/>
        </w:rPr>
      </w:pPr>
    </w:p>
    <w:p w:rsidR="008D60E9" w:rsidRDefault="008D60E9" w:rsidP="008D60E9">
      <w:pPr>
        <w:pStyle w:val="Sangra3detindependiente"/>
        <w:tabs>
          <w:tab w:val="clear" w:pos="5671"/>
          <w:tab w:val="clear" w:pos="7797"/>
        </w:tabs>
        <w:ind w:firstLine="0"/>
        <w:rPr>
          <w:rFonts w:ascii="NewBaskerville" w:hAnsi="NewBaskerville"/>
          <w:sz w:val="20"/>
          <w:szCs w:val="20"/>
        </w:rPr>
      </w:pPr>
    </w:p>
    <w:p w:rsidR="008D60E9" w:rsidRDefault="008D60E9" w:rsidP="008D60E9">
      <w:pPr>
        <w:pStyle w:val="Sangra3detindependiente"/>
        <w:tabs>
          <w:tab w:val="clear" w:pos="5671"/>
          <w:tab w:val="clear" w:pos="7797"/>
        </w:tabs>
        <w:ind w:firstLine="0"/>
        <w:rPr>
          <w:rFonts w:ascii="NewBaskerville" w:hAnsi="NewBaskerville"/>
          <w:sz w:val="20"/>
          <w:szCs w:val="20"/>
        </w:rPr>
      </w:pPr>
    </w:p>
    <w:p w:rsidR="00FE5DBD" w:rsidRDefault="00FE5DBD" w:rsidP="008D60E9">
      <w:pPr>
        <w:pStyle w:val="Sangra3detindependiente"/>
        <w:tabs>
          <w:tab w:val="clear" w:pos="5671"/>
          <w:tab w:val="clear" w:pos="7797"/>
        </w:tabs>
        <w:ind w:firstLine="0"/>
        <w:rPr>
          <w:rFonts w:ascii="NewBaskerville" w:hAnsi="NewBaskerville"/>
          <w:sz w:val="20"/>
          <w:szCs w:val="20"/>
        </w:rPr>
      </w:pPr>
    </w:p>
    <w:p w:rsidR="008D60E9" w:rsidRDefault="008D60E9" w:rsidP="008D60E9">
      <w:pPr>
        <w:pStyle w:val="Sangra3detindependiente"/>
        <w:tabs>
          <w:tab w:val="clear" w:pos="5671"/>
          <w:tab w:val="clear" w:pos="7797"/>
        </w:tabs>
        <w:ind w:firstLine="0"/>
        <w:rPr>
          <w:rFonts w:ascii="NewBaskerville" w:hAnsi="NewBaskerville"/>
          <w:sz w:val="20"/>
          <w:szCs w:val="20"/>
        </w:rPr>
      </w:pPr>
    </w:p>
    <w:p w:rsidR="008D60E9" w:rsidRDefault="008D60E9" w:rsidP="008D60E9">
      <w:pPr>
        <w:pStyle w:val="Sangra3detindependiente"/>
        <w:tabs>
          <w:tab w:val="clear" w:pos="5671"/>
          <w:tab w:val="clear" w:pos="7797"/>
        </w:tabs>
        <w:ind w:firstLine="0"/>
        <w:rPr>
          <w:rFonts w:ascii="NewBaskerville" w:hAnsi="NewBaskerville"/>
          <w:sz w:val="20"/>
          <w:szCs w:val="20"/>
        </w:rPr>
      </w:pPr>
    </w:p>
    <w:p w:rsidR="008D60E9" w:rsidRDefault="008D60E9" w:rsidP="008D60E9">
      <w:pPr>
        <w:pStyle w:val="Sangra3detindependiente"/>
        <w:tabs>
          <w:tab w:val="clear" w:pos="5671"/>
          <w:tab w:val="clear" w:pos="7797"/>
        </w:tabs>
        <w:ind w:firstLine="0"/>
        <w:rPr>
          <w:rFonts w:ascii="NewBaskerville" w:hAnsi="NewBaskerville"/>
          <w:sz w:val="20"/>
          <w:szCs w:val="20"/>
        </w:rPr>
      </w:pPr>
    </w:p>
    <w:p w:rsidR="008D60E9" w:rsidRDefault="008D60E9" w:rsidP="008D60E9">
      <w:pPr>
        <w:pStyle w:val="Sangra3detindependiente"/>
        <w:tabs>
          <w:tab w:val="clear" w:pos="5671"/>
          <w:tab w:val="clear" w:pos="7797"/>
        </w:tabs>
        <w:ind w:firstLine="0"/>
        <w:rPr>
          <w:rFonts w:ascii="NewBaskerville" w:hAnsi="NewBaskerville"/>
          <w:sz w:val="20"/>
          <w:szCs w:val="20"/>
        </w:rPr>
      </w:pPr>
    </w:p>
    <w:tbl>
      <w:tblPr>
        <w:tblW w:w="5000" w:type="pct"/>
        <w:tblCellMar>
          <w:left w:w="70" w:type="dxa"/>
          <w:right w:w="70" w:type="dxa"/>
        </w:tblCellMar>
        <w:tblLook w:val="04A0" w:firstRow="1" w:lastRow="0" w:firstColumn="1" w:lastColumn="0" w:noHBand="0" w:noVBand="1"/>
      </w:tblPr>
      <w:tblGrid>
        <w:gridCol w:w="3187"/>
        <w:gridCol w:w="184"/>
        <w:gridCol w:w="1221"/>
        <w:gridCol w:w="1137"/>
        <w:gridCol w:w="1091"/>
        <w:gridCol w:w="1074"/>
        <w:gridCol w:w="1074"/>
        <w:gridCol w:w="1074"/>
        <w:gridCol w:w="1146"/>
        <w:gridCol w:w="1195"/>
        <w:gridCol w:w="1195"/>
      </w:tblGrid>
      <w:tr w:rsidR="00FE5DBD" w:rsidRPr="00FE5DBD" w:rsidTr="00FE5DBD">
        <w:trPr>
          <w:trHeight w:val="300"/>
        </w:trPr>
        <w:tc>
          <w:tcPr>
            <w:tcW w:w="2112" w:type="pct"/>
            <w:gridSpan w:val="4"/>
            <w:tcBorders>
              <w:top w:val="nil"/>
              <w:left w:val="nil"/>
              <w:bottom w:val="single" w:sz="4" w:space="0" w:color="auto"/>
              <w:right w:val="nil"/>
            </w:tcBorders>
            <w:shd w:val="clear" w:color="000000" w:fill="FFFFFF"/>
            <w:noWrap/>
            <w:vAlign w:val="center"/>
            <w:hideMark/>
          </w:tcPr>
          <w:p w:rsidR="00FE5DBD" w:rsidRPr="00FE5DBD" w:rsidRDefault="00FE5DBD" w:rsidP="00FE5DBD">
            <w:pPr>
              <w:rPr>
                <w:rFonts w:ascii="Lucida Bright" w:hAnsi="Lucida Bright" w:cs="Calibri"/>
                <w:b/>
                <w:bCs/>
                <w:sz w:val="18"/>
                <w:szCs w:val="18"/>
                <w:lang w:val="es-ES"/>
              </w:rPr>
            </w:pPr>
            <w:r w:rsidRPr="00FE5DBD">
              <w:rPr>
                <w:rFonts w:ascii="Lucida Bright" w:hAnsi="Lucida Bright" w:cs="Calibri"/>
                <w:b/>
                <w:bCs/>
                <w:sz w:val="18"/>
                <w:szCs w:val="18"/>
                <w:lang w:val="es-ES"/>
              </w:rPr>
              <w:t>CUADRO: ALTAS DE INMOVILIZADO MATERIAL 2022</w:t>
            </w:r>
          </w:p>
        </w:tc>
        <w:tc>
          <w:tcPr>
            <w:tcW w:w="397" w:type="pct"/>
            <w:tcBorders>
              <w:top w:val="nil"/>
              <w:left w:val="nil"/>
              <w:bottom w:val="nil"/>
              <w:right w:val="nil"/>
            </w:tcBorders>
            <w:shd w:val="clear" w:color="000000" w:fill="FFFFFF"/>
            <w:noWrap/>
            <w:vAlign w:val="center"/>
            <w:hideMark/>
          </w:tcPr>
          <w:p w:rsidR="00FE5DBD" w:rsidRPr="00FE5DBD" w:rsidRDefault="00FE5DBD" w:rsidP="00FE5DBD">
            <w:pPr>
              <w:rPr>
                <w:rFonts w:ascii="Arial" w:hAnsi="Arial" w:cs="Arial"/>
                <w:lang w:val="es-ES"/>
              </w:rPr>
            </w:pPr>
            <w:r w:rsidRPr="00FE5DBD">
              <w:rPr>
                <w:rFonts w:ascii="Arial" w:hAnsi="Arial" w:cs="Arial"/>
                <w:lang w:val="es-ES"/>
              </w:rPr>
              <w:t> </w:t>
            </w:r>
          </w:p>
        </w:tc>
        <w:tc>
          <w:tcPr>
            <w:tcW w:w="397" w:type="pct"/>
            <w:tcBorders>
              <w:top w:val="nil"/>
              <w:left w:val="nil"/>
              <w:bottom w:val="nil"/>
              <w:right w:val="nil"/>
            </w:tcBorders>
            <w:shd w:val="clear" w:color="000000" w:fill="FFFFFF"/>
            <w:noWrap/>
            <w:vAlign w:val="center"/>
            <w:hideMark/>
          </w:tcPr>
          <w:p w:rsidR="00FE5DBD" w:rsidRPr="00FE5DBD" w:rsidRDefault="00FE5DBD" w:rsidP="00FE5DBD">
            <w:pPr>
              <w:rPr>
                <w:rFonts w:ascii="Arial" w:hAnsi="Arial" w:cs="Arial"/>
                <w:lang w:val="es-ES"/>
              </w:rPr>
            </w:pPr>
            <w:r w:rsidRPr="00FE5DBD">
              <w:rPr>
                <w:rFonts w:ascii="Arial" w:hAnsi="Arial" w:cs="Arial"/>
                <w:lang w:val="es-ES"/>
              </w:rPr>
              <w:t> </w:t>
            </w:r>
          </w:p>
        </w:tc>
        <w:tc>
          <w:tcPr>
            <w:tcW w:w="397" w:type="pct"/>
            <w:tcBorders>
              <w:top w:val="nil"/>
              <w:left w:val="nil"/>
              <w:bottom w:val="nil"/>
              <w:right w:val="nil"/>
            </w:tcBorders>
            <w:shd w:val="clear" w:color="000000" w:fill="FFFFFF"/>
            <w:noWrap/>
            <w:vAlign w:val="center"/>
            <w:hideMark/>
          </w:tcPr>
          <w:p w:rsidR="00FE5DBD" w:rsidRPr="00FE5DBD" w:rsidRDefault="00FE5DBD" w:rsidP="00FE5DBD">
            <w:pPr>
              <w:rPr>
                <w:rFonts w:ascii="Arial" w:hAnsi="Arial" w:cs="Arial"/>
                <w:lang w:val="es-ES"/>
              </w:rPr>
            </w:pPr>
            <w:r w:rsidRPr="00FE5DBD">
              <w:rPr>
                <w:rFonts w:ascii="Arial" w:hAnsi="Arial" w:cs="Arial"/>
                <w:lang w:val="es-ES"/>
              </w:rPr>
              <w:t> </w:t>
            </w:r>
          </w:p>
        </w:tc>
        <w:tc>
          <w:tcPr>
            <w:tcW w:w="397" w:type="pct"/>
            <w:tcBorders>
              <w:top w:val="nil"/>
              <w:left w:val="nil"/>
              <w:bottom w:val="nil"/>
              <w:right w:val="nil"/>
            </w:tcBorders>
            <w:shd w:val="clear" w:color="000000" w:fill="FFFFFF"/>
            <w:noWrap/>
            <w:vAlign w:val="center"/>
            <w:hideMark/>
          </w:tcPr>
          <w:p w:rsidR="00FE5DBD" w:rsidRPr="00FE5DBD" w:rsidRDefault="00FE5DBD" w:rsidP="00FE5DBD">
            <w:pPr>
              <w:rPr>
                <w:rFonts w:ascii="Arial" w:hAnsi="Arial" w:cs="Arial"/>
                <w:lang w:val="es-ES"/>
              </w:rPr>
            </w:pPr>
            <w:r w:rsidRPr="00FE5DBD">
              <w:rPr>
                <w:rFonts w:ascii="Arial" w:hAnsi="Arial" w:cs="Arial"/>
                <w:lang w:val="es-ES"/>
              </w:rPr>
              <w:t> </w:t>
            </w:r>
          </w:p>
        </w:tc>
        <w:tc>
          <w:tcPr>
            <w:tcW w:w="416" w:type="pct"/>
            <w:tcBorders>
              <w:top w:val="nil"/>
              <w:left w:val="nil"/>
              <w:bottom w:val="nil"/>
              <w:right w:val="nil"/>
            </w:tcBorders>
            <w:shd w:val="clear" w:color="000000" w:fill="FFFFFF"/>
            <w:noWrap/>
            <w:vAlign w:val="center"/>
            <w:hideMark/>
          </w:tcPr>
          <w:p w:rsidR="00FE5DBD" w:rsidRPr="00FE5DBD" w:rsidRDefault="00FE5DBD" w:rsidP="00FE5DBD">
            <w:pPr>
              <w:rPr>
                <w:rFonts w:ascii="Arial" w:hAnsi="Arial" w:cs="Arial"/>
                <w:lang w:val="es-ES"/>
              </w:rPr>
            </w:pPr>
            <w:r w:rsidRPr="00FE5DBD">
              <w:rPr>
                <w:rFonts w:ascii="Arial" w:hAnsi="Arial" w:cs="Arial"/>
                <w:lang w:val="es-ES"/>
              </w:rPr>
              <w:t> </w:t>
            </w:r>
          </w:p>
        </w:tc>
        <w:tc>
          <w:tcPr>
            <w:tcW w:w="441" w:type="pct"/>
            <w:tcBorders>
              <w:top w:val="nil"/>
              <w:left w:val="nil"/>
              <w:bottom w:val="nil"/>
              <w:right w:val="nil"/>
            </w:tcBorders>
            <w:shd w:val="clear" w:color="000000" w:fill="FFFFFF"/>
            <w:noWrap/>
            <w:vAlign w:val="center"/>
            <w:hideMark/>
          </w:tcPr>
          <w:p w:rsidR="00FE5DBD" w:rsidRPr="00FE5DBD" w:rsidRDefault="00FE5DBD" w:rsidP="00FE5DBD">
            <w:pPr>
              <w:rPr>
                <w:rFonts w:ascii="Arial" w:hAnsi="Arial" w:cs="Arial"/>
                <w:lang w:val="es-ES"/>
              </w:rPr>
            </w:pPr>
            <w:r w:rsidRPr="00FE5DBD">
              <w:rPr>
                <w:rFonts w:ascii="Arial" w:hAnsi="Arial" w:cs="Arial"/>
                <w:lang w:val="es-ES"/>
              </w:rPr>
              <w:t> </w:t>
            </w:r>
          </w:p>
        </w:tc>
        <w:tc>
          <w:tcPr>
            <w:tcW w:w="441" w:type="pct"/>
            <w:tcBorders>
              <w:top w:val="nil"/>
              <w:left w:val="nil"/>
              <w:bottom w:val="nil"/>
              <w:right w:val="nil"/>
            </w:tcBorders>
            <w:shd w:val="clear" w:color="000000" w:fill="FFFFFF"/>
            <w:noWrap/>
            <w:vAlign w:val="bottom"/>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(en euros)</w:t>
            </w:r>
          </w:p>
        </w:tc>
      </w:tr>
      <w:tr w:rsidR="00FE5DBD" w:rsidRPr="00FE5DBD" w:rsidTr="00FE5DBD">
        <w:trPr>
          <w:trHeight w:val="915"/>
        </w:trPr>
        <w:tc>
          <w:tcPr>
            <w:tcW w:w="1241" w:type="pct"/>
            <w:gridSpan w:val="2"/>
            <w:tcBorders>
              <w:top w:val="single" w:sz="4" w:space="0" w:color="auto"/>
              <w:left w:val="single" w:sz="4" w:space="0" w:color="auto"/>
              <w:bottom w:val="single" w:sz="4" w:space="0" w:color="auto"/>
              <w:right w:val="single" w:sz="4" w:space="0" w:color="000000"/>
            </w:tcBorders>
            <w:shd w:val="clear" w:color="000000" w:fill="CCFFCC"/>
            <w:vAlign w:val="center"/>
            <w:hideMark/>
          </w:tcPr>
          <w:p w:rsidR="00FE5DBD" w:rsidRPr="00FE5DBD" w:rsidRDefault="00FE5DBD" w:rsidP="00FE5DBD">
            <w:pPr>
              <w:jc w:val="center"/>
              <w:rPr>
                <w:rFonts w:ascii="Lucida Bright" w:hAnsi="Lucida Bright" w:cs="Calibri"/>
                <w:b/>
                <w:bCs/>
                <w:sz w:val="14"/>
                <w:szCs w:val="14"/>
                <w:lang w:val="es-ES"/>
              </w:rPr>
            </w:pPr>
            <w:r w:rsidRPr="00FE5DBD">
              <w:rPr>
                <w:rFonts w:ascii="Lucida Bright" w:hAnsi="Lucida Bright" w:cs="Calibri"/>
                <w:b/>
                <w:bCs/>
                <w:sz w:val="14"/>
                <w:szCs w:val="14"/>
                <w:lang w:val="es-ES"/>
              </w:rPr>
              <w:t>CONCEPTO</w:t>
            </w:r>
          </w:p>
        </w:tc>
        <w:tc>
          <w:tcPr>
            <w:tcW w:w="451" w:type="pct"/>
            <w:tcBorders>
              <w:top w:val="nil"/>
              <w:left w:val="nil"/>
              <w:bottom w:val="single" w:sz="4" w:space="0" w:color="auto"/>
              <w:right w:val="single" w:sz="4" w:space="0" w:color="auto"/>
            </w:tcBorders>
            <w:shd w:val="clear" w:color="000000" w:fill="CCFFCC"/>
            <w:vAlign w:val="center"/>
            <w:hideMark/>
          </w:tcPr>
          <w:p w:rsidR="00FE5DBD" w:rsidRPr="00FE5DBD" w:rsidRDefault="00FE5DBD" w:rsidP="00FE5DBD">
            <w:pPr>
              <w:jc w:val="center"/>
              <w:rPr>
                <w:rFonts w:ascii="Lucida Bright" w:hAnsi="Lucida Bright" w:cs="Calibri"/>
                <w:sz w:val="14"/>
                <w:szCs w:val="14"/>
                <w:lang w:val="es-ES"/>
              </w:rPr>
            </w:pPr>
            <w:r w:rsidRPr="00FE5DBD">
              <w:rPr>
                <w:rFonts w:ascii="Lucida Bright" w:hAnsi="Lucida Bright" w:cs="Calibri"/>
                <w:sz w:val="14"/>
                <w:szCs w:val="14"/>
                <w:lang w:val="es-ES"/>
              </w:rPr>
              <w:t>Adquisiciones</w:t>
            </w:r>
            <w:r w:rsidRPr="00FE5DBD">
              <w:rPr>
                <w:rFonts w:ascii="Lucida Bright" w:hAnsi="Lucida Bright" w:cs="Calibri"/>
                <w:sz w:val="14"/>
                <w:szCs w:val="14"/>
                <w:lang w:val="es-ES"/>
              </w:rPr>
              <w:br/>
              <w:t>a proveedores</w:t>
            </w:r>
            <w:r w:rsidRPr="00FE5DBD">
              <w:rPr>
                <w:rFonts w:ascii="Lucida Bright" w:hAnsi="Lucida Bright" w:cs="Calibri"/>
                <w:sz w:val="14"/>
                <w:szCs w:val="14"/>
                <w:lang w:val="es-ES"/>
              </w:rPr>
              <w:br/>
              <w:t>externos</w:t>
            </w:r>
          </w:p>
        </w:tc>
        <w:tc>
          <w:tcPr>
            <w:tcW w:w="420" w:type="pct"/>
            <w:tcBorders>
              <w:top w:val="nil"/>
              <w:left w:val="nil"/>
              <w:bottom w:val="single" w:sz="4" w:space="0" w:color="auto"/>
              <w:right w:val="single" w:sz="4" w:space="0" w:color="auto"/>
            </w:tcBorders>
            <w:shd w:val="clear" w:color="000000" w:fill="CCFFCC"/>
            <w:vAlign w:val="center"/>
            <w:hideMark/>
          </w:tcPr>
          <w:p w:rsidR="00FE5DBD" w:rsidRPr="00FE5DBD" w:rsidRDefault="00FE5DBD" w:rsidP="00FE5DBD">
            <w:pPr>
              <w:jc w:val="center"/>
              <w:rPr>
                <w:rFonts w:ascii="Lucida Bright" w:hAnsi="Lucida Bright" w:cs="Calibri"/>
                <w:sz w:val="14"/>
                <w:szCs w:val="14"/>
                <w:lang w:val="es-ES"/>
              </w:rPr>
            </w:pPr>
            <w:r w:rsidRPr="00FE5DBD">
              <w:rPr>
                <w:rFonts w:ascii="Lucida Bright" w:hAnsi="Lucida Bright" w:cs="Calibri"/>
                <w:sz w:val="14"/>
                <w:szCs w:val="14"/>
                <w:lang w:val="es-ES"/>
              </w:rPr>
              <w:t>Adquisiciones</w:t>
            </w:r>
            <w:r w:rsidRPr="00FE5DBD">
              <w:rPr>
                <w:rFonts w:ascii="Lucida Bright" w:hAnsi="Lucida Bright" w:cs="Calibri"/>
                <w:sz w:val="14"/>
                <w:szCs w:val="14"/>
                <w:lang w:val="es-ES"/>
              </w:rPr>
              <w:br/>
              <w:t>a otras AA.PP. y</w:t>
            </w:r>
            <w:r w:rsidRPr="00FE5DBD">
              <w:rPr>
                <w:rFonts w:ascii="Lucida Bright" w:hAnsi="Lucida Bright" w:cs="Calibri"/>
                <w:sz w:val="14"/>
                <w:szCs w:val="14"/>
                <w:lang w:val="es-ES"/>
              </w:rPr>
              <w:br/>
              <w:t>Puertos del Estado</w:t>
            </w:r>
          </w:p>
        </w:tc>
        <w:tc>
          <w:tcPr>
            <w:tcW w:w="397" w:type="pct"/>
            <w:tcBorders>
              <w:top w:val="single" w:sz="4" w:space="0" w:color="auto"/>
              <w:left w:val="nil"/>
              <w:bottom w:val="single" w:sz="4" w:space="0" w:color="auto"/>
              <w:right w:val="single" w:sz="4" w:space="0" w:color="auto"/>
            </w:tcBorders>
            <w:shd w:val="clear" w:color="000000" w:fill="CCFFCC"/>
            <w:vAlign w:val="center"/>
            <w:hideMark/>
          </w:tcPr>
          <w:p w:rsidR="00FE5DBD" w:rsidRPr="00FE5DBD" w:rsidRDefault="00FE5DBD" w:rsidP="00FE5DBD">
            <w:pPr>
              <w:jc w:val="center"/>
              <w:rPr>
                <w:rFonts w:ascii="Lucida Bright" w:hAnsi="Lucida Bright" w:cs="Calibri"/>
                <w:sz w:val="14"/>
                <w:szCs w:val="14"/>
                <w:lang w:val="es-ES"/>
              </w:rPr>
            </w:pPr>
            <w:r w:rsidRPr="00FE5DBD">
              <w:rPr>
                <w:rFonts w:ascii="Lucida Bright" w:hAnsi="Lucida Bright" w:cs="Calibri"/>
                <w:sz w:val="14"/>
                <w:szCs w:val="14"/>
                <w:lang w:val="es-ES"/>
              </w:rPr>
              <w:t>Incorporación al activo de gastos financieros</w:t>
            </w:r>
          </w:p>
        </w:tc>
        <w:tc>
          <w:tcPr>
            <w:tcW w:w="397" w:type="pct"/>
            <w:tcBorders>
              <w:top w:val="single" w:sz="4" w:space="0" w:color="auto"/>
              <w:left w:val="nil"/>
              <w:bottom w:val="single" w:sz="4" w:space="0" w:color="auto"/>
              <w:right w:val="single" w:sz="4" w:space="0" w:color="auto"/>
            </w:tcBorders>
            <w:shd w:val="clear" w:color="000000" w:fill="CCFFCC"/>
            <w:vAlign w:val="center"/>
            <w:hideMark/>
          </w:tcPr>
          <w:p w:rsidR="00FE5DBD" w:rsidRPr="00FE5DBD" w:rsidRDefault="00FE5DBD" w:rsidP="00FE5DBD">
            <w:pPr>
              <w:jc w:val="center"/>
              <w:rPr>
                <w:rFonts w:ascii="Lucida Bright" w:hAnsi="Lucida Bright" w:cs="Calibri"/>
                <w:sz w:val="14"/>
                <w:szCs w:val="14"/>
                <w:lang w:val="es-ES"/>
              </w:rPr>
            </w:pPr>
            <w:r w:rsidRPr="00FE5DBD">
              <w:rPr>
                <w:rFonts w:ascii="Lucida Bright" w:hAnsi="Lucida Bright" w:cs="Calibri"/>
                <w:sz w:val="14"/>
                <w:szCs w:val="14"/>
                <w:lang w:val="es-ES"/>
              </w:rPr>
              <w:t>Activos</w:t>
            </w:r>
            <w:r w:rsidRPr="00FE5DBD">
              <w:rPr>
                <w:rFonts w:ascii="Lucida Bright" w:hAnsi="Lucida Bright" w:cs="Calibri"/>
                <w:sz w:val="14"/>
                <w:szCs w:val="14"/>
                <w:lang w:val="es-ES"/>
              </w:rPr>
              <w:br/>
              <w:t>subsumidos</w:t>
            </w:r>
            <w:r w:rsidRPr="00FE5DBD">
              <w:rPr>
                <w:rFonts w:ascii="Lucida Bright" w:hAnsi="Lucida Bright" w:cs="Calibri"/>
                <w:sz w:val="14"/>
                <w:szCs w:val="14"/>
                <w:lang w:val="es-ES"/>
              </w:rPr>
              <w:br/>
              <w:t>en otros</w:t>
            </w:r>
          </w:p>
        </w:tc>
        <w:tc>
          <w:tcPr>
            <w:tcW w:w="397" w:type="pct"/>
            <w:tcBorders>
              <w:top w:val="single" w:sz="4" w:space="0" w:color="auto"/>
              <w:left w:val="nil"/>
              <w:bottom w:val="nil"/>
              <w:right w:val="single" w:sz="4" w:space="0" w:color="auto"/>
            </w:tcBorders>
            <w:shd w:val="clear" w:color="000000" w:fill="CCFFCC"/>
            <w:vAlign w:val="center"/>
            <w:hideMark/>
          </w:tcPr>
          <w:p w:rsidR="00FE5DBD" w:rsidRPr="00FE5DBD" w:rsidRDefault="00FE5DBD" w:rsidP="00FE5DBD">
            <w:pPr>
              <w:jc w:val="center"/>
              <w:rPr>
                <w:rFonts w:ascii="Lucida Bright" w:hAnsi="Lucida Bright" w:cs="Calibri"/>
                <w:sz w:val="14"/>
                <w:szCs w:val="14"/>
                <w:lang w:val="es-ES"/>
              </w:rPr>
            </w:pPr>
            <w:r w:rsidRPr="00FE5DBD">
              <w:rPr>
                <w:rFonts w:ascii="Lucida Bright" w:hAnsi="Lucida Bright" w:cs="Calibri"/>
                <w:sz w:val="14"/>
                <w:szCs w:val="14"/>
                <w:lang w:val="es-ES"/>
              </w:rPr>
              <w:t>Concesiones</w:t>
            </w:r>
            <w:r w:rsidRPr="00FE5DBD">
              <w:rPr>
                <w:rFonts w:ascii="Lucida Bright" w:hAnsi="Lucida Bright" w:cs="Calibri"/>
                <w:sz w:val="14"/>
                <w:szCs w:val="14"/>
                <w:lang w:val="es-ES"/>
              </w:rPr>
              <w:br/>
              <w:t>revertidas, donaciones y legados</w:t>
            </w:r>
          </w:p>
        </w:tc>
        <w:tc>
          <w:tcPr>
            <w:tcW w:w="397" w:type="pct"/>
            <w:tcBorders>
              <w:top w:val="single" w:sz="4" w:space="0" w:color="auto"/>
              <w:left w:val="nil"/>
              <w:bottom w:val="nil"/>
              <w:right w:val="single" w:sz="4" w:space="0" w:color="auto"/>
            </w:tcBorders>
            <w:shd w:val="clear" w:color="000000" w:fill="CCFFCC"/>
            <w:vAlign w:val="center"/>
            <w:hideMark/>
          </w:tcPr>
          <w:p w:rsidR="00FE5DBD" w:rsidRPr="00FE5DBD" w:rsidRDefault="00FE5DBD" w:rsidP="00FE5DBD">
            <w:pPr>
              <w:jc w:val="center"/>
              <w:rPr>
                <w:rFonts w:ascii="Lucida Bright" w:hAnsi="Lucida Bright" w:cs="Calibri"/>
                <w:sz w:val="14"/>
                <w:szCs w:val="14"/>
                <w:lang w:val="es-ES"/>
              </w:rPr>
            </w:pPr>
            <w:r w:rsidRPr="00FE5DBD">
              <w:rPr>
                <w:rFonts w:ascii="Lucida Bright" w:hAnsi="Lucida Bright" w:cs="Calibri"/>
                <w:sz w:val="14"/>
                <w:szCs w:val="14"/>
                <w:lang w:val="es-ES"/>
              </w:rPr>
              <w:t>Rescate</w:t>
            </w:r>
            <w:r w:rsidRPr="00FE5DBD">
              <w:rPr>
                <w:rFonts w:ascii="Lucida Bright" w:hAnsi="Lucida Bright" w:cs="Calibri"/>
                <w:sz w:val="14"/>
                <w:szCs w:val="14"/>
                <w:lang w:val="es-ES"/>
              </w:rPr>
              <w:br/>
              <w:t>anticipado de</w:t>
            </w:r>
            <w:r w:rsidRPr="00FE5DBD">
              <w:rPr>
                <w:rFonts w:ascii="Lucida Bright" w:hAnsi="Lucida Bright" w:cs="Calibri"/>
                <w:sz w:val="14"/>
                <w:szCs w:val="14"/>
                <w:lang w:val="es-ES"/>
              </w:rPr>
              <w:br/>
              <w:t>concesiones</w:t>
            </w:r>
          </w:p>
        </w:tc>
        <w:tc>
          <w:tcPr>
            <w:tcW w:w="416" w:type="pct"/>
            <w:tcBorders>
              <w:top w:val="single" w:sz="4" w:space="0" w:color="auto"/>
              <w:left w:val="nil"/>
              <w:bottom w:val="single" w:sz="4" w:space="0" w:color="auto"/>
              <w:right w:val="single" w:sz="4" w:space="0" w:color="auto"/>
            </w:tcBorders>
            <w:shd w:val="clear" w:color="000000" w:fill="CCFFCC"/>
            <w:vAlign w:val="center"/>
            <w:hideMark/>
          </w:tcPr>
          <w:p w:rsidR="00FE5DBD" w:rsidRPr="00FE5DBD" w:rsidRDefault="00FE5DBD" w:rsidP="00FE5DBD">
            <w:pPr>
              <w:jc w:val="center"/>
              <w:rPr>
                <w:rFonts w:ascii="Lucida Bright" w:hAnsi="Lucida Bright" w:cs="Calibri"/>
                <w:sz w:val="14"/>
                <w:szCs w:val="14"/>
                <w:lang w:val="es-ES"/>
              </w:rPr>
            </w:pPr>
            <w:r w:rsidRPr="00FE5DBD">
              <w:rPr>
                <w:rFonts w:ascii="Lucida Bright" w:hAnsi="Lucida Bright" w:cs="Calibri"/>
                <w:sz w:val="14"/>
                <w:szCs w:val="14"/>
                <w:lang w:val="es-ES"/>
              </w:rPr>
              <w:t>Transferencias</w:t>
            </w:r>
            <w:r w:rsidRPr="00FE5DBD">
              <w:rPr>
                <w:rFonts w:ascii="Lucida Bright" w:hAnsi="Lucida Bright" w:cs="Calibri"/>
                <w:sz w:val="14"/>
                <w:szCs w:val="14"/>
                <w:lang w:val="es-ES"/>
              </w:rPr>
              <w:br/>
              <w:t>desde otros</w:t>
            </w:r>
            <w:r w:rsidRPr="00FE5DBD">
              <w:rPr>
                <w:rFonts w:ascii="Lucida Bright" w:hAnsi="Lucida Bright" w:cs="Calibri"/>
                <w:sz w:val="14"/>
                <w:szCs w:val="14"/>
                <w:lang w:val="es-ES"/>
              </w:rPr>
              <w:br/>
            </w:r>
            <w:proofErr w:type="spellStart"/>
            <w:r w:rsidRPr="00FE5DBD">
              <w:rPr>
                <w:rFonts w:ascii="Lucida Bright" w:hAnsi="Lucida Bright" w:cs="Calibri"/>
                <w:sz w:val="14"/>
                <w:szCs w:val="14"/>
                <w:lang w:val="es-ES"/>
              </w:rPr>
              <w:t>org</w:t>
            </w:r>
            <w:proofErr w:type="spellEnd"/>
            <w:r w:rsidRPr="00FE5DBD">
              <w:rPr>
                <w:rFonts w:ascii="Lucida Bright" w:hAnsi="Lucida Bright" w:cs="Calibri"/>
                <w:sz w:val="14"/>
                <w:szCs w:val="14"/>
                <w:lang w:val="es-ES"/>
              </w:rPr>
              <w:t>. públicos y otras altas</w:t>
            </w:r>
          </w:p>
        </w:tc>
        <w:tc>
          <w:tcPr>
            <w:tcW w:w="441" w:type="pct"/>
            <w:tcBorders>
              <w:top w:val="single" w:sz="4" w:space="0" w:color="auto"/>
              <w:left w:val="nil"/>
              <w:bottom w:val="single" w:sz="4" w:space="0" w:color="auto"/>
              <w:right w:val="single" w:sz="4" w:space="0" w:color="auto"/>
            </w:tcBorders>
            <w:shd w:val="clear" w:color="000000" w:fill="CCFFCC"/>
            <w:vAlign w:val="center"/>
            <w:hideMark/>
          </w:tcPr>
          <w:p w:rsidR="00FE5DBD" w:rsidRPr="00FE5DBD" w:rsidRDefault="00FE5DBD" w:rsidP="00FE5DBD">
            <w:pPr>
              <w:jc w:val="center"/>
              <w:rPr>
                <w:rFonts w:ascii="Lucida Bright" w:hAnsi="Lucida Bright" w:cs="Calibri"/>
                <w:sz w:val="14"/>
                <w:szCs w:val="14"/>
                <w:lang w:val="es-ES"/>
              </w:rPr>
            </w:pPr>
            <w:r w:rsidRPr="00FE5DBD">
              <w:rPr>
                <w:rFonts w:ascii="Lucida Bright" w:hAnsi="Lucida Bright" w:cs="Calibri"/>
                <w:sz w:val="14"/>
                <w:szCs w:val="14"/>
                <w:lang w:val="es-ES"/>
              </w:rPr>
              <w:t>Traspasos de inmovilizado</w:t>
            </w:r>
            <w:r w:rsidRPr="00FE5DBD">
              <w:rPr>
                <w:rFonts w:ascii="Lucida Bright" w:hAnsi="Lucida Bright" w:cs="Calibri"/>
                <w:sz w:val="14"/>
                <w:szCs w:val="14"/>
                <w:lang w:val="es-ES"/>
              </w:rPr>
              <w:br/>
              <w:t>en curso</w:t>
            </w:r>
          </w:p>
        </w:tc>
        <w:tc>
          <w:tcPr>
            <w:tcW w:w="441" w:type="pct"/>
            <w:tcBorders>
              <w:top w:val="single" w:sz="4" w:space="0" w:color="auto"/>
              <w:left w:val="nil"/>
              <w:bottom w:val="single" w:sz="4" w:space="0" w:color="auto"/>
              <w:right w:val="single" w:sz="4" w:space="0" w:color="auto"/>
            </w:tcBorders>
            <w:shd w:val="clear" w:color="000000" w:fill="CCFFCC"/>
            <w:vAlign w:val="center"/>
            <w:hideMark/>
          </w:tcPr>
          <w:p w:rsidR="00FE5DBD" w:rsidRPr="00FE5DBD" w:rsidRDefault="00FE5DBD" w:rsidP="00FE5DBD">
            <w:pPr>
              <w:jc w:val="center"/>
              <w:rPr>
                <w:rFonts w:ascii="Lucida Bright" w:hAnsi="Lucida Bright" w:cs="Calibri"/>
                <w:sz w:val="14"/>
                <w:szCs w:val="14"/>
                <w:lang w:val="es-ES"/>
              </w:rPr>
            </w:pPr>
            <w:r w:rsidRPr="00FE5DBD">
              <w:rPr>
                <w:rFonts w:ascii="Lucida Bright" w:hAnsi="Lucida Bright" w:cs="Calibri"/>
                <w:sz w:val="14"/>
                <w:szCs w:val="14"/>
                <w:lang w:val="es-ES"/>
              </w:rPr>
              <w:t>Total altas</w:t>
            </w:r>
            <w:r w:rsidRPr="00FE5DBD">
              <w:rPr>
                <w:rFonts w:ascii="Lucida Bright" w:hAnsi="Lucida Bright" w:cs="Calibri"/>
                <w:sz w:val="14"/>
                <w:szCs w:val="14"/>
                <w:lang w:val="es-ES"/>
              </w:rPr>
              <w:br/>
              <w:t>del ejercicio</w:t>
            </w:r>
            <w:r w:rsidRPr="00FE5DBD">
              <w:rPr>
                <w:rFonts w:ascii="Lucida Bright" w:hAnsi="Lucida Bright" w:cs="Calibri"/>
                <w:sz w:val="14"/>
                <w:szCs w:val="14"/>
                <w:lang w:val="es-ES"/>
              </w:rPr>
              <w:br/>
              <w:t>2022</w:t>
            </w:r>
          </w:p>
        </w:tc>
      </w:tr>
      <w:tr w:rsidR="00FE5DBD" w:rsidRPr="00FE5DBD" w:rsidTr="00FE5DBD">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b/>
                <w:bCs/>
                <w:sz w:val="14"/>
                <w:szCs w:val="14"/>
                <w:lang w:val="es-ES"/>
              </w:rPr>
            </w:pPr>
            <w:r w:rsidRPr="00FE5DBD">
              <w:rPr>
                <w:rFonts w:ascii="Lucida Bright" w:hAnsi="Lucida Bright" w:cs="Calibri"/>
                <w:b/>
                <w:bCs/>
                <w:sz w:val="14"/>
                <w:szCs w:val="14"/>
                <w:lang w:val="es-ES"/>
              </w:rPr>
              <w:t xml:space="preserve"> a) Terrenos y bienes naturales</w:t>
            </w:r>
          </w:p>
        </w:tc>
        <w:tc>
          <w:tcPr>
            <w:tcW w:w="45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b/>
                <w:bCs/>
                <w:sz w:val="14"/>
                <w:szCs w:val="14"/>
                <w:lang w:val="es-ES"/>
              </w:rPr>
            </w:pPr>
            <w:r w:rsidRPr="00FE5DBD">
              <w:rPr>
                <w:rFonts w:ascii="Lucida Bright" w:hAnsi="Lucida Bright" w:cs="Calibri"/>
                <w:b/>
                <w:bCs/>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b/>
                <w:bCs/>
                <w:sz w:val="14"/>
                <w:szCs w:val="14"/>
                <w:lang w:val="es-ES"/>
              </w:rPr>
            </w:pPr>
            <w:r w:rsidRPr="00FE5DBD">
              <w:rPr>
                <w:rFonts w:ascii="Lucida Bright" w:hAnsi="Lucida Bright" w:cs="Calibri"/>
                <w:b/>
                <w:bCs/>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b/>
                <w:bCs/>
                <w:sz w:val="14"/>
                <w:szCs w:val="14"/>
                <w:lang w:val="es-ES"/>
              </w:rPr>
            </w:pPr>
            <w:r w:rsidRPr="00FE5DBD">
              <w:rPr>
                <w:rFonts w:ascii="Lucida Bright" w:hAnsi="Lucida Bright" w:cs="Calibri"/>
                <w:b/>
                <w:bCs/>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b/>
                <w:bCs/>
                <w:sz w:val="14"/>
                <w:szCs w:val="14"/>
                <w:lang w:val="es-ES"/>
              </w:rPr>
            </w:pPr>
            <w:r w:rsidRPr="00FE5DBD">
              <w:rPr>
                <w:rFonts w:ascii="Lucida Bright" w:hAnsi="Lucida Bright" w:cs="Calibri"/>
                <w:b/>
                <w:bCs/>
                <w:sz w:val="14"/>
                <w:szCs w:val="14"/>
                <w:lang w:val="es-ES"/>
              </w:rPr>
              <w:t>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b/>
                <w:bCs/>
                <w:sz w:val="14"/>
                <w:szCs w:val="14"/>
                <w:lang w:val="es-ES"/>
              </w:rPr>
            </w:pPr>
            <w:r w:rsidRPr="00FE5DBD">
              <w:rPr>
                <w:rFonts w:ascii="Lucida Bright" w:hAnsi="Lucida Bright" w:cs="Calibri"/>
                <w:b/>
                <w:bCs/>
                <w:sz w:val="14"/>
                <w:szCs w:val="14"/>
                <w:lang w:val="es-ES"/>
              </w:rPr>
              <w:t>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b/>
                <w:bCs/>
                <w:sz w:val="14"/>
                <w:szCs w:val="14"/>
                <w:lang w:val="es-ES"/>
              </w:rPr>
            </w:pPr>
            <w:r w:rsidRPr="00FE5DBD">
              <w:rPr>
                <w:rFonts w:ascii="Lucida Bright" w:hAnsi="Lucida Bright" w:cs="Calibri"/>
                <w:b/>
                <w:bCs/>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b/>
                <w:bCs/>
                <w:sz w:val="14"/>
                <w:szCs w:val="14"/>
                <w:lang w:val="es-ES"/>
              </w:rPr>
            </w:pPr>
            <w:r w:rsidRPr="00FE5DBD">
              <w:rPr>
                <w:rFonts w:ascii="Lucida Bright" w:hAnsi="Lucida Bright" w:cs="Calibri"/>
                <w:b/>
                <w:bCs/>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13.354,02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13.354,02 </w:t>
            </w:r>
          </w:p>
        </w:tc>
      </w:tr>
      <w:tr w:rsidR="00FE5DBD" w:rsidRPr="00FE5DBD" w:rsidTr="00FE5DBD">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b/>
                <w:bCs/>
                <w:sz w:val="14"/>
                <w:szCs w:val="14"/>
                <w:lang w:val="es-ES"/>
              </w:rPr>
            </w:pPr>
            <w:r w:rsidRPr="00FE5DBD">
              <w:rPr>
                <w:rFonts w:ascii="Lucida Bright" w:hAnsi="Lucida Bright" w:cs="Calibri"/>
                <w:b/>
                <w:bCs/>
                <w:sz w:val="14"/>
                <w:szCs w:val="14"/>
                <w:lang w:val="es-ES"/>
              </w:rPr>
              <w:t xml:space="preserve"> b) Construcciones</w:t>
            </w:r>
          </w:p>
        </w:tc>
        <w:tc>
          <w:tcPr>
            <w:tcW w:w="45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420"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14.694.536,26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14.694.536,26 </w:t>
            </w:r>
          </w:p>
        </w:tc>
      </w:tr>
      <w:tr w:rsidR="00FE5DBD" w:rsidRPr="00FE5DBD" w:rsidTr="00FE5DBD">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Accesos marítimos</w:t>
            </w:r>
          </w:p>
        </w:tc>
        <w:tc>
          <w:tcPr>
            <w:tcW w:w="45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321.107,12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321.107,12 </w:t>
            </w:r>
          </w:p>
        </w:tc>
      </w:tr>
      <w:tr w:rsidR="00FE5DBD" w:rsidRPr="00FE5DBD" w:rsidTr="00FE5DBD">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Obras de abrigo y defensa</w:t>
            </w:r>
          </w:p>
        </w:tc>
        <w:tc>
          <w:tcPr>
            <w:tcW w:w="45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97.161,55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97.161,55 </w:t>
            </w:r>
          </w:p>
        </w:tc>
      </w:tr>
      <w:tr w:rsidR="00FE5DBD" w:rsidRPr="00FE5DBD" w:rsidTr="00FE5DBD">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Obras de atraque</w:t>
            </w:r>
          </w:p>
        </w:tc>
        <w:tc>
          <w:tcPr>
            <w:tcW w:w="45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4.703.464,52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4.703.464,52 </w:t>
            </w:r>
          </w:p>
        </w:tc>
      </w:tr>
      <w:tr w:rsidR="00FE5DBD" w:rsidRPr="00FE5DBD" w:rsidTr="00FE5DBD">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Instalaciones para reparación de barcos</w:t>
            </w:r>
          </w:p>
        </w:tc>
        <w:tc>
          <w:tcPr>
            <w:tcW w:w="45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r>
      <w:tr w:rsidR="00FE5DBD" w:rsidRPr="00FE5DBD" w:rsidTr="00FE5DBD">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Edificaciones</w:t>
            </w:r>
          </w:p>
        </w:tc>
        <w:tc>
          <w:tcPr>
            <w:tcW w:w="45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500.222,26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500.222,26 </w:t>
            </w:r>
          </w:p>
        </w:tc>
      </w:tr>
      <w:tr w:rsidR="00FE5DBD" w:rsidRPr="00FE5DBD" w:rsidTr="00FE5DBD">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Instalaciones generales</w:t>
            </w:r>
          </w:p>
        </w:tc>
        <w:tc>
          <w:tcPr>
            <w:tcW w:w="45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3.016.365,42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3.016.365,42 </w:t>
            </w:r>
          </w:p>
        </w:tc>
      </w:tr>
      <w:tr w:rsidR="00FE5DBD" w:rsidRPr="00FE5DBD" w:rsidTr="00FE5DBD">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Pavimentos, calzadas y vías de circulación</w:t>
            </w:r>
          </w:p>
        </w:tc>
        <w:tc>
          <w:tcPr>
            <w:tcW w:w="451" w:type="pct"/>
            <w:tcBorders>
              <w:top w:val="nil"/>
              <w:left w:val="nil"/>
              <w:bottom w:val="nil"/>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20" w:type="pct"/>
            <w:tcBorders>
              <w:top w:val="nil"/>
              <w:left w:val="nil"/>
              <w:bottom w:val="nil"/>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nil"/>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nil"/>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nil"/>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nil"/>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16" w:type="pct"/>
            <w:tcBorders>
              <w:top w:val="nil"/>
              <w:left w:val="nil"/>
              <w:bottom w:val="nil"/>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41" w:type="pct"/>
            <w:tcBorders>
              <w:top w:val="nil"/>
              <w:left w:val="nil"/>
              <w:bottom w:val="nil"/>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6.056.215,39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6.056.215,39 </w:t>
            </w:r>
          </w:p>
        </w:tc>
      </w:tr>
      <w:tr w:rsidR="00FE5DBD" w:rsidRPr="00FE5DBD" w:rsidTr="00FE5DBD">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b/>
                <w:bCs/>
                <w:sz w:val="14"/>
                <w:szCs w:val="14"/>
                <w:lang w:val="es-ES"/>
              </w:rPr>
            </w:pPr>
            <w:r w:rsidRPr="00FE5DBD">
              <w:rPr>
                <w:rFonts w:ascii="Lucida Bright" w:hAnsi="Lucida Bright" w:cs="Calibri"/>
                <w:b/>
                <w:bCs/>
                <w:sz w:val="14"/>
                <w:szCs w:val="14"/>
                <w:lang w:val="es-ES"/>
              </w:rPr>
              <w:t xml:space="preserve"> c) Equipamientos e instalaciones técnicas</w:t>
            </w:r>
          </w:p>
        </w:tc>
        <w:tc>
          <w:tcPr>
            <w:tcW w:w="451"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420"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416"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441"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209.728,99 </w:t>
            </w:r>
          </w:p>
        </w:tc>
        <w:tc>
          <w:tcPr>
            <w:tcW w:w="441"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209.728,99 </w:t>
            </w:r>
          </w:p>
        </w:tc>
      </w:tr>
      <w:tr w:rsidR="00FE5DBD" w:rsidRPr="00FE5DBD" w:rsidTr="00FE5DBD">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Instalaciones de ayuda a la navegación</w:t>
            </w:r>
          </w:p>
        </w:tc>
        <w:tc>
          <w:tcPr>
            <w:tcW w:w="45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209.728,99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209.728,99 </w:t>
            </w:r>
          </w:p>
        </w:tc>
      </w:tr>
      <w:tr w:rsidR="00FE5DBD" w:rsidRPr="00FE5DBD" w:rsidTr="00FE5DBD">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Equipo de manipulación de </w:t>
            </w:r>
            <w:proofErr w:type="spellStart"/>
            <w:r w:rsidRPr="00FE5DBD">
              <w:rPr>
                <w:rFonts w:ascii="Lucida Bright" w:hAnsi="Lucida Bright" w:cs="Calibri"/>
                <w:sz w:val="14"/>
                <w:szCs w:val="14"/>
                <w:lang w:val="es-ES"/>
              </w:rPr>
              <w:t>mercancias</w:t>
            </w:r>
            <w:proofErr w:type="spellEnd"/>
          </w:p>
        </w:tc>
        <w:tc>
          <w:tcPr>
            <w:tcW w:w="45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r>
      <w:tr w:rsidR="00FE5DBD" w:rsidRPr="00FE5DBD" w:rsidTr="00FE5DBD">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Material flotante</w:t>
            </w:r>
          </w:p>
        </w:tc>
        <w:tc>
          <w:tcPr>
            <w:tcW w:w="45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r>
      <w:tr w:rsidR="00FE5DBD" w:rsidRPr="00FE5DBD" w:rsidTr="00FE5DBD">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Material ferroviario</w:t>
            </w:r>
          </w:p>
        </w:tc>
        <w:tc>
          <w:tcPr>
            <w:tcW w:w="45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r>
      <w:tr w:rsidR="00FE5DBD" w:rsidRPr="00FE5DBD" w:rsidTr="00FE5DBD">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Equipo de taller</w:t>
            </w:r>
          </w:p>
        </w:tc>
        <w:tc>
          <w:tcPr>
            <w:tcW w:w="451" w:type="pct"/>
            <w:tcBorders>
              <w:top w:val="nil"/>
              <w:left w:val="nil"/>
              <w:bottom w:val="nil"/>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20" w:type="pct"/>
            <w:tcBorders>
              <w:top w:val="nil"/>
              <w:left w:val="nil"/>
              <w:bottom w:val="nil"/>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nil"/>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nil"/>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nil"/>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nil"/>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16" w:type="pct"/>
            <w:tcBorders>
              <w:top w:val="nil"/>
              <w:left w:val="nil"/>
              <w:bottom w:val="nil"/>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41" w:type="pct"/>
            <w:tcBorders>
              <w:top w:val="nil"/>
              <w:left w:val="nil"/>
              <w:bottom w:val="nil"/>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r>
      <w:tr w:rsidR="00FE5DBD" w:rsidRPr="00FE5DBD" w:rsidTr="00FE5DBD">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b/>
                <w:bCs/>
                <w:sz w:val="14"/>
                <w:szCs w:val="14"/>
                <w:lang w:val="es-ES"/>
              </w:rPr>
            </w:pPr>
            <w:r w:rsidRPr="00FE5DBD">
              <w:rPr>
                <w:rFonts w:ascii="Lucida Bright" w:hAnsi="Lucida Bright" w:cs="Calibri"/>
                <w:b/>
                <w:bCs/>
                <w:sz w:val="14"/>
                <w:szCs w:val="14"/>
                <w:lang w:val="es-ES"/>
              </w:rPr>
              <w:t xml:space="preserve"> d) Otro inmovilizado</w:t>
            </w:r>
          </w:p>
        </w:tc>
        <w:tc>
          <w:tcPr>
            <w:tcW w:w="451"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420"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416"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441"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548.087,09 </w:t>
            </w:r>
          </w:p>
        </w:tc>
        <w:tc>
          <w:tcPr>
            <w:tcW w:w="441"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548.087,09 </w:t>
            </w:r>
          </w:p>
        </w:tc>
      </w:tr>
      <w:tr w:rsidR="00FE5DBD" w:rsidRPr="00FE5DBD" w:rsidTr="00FE5DBD">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Mobiliario</w:t>
            </w:r>
          </w:p>
        </w:tc>
        <w:tc>
          <w:tcPr>
            <w:tcW w:w="45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11.390,41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11.390,41 </w:t>
            </w:r>
          </w:p>
        </w:tc>
      </w:tr>
      <w:tr w:rsidR="00FE5DBD" w:rsidRPr="00FE5DBD" w:rsidTr="00FE5DBD">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Equipos de proceso de información</w:t>
            </w:r>
          </w:p>
        </w:tc>
        <w:tc>
          <w:tcPr>
            <w:tcW w:w="45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273.205,48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273.205,48 </w:t>
            </w:r>
          </w:p>
        </w:tc>
      </w:tr>
      <w:tr w:rsidR="00FE5DBD" w:rsidRPr="00FE5DBD" w:rsidTr="00FE5DBD">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Elementos de transporte</w:t>
            </w:r>
          </w:p>
        </w:tc>
        <w:tc>
          <w:tcPr>
            <w:tcW w:w="45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129.243,45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129.243,45 </w:t>
            </w:r>
          </w:p>
        </w:tc>
      </w:tr>
      <w:tr w:rsidR="00FE5DBD" w:rsidRPr="00FE5DBD" w:rsidTr="00FE5DBD">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xml:space="preserve">      Otro inmovilizado material</w:t>
            </w:r>
          </w:p>
        </w:tc>
        <w:tc>
          <w:tcPr>
            <w:tcW w:w="451" w:type="pct"/>
            <w:tcBorders>
              <w:top w:val="nil"/>
              <w:left w:val="nil"/>
              <w:bottom w:val="nil"/>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20" w:type="pct"/>
            <w:tcBorders>
              <w:top w:val="nil"/>
              <w:left w:val="nil"/>
              <w:bottom w:val="nil"/>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nil"/>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nil"/>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nil"/>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nil"/>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16" w:type="pct"/>
            <w:tcBorders>
              <w:top w:val="nil"/>
              <w:left w:val="nil"/>
              <w:bottom w:val="nil"/>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41" w:type="pct"/>
            <w:tcBorders>
              <w:top w:val="nil"/>
              <w:left w:val="nil"/>
              <w:bottom w:val="nil"/>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134.247,75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134.247,75 </w:t>
            </w:r>
          </w:p>
        </w:tc>
      </w:tr>
      <w:tr w:rsidR="00FE5DBD" w:rsidRPr="00FE5DBD" w:rsidTr="00FE5DBD">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rPr>
                <w:rFonts w:ascii="Lucida Bright" w:hAnsi="Lucida Bright" w:cs="Calibri"/>
                <w:b/>
                <w:bCs/>
                <w:sz w:val="14"/>
                <w:szCs w:val="14"/>
                <w:lang w:val="es-ES"/>
              </w:rPr>
            </w:pPr>
            <w:r w:rsidRPr="00FE5DBD">
              <w:rPr>
                <w:rFonts w:ascii="Lucida Bright" w:hAnsi="Lucida Bright" w:cs="Calibri"/>
                <w:b/>
                <w:bCs/>
                <w:sz w:val="14"/>
                <w:szCs w:val="14"/>
                <w:lang w:val="es-ES"/>
              </w:rPr>
              <w:t>TOTAL INMOVILIZADO MATERIAL</w:t>
            </w:r>
          </w:p>
        </w:tc>
        <w:tc>
          <w:tcPr>
            <w:tcW w:w="451"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420"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397"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416"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441"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15.465.706,36 </w:t>
            </w:r>
          </w:p>
        </w:tc>
        <w:tc>
          <w:tcPr>
            <w:tcW w:w="441"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15.465.706,36 </w:t>
            </w:r>
          </w:p>
        </w:tc>
      </w:tr>
      <w:tr w:rsidR="00FE5DBD" w:rsidRPr="00FE5DBD" w:rsidTr="00FE5DBD">
        <w:trPr>
          <w:trHeight w:val="210"/>
        </w:trPr>
        <w:tc>
          <w:tcPr>
            <w:tcW w:w="1175" w:type="pct"/>
            <w:tcBorders>
              <w:top w:val="nil"/>
              <w:left w:val="single" w:sz="4" w:space="0" w:color="auto"/>
              <w:bottom w:val="single" w:sz="4" w:space="0" w:color="auto"/>
              <w:right w:val="nil"/>
            </w:tcBorders>
            <w:shd w:val="clear" w:color="000000" w:fill="FFFFFF"/>
            <w:noWrap/>
            <w:vAlign w:val="center"/>
            <w:hideMark/>
          </w:tcPr>
          <w:p w:rsidR="00FE5DBD" w:rsidRPr="00FE5DBD" w:rsidRDefault="00FE5DBD" w:rsidP="00FE5DBD">
            <w:pPr>
              <w:rPr>
                <w:rFonts w:ascii="Lucida Bright" w:hAnsi="Lucida Bright" w:cs="Calibri"/>
                <w:b/>
                <w:bCs/>
                <w:sz w:val="14"/>
                <w:szCs w:val="14"/>
                <w:lang w:val="es-ES"/>
              </w:rPr>
            </w:pPr>
            <w:r w:rsidRPr="00FE5DBD">
              <w:rPr>
                <w:rFonts w:ascii="Lucida Bright" w:hAnsi="Lucida Bright" w:cs="Calibri"/>
                <w:b/>
                <w:bCs/>
                <w:sz w:val="14"/>
                <w:szCs w:val="14"/>
                <w:lang w:val="es-ES"/>
              </w:rPr>
              <w:t>ANTICIPOS E INMOVILIZADO EN CURSO</w:t>
            </w:r>
          </w:p>
        </w:tc>
        <w:tc>
          <w:tcPr>
            <w:tcW w:w="67" w:type="pct"/>
            <w:tcBorders>
              <w:top w:val="nil"/>
              <w:left w:val="nil"/>
              <w:bottom w:val="nil"/>
              <w:right w:val="nil"/>
            </w:tcBorders>
            <w:shd w:val="clear" w:color="auto" w:fill="auto"/>
            <w:noWrap/>
            <w:vAlign w:val="center"/>
            <w:hideMark/>
          </w:tcPr>
          <w:p w:rsidR="00FE5DBD" w:rsidRPr="00FE5DBD" w:rsidRDefault="00FE5DBD" w:rsidP="00FE5DBD">
            <w:pPr>
              <w:rPr>
                <w:rFonts w:ascii="Lucida Bright" w:hAnsi="Lucida Bright" w:cs="Calibri"/>
                <w:b/>
                <w:bCs/>
                <w:sz w:val="14"/>
                <w:szCs w:val="14"/>
                <w:lang w:val="es-ES"/>
              </w:rPr>
            </w:pPr>
            <w:r w:rsidRPr="00FE5DBD">
              <w:rPr>
                <w:rFonts w:ascii="Lucida Bright" w:hAnsi="Lucida Bright" w:cs="Calibri"/>
                <w:b/>
                <w:bCs/>
                <w:sz w:val="14"/>
                <w:szCs w:val="14"/>
                <w:lang w:val="es-ES"/>
              </w:rPr>
              <w:t> </w:t>
            </w:r>
          </w:p>
        </w:tc>
        <w:tc>
          <w:tcPr>
            <w:tcW w:w="451" w:type="pct"/>
            <w:tcBorders>
              <w:top w:val="nil"/>
              <w:left w:val="single" w:sz="4" w:space="0" w:color="auto"/>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20.780.880,82 </w:t>
            </w:r>
          </w:p>
        </w:tc>
        <w:tc>
          <w:tcPr>
            <w:tcW w:w="420"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16"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rPr>
                <w:rFonts w:ascii="Lucida Bright" w:hAnsi="Lucida Bright" w:cs="Calibri"/>
                <w:sz w:val="14"/>
                <w:szCs w:val="14"/>
                <w:lang w:val="es-ES"/>
              </w:rPr>
            </w:pPr>
            <w:r w:rsidRPr="00FE5DBD">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(15.465.706,36)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sz w:val="14"/>
                <w:szCs w:val="14"/>
                <w:lang w:val="es-ES"/>
              </w:rPr>
            </w:pPr>
            <w:r w:rsidRPr="00FE5DBD">
              <w:rPr>
                <w:rFonts w:ascii="Lucida Bright" w:hAnsi="Lucida Bright" w:cs="Calibri"/>
                <w:sz w:val="14"/>
                <w:szCs w:val="14"/>
                <w:lang w:val="es-ES"/>
              </w:rPr>
              <w:t xml:space="preserve">5.315.174,46 </w:t>
            </w:r>
          </w:p>
        </w:tc>
      </w:tr>
      <w:tr w:rsidR="00FE5DBD" w:rsidRPr="00FE5DBD" w:rsidTr="00FE5DBD">
        <w:trPr>
          <w:trHeight w:val="210"/>
        </w:trPr>
        <w:tc>
          <w:tcPr>
            <w:tcW w:w="124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5DBD" w:rsidRPr="00FE5DBD" w:rsidRDefault="00FE5DBD" w:rsidP="00FE5DBD">
            <w:pPr>
              <w:jc w:val="center"/>
              <w:rPr>
                <w:rFonts w:ascii="Lucida Bright" w:hAnsi="Lucida Bright" w:cs="Calibri"/>
                <w:b/>
                <w:bCs/>
                <w:sz w:val="14"/>
                <w:szCs w:val="14"/>
                <w:lang w:val="es-ES"/>
              </w:rPr>
            </w:pPr>
            <w:r w:rsidRPr="00FE5DBD">
              <w:rPr>
                <w:rFonts w:ascii="Lucida Bright" w:hAnsi="Lucida Bright" w:cs="Calibri"/>
                <w:b/>
                <w:bCs/>
                <w:sz w:val="14"/>
                <w:szCs w:val="14"/>
                <w:lang w:val="es-ES"/>
              </w:rPr>
              <w:t>TOTAL</w:t>
            </w:r>
          </w:p>
        </w:tc>
        <w:tc>
          <w:tcPr>
            <w:tcW w:w="45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20.780.880,82 </w:t>
            </w:r>
          </w:p>
        </w:tc>
        <w:tc>
          <w:tcPr>
            <w:tcW w:w="420"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397"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416"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441" w:type="pct"/>
            <w:tcBorders>
              <w:top w:val="nil"/>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 </w:t>
            </w:r>
          </w:p>
        </w:tc>
        <w:tc>
          <w:tcPr>
            <w:tcW w:w="441" w:type="pct"/>
            <w:tcBorders>
              <w:top w:val="single" w:sz="4" w:space="0" w:color="auto"/>
              <w:left w:val="nil"/>
              <w:bottom w:val="single" w:sz="4" w:space="0" w:color="auto"/>
              <w:right w:val="single" w:sz="4" w:space="0" w:color="auto"/>
            </w:tcBorders>
            <w:shd w:val="clear" w:color="000000" w:fill="FFFFFF"/>
            <w:noWrap/>
            <w:vAlign w:val="center"/>
            <w:hideMark/>
          </w:tcPr>
          <w:p w:rsidR="00FE5DBD" w:rsidRPr="00FE5DBD" w:rsidRDefault="00FE5DBD" w:rsidP="00FE5DBD">
            <w:pPr>
              <w:jc w:val="right"/>
              <w:rPr>
                <w:rFonts w:ascii="Lucida Bright" w:hAnsi="Lucida Bright" w:cs="Calibri"/>
                <w:b/>
                <w:bCs/>
                <w:sz w:val="14"/>
                <w:szCs w:val="14"/>
                <w:lang w:val="es-ES"/>
              </w:rPr>
            </w:pPr>
            <w:r w:rsidRPr="00FE5DBD">
              <w:rPr>
                <w:rFonts w:ascii="Lucida Bright" w:hAnsi="Lucida Bright" w:cs="Calibri"/>
                <w:b/>
                <w:bCs/>
                <w:sz w:val="14"/>
                <w:szCs w:val="14"/>
                <w:lang w:val="es-ES"/>
              </w:rPr>
              <w:t xml:space="preserve">20.780.880,82 </w:t>
            </w:r>
          </w:p>
        </w:tc>
      </w:tr>
    </w:tbl>
    <w:p w:rsidR="008D60E9" w:rsidRDefault="008D60E9" w:rsidP="003F45CD">
      <w:pPr>
        <w:pStyle w:val="Sangra3detindependiente"/>
        <w:tabs>
          <w:tab w:val="clear" w:pos="5671"/>
          <w:tab w:val="clear" w:pos="7797"/>
        </w:tabs>
        <w:rPr>
          <w:rFonts w:ascii="NewBaskerville" w:hAnsi="NewBaskerville"/>
          <w:sz w:val="20"/>
          <w:szCs w:val="20"/>
        </w:rPr>
      </w:pPr>
    </w:p>
    <w:p w:rsidR="008D60E9" w:rsidRDefault="008D60E9" w:rsidP="003F45CD">
      <w:pPr>
        <w:pStyle w:val="Sangra3detindependiente"/>
        <w:tabs>
          <w:tab w:val="clear" w:pos="5671"/>
          <w:tab w:val="clear" w:pos="7797"/>
        </w:tabs>
        <w:rPr>
          <w:rFonts w:ascii="NewBaskerville" w:hAnsi="NewBaskerville"/>
          <w:sz w:val="20"/>
          <w:szCs w:val="20"/>
        </w:rPr>
      </w:pPr>
    </w:p>
    <w:p w:rsidR="008D60E9" w:rsidRDefault="008D60E9" w:rsidP="003F45CD">
      <w:pPr>
        <w:pStyle w:val="Sangra3detindependiente"/>
        <w:tabs>
          <w:tab w:val="clear" w:pos="5671"/>
          <w:tab w:val="clear" w:pos="7797"/>
        </w:tabs>
        <w:rPr>
          <w:rFonts w:ascii="NewBaskerville" w:hAnsi="NewBaskerville"/>
          <w:sz w:val="20"/>
          <w:szCs w:val="20"/>
        </w:rPr>
      </w:pPr>
    </w:p>
    <w:p w:rsidR="00FE5DBD" w:rsidRDefault="00FE5DBD" w:rsidP="003F45CD">
      <w:pPr>
        <w:pStyle w:val="Sangra3detindependiente"/>
        <w:tabs>
          <w:tab w:val="clear" w:pos="5671"/>
          <w:tab w:val="clear" w:pos="7797"/>
        </w:tabs>
        <w:rPr>
          <w:rFonts w:ascii="NewBaskerville" w:hAnsi="NewBaskerville"/>
          <w:sz w:val="20"/>
          <w:szCs w:val="20"/>
        </w:rPr>
      </w:pPr>
    </w:p>
    <w:p w:rsidR="00FE5DBD" w:rsidRDefault="00FE5DBD" w:rsidP="003F45CD">
      <w:pPr>
        <w:pStyle w:val="Sangra3detindependiente"/>
        <w:tabs>
          <w:tab w:val="clear" w:pos="5671"/>
          <w:tab w:val="clear" w:pos="7797"/>
        </w:tabs>
        <w:rPr>
          <w:rFonts w:ascii="NewBaskerville" w:hAnsi="NewBaskerville"/>
          <w:sz w:val="20"/>
          <w:szCs w:val="20"/>
        </w:rPr>
      </w:pPr>
    </w:p>
    <w:p w:rsidR="0034275A" w:rsidRDefault="0034275A" w:rsidP="003F45CD">
      <w:pPr>
        <w:pStyle w:val="Sangra3detindependiente"/>
        <w:tabs>
          <w:tab w:val="clear" w:pos="5671"/>
          <w:tab w:val="clear" w:pos="7797"/>
        </w:tabs>
        <w:rPr>
          <w:rFonts w:ascii="NewBaskerville" w:hAnsi="NewBaskerville"/>
          <w:sz w:val="20"/>
          <w:szCs w:val="20"/>
        </w:rPr>
      </w:pPr>
    </w:p>
    <w:p w:rsidR="008D60E9" w:rsidRDefault="008D60E9" w:rsidP="003F45CD">
      <w:pPr>
        <w:pStyle w:val="Sangra3detindependiente"/>
        <w:tabs>
          <w:tab w:val="clear" w:pos="5671"/>
          <w:tab w:val="clear" w:pos="7797"/>
        </w:tabs>
        <w:rPr>
          <w:rFonts w:ascii="NewBaskerville" w:hAnsi="NewBaskerville"/>
          <w:sz w:val="20"/>
          <w:szCs w:val="20"/>
        </w:rPr>
      </w:pPr>
    </w:p>
    <w:p w:rsidR="008D60E9" w:rsidRDefault="008D60E9" w:rsidP="008D60E9">
      <w:pPr>
        <w:pStyle w:val="Sangra3detindependiente"/>
        <w:tabs>
          <w:tab w:val="clear" w:pos="5671"/>
          <w:tab w:val="clear" w:pos="7797"/>
        </w:tabs>
        <w:ind w:firstLine="0"/>
        <w:rPr>
          <w:rFonts w:ascii="NewBaskerville" w:hAnsi="NewBaskerville"/>
          <w:sz w:val="20"/>
          <w:szCs w:val="20"/>
        </w:rPr>
      </w:pPr>
    </w:p>
    <w:tbl>
      <w:tblPr>
        <w:tblW w:w="5533" w:type="pct"/>
        <w:tblInd w:w="-639" w:type="dxa"/>
        <w:tblCellMar>
          <w:left w:w="70" w:type="dxa"/>
          <w:right w:w="70" w:type="dxa"/>
        </w:tblCellMar>
        <w:tblLook w:val="04A0" w:firstRow="1" w:lastRow="0" w:firstColumn="1" w:lastColumn="0" w:noHBand="0" w:noVBand="1"/>
      </w:tblPr>
      <w:tblGrid>
        <w:gridCol w:w="3220"/>
        <w:gridCol w:w="1212"/>
        <w:gridCol w:w="1125"/>
        <w:gridCol w:w="876"/>
        <w:gridCol w:w="992"/>
        <w:gridCol w:w="1192"/>
        <w:gridCol w:w="1069"/>
        <w:gridCol w:w="1346"/>
        <w:gridCol w:w="1065"/>
        <w:gridCol w:w="893"/>
        <w:gridCol w:w="920"/>
        <w:gridCol w:w="1212"/>
      </w:tblGrid>
      <w:tr w:rsidR="001E4C9E" w:rsidRPr="001E4C9E" w:rsidTr="001E4C9E">
        <w:trPr>
          <w:trHeight w:val="300"/>
        </w:trPr>
        <w:tc>
          <w:tcPr>
            <w:tcW w:w="2324" w:type="pct"/>
            <w:gridSpan w:val="5"/>
            <w:tcBorders>
              <w:top w:val="nil"/>
              <w:left w:val="nil"/>
              <w:bottom w:val="single" w:sz="4" w:space="0" w:color="auto"/>
              <w:right w:val="nil"/>
            </w:tcBorders>
            <w:shd w:val="clear" w:color="000000" w:fill="FFFFFF"/>
            <w:noWrap/>
            <w:vAlign w:val="center"/>
            <w:hideMark/>
          </w:tcPr>
          <w:p w:rsidR="001E4C9E" w:rsidRPr="001E4C9E" w:rsidRDefault="001E4C9E" w:rsidP="001E4C9E">
            <w:pPr>
              <w:rPr>
                <w:rFonts w:ascii="Lucida Bright" w:hAnsi="Lucida Bright" w:cs="Calibri"/>
                <w:b/>
                <w:bCs/>
                <w:sz w:val="18"/>
                <w:szCs w:val="18"/>
                <w:lang w:val="es-ES"/>
              </w:rPr>
            </w:pPr>
            <w:r w:rsidRPr="001E4C9E">
              <w:rPr>
                <w:rFonts w:ascii="Lucida Bright" w:hAnsi="Lucida Bright" w:cs="Calibri"/>
                <w:b/>
                <w:bCs/>
                <w:sz w:val="18"/>
                <w:szCs w:val="18"/>
                <w:lang w:val="es-ES"/>
              </w:rPr>
              <w:t>CUADRO: AMORTIZACIÓN ACUMULADA DEL INMOVILIZADO MATERIAL 2022</w:t>
            </w:r>
          </w:p>
        </w:tc>
        <w:tc>
          <w:tcPr>
            <w:tcW w:w="372" w:type="pct"/>
            <w:tcBorders>
              <w:top w:val="nil"/>
              <w:left w:val="nil"/>
              <w:bottom w:val="nil"/>
              <w:right w:val="nil"/>
            </w:tcBorders>
            <w:shd w:val="clear" w:color="000000" w:fill="FFFFFF"/>
            <w:noWrap/>
            <w:vAlign w:val="center"/>
            <w:hideMark/>
          </w:tcPr>
          <w:p w:rsidR="001E4C9E" w:rsidRPr="001E4C9E" w:rsidRDefault="001E4C9E" w:rsidP="001E4C9E">
            <w:pPr>
              <w:rPr>
                <w:rFonts w:ascii="Tahoma" w:hAnsi="Tahoma" w:cs="Tahoma"/>
                <w:lang w:val="es-ES"/>
              </w:rPr>
            </w:pPr>
            <w:r w:rsidRPr="001E4C9E">
              <w:rPr>
                <w:rFonts w:ascii="Tahoma" w:hAnsi="Tahoma" w:cs="Tahoma"/>
                <w:lang w:val="es-ES"/>
              </w:rPr>
              <w:t> </w:t>
            </w:r>
          </w:p>
        </w:tc>
        <w:tc>
          <w:tcPr>
            <w:tcW w:w="334" w:type="pct"/>
            <w:tcBorders>
              <w:top w:val="nil"/>
              <w:left w:val="nil"/>
              <w:bottom w:val="nil"/>
              <w:right w:val="nil"/>
            </w:tcBorders>
            <w:shd w:val="clear" w:color="000000" w:fill="FFFFFF"/>
            <w:noWrap/>
            <w:vAlign w:val="center"/>
            <w:hideMark/>
          </w:tcPr>
          <w:p w:rsidR="001E4C9E" w:rsidRPr="001E4C9E" w:rsidRDefault="001E4C9E" w:rsidP="001E4C9E">
            <w:pPr>
              <w:rPr>
                <w:rFonts w:ascii="Tahoma" w:hAnsi="Tahoma" w:cs="Tahoma"/>
                <w:lang w:val="es-ES"/>
              </w:rPr>
            </w:pPr>
            <w:r w:rsidRPr="001E4C9E">
              <w:rPr>
                <w:rFonts w:ascii="Tahoma" w:hAnsi="Tahoma" w:cs="Tahoma"/>
                <w:lang w:val="es-ES"/>
              </w:rPr>
              <w:t> </w:t>
            </w:r>
          </w:p>
        </w:tc>
        <w:tc>
          <w:tcPr>
            <w:tcW w:w="420" w:type="pct"/>
            <w:tcBorders>
              <w:top w:val="nil"/>
              <w:left w:val="nil"/>
              <w:bottom w:val="nil"/>
              <w:right w:val="nil"/>
            </w:tcBorders>
            <w:shd w:val="clear" w:color="000000" w:fill="FFFFFF"/>
            <w:noWrap/>
            <w:vAlign w:val="center"/>
            <w:hideMark/>
          </w:tcPr>
          <w:p w:rsidR="001E4C9E" w:rsidRPr="001E4C9E" w:rsidRDefault="001E4C9E" w:rsidP="001E4C9E">
            <w:pPr>
              <w:rPr>
                <w:rFonts w:ascii="Tahoma" w:hAnsi="Tahoma" w:cs="Tahoma"/>
                <w:lang w:val="es-ES"/>
              </w:rPr>
            </w:pPr>
            <w:r w:rsidRPr="001E4C9E">
              <w:rPr>
                <w:rFonts w:ascii="Tahoma" w:hAnsi="Tahoma" w:cs="Tahoma"/>
                <w:lang w:val="es-ES"/>
              </w:rPr>
              <w:t> </w:t>
            </w:r>
          </w:p>
        </w:tc>
        <w:tc>
          <w:tcPr>
            <w:tcW w:w="333" w:type="pct"/>
            <w:tcBorders>
              <w:top w:val="nil"/>
              <w:left w:val="nil"/>
              <w:bottom w:val="nil"/>
              <w:right w:val="nil"/>
            </w:tcBorders>
            <w:shd w:val="clear" w:color="000000" w:fill="FFFFFF"/>
            <w:noWrap/>
            <w:vAlign w:val="center"/>
            <w:hideMark/>
          </w:tcPr>
          <w:p w:rsidR="001E4C9E" w:rsidRPr="001E4C9E" w:rsidRDefault="001E4C9E" w:rsidP="001E4C9E">
            <w:pPr>
              <w:rPr>
                <w:rFonts w:ascii="Tahoma" w:hAnsi="Tahoma" w:cs="Tahoma"/>
                <w:lang w:val="es-ES"/>
              </w:rPr>
            </w:pPr>
            <w:r w:rsidRPr="001E4C9E">
              <w:rPr>
                <w:rFonts w:ascii="Tahoma" w:hAnsi="Tahoma" w:cs="Tahoma"/>
                <w:lang w:val="es-ES"/>
              </w:rPr>
              <w:t> </w:t>
            </w:r>
          </w:p>
        </w:tc>
        <w:tc>
          <w:tcPr>
            <w:tcW w:w="280" w:type="pct"/>
            <w:tcBorders>
              <w:top w:val="nil"/>
              <w:left w:val="nil"/>
              <w:bottom w:val="nil"/>
              <w:right w:val="nil"/>
            </w:tcBorders>
            <w:shd w:val="clear" w:color="000000" w:fill="FFFFFF"/>
            <w:noWrap/>
            <w:vAlign w:val="bottom"/>
            <w:hideMark/>
          </w:tcPr>
          <w:p w:rsidR="001E4C9E" w:rsidRPr="001E4C9E" w:rsidRDefault="001E4C9E" w:rsidP="001E4C9E">
            <w:pPr>
              <w:jc w:val="center"/>
              <w:rPr>
                <w:rFonts w:ascii="Lucida Bright" w:hAnsi="Lucida Bright" w:cs="Calibri"/>
                <w:sz w:val="14"/>
                <w:szCs w:val="14"/>
                <w:lang w:val="es-ES"/>
              </w:rPr>
            </w:pPr>
            <w:r w:rsidRPr="001E4C9E">
              <w:rPr>
                <w:rFonts w:ascii="Lucida Bright" w:hAnsi="Lucida Bright" w:cs="Calibri"/>
                <w:sz w:val="14"/>
                <w:szCs w:val="14"/>
                <w:lang w:val="es-ES"/>
              </w:rPr>
              <w:t>(en euros)</w:t>
            </w:r>
          </w:p>
        </w:tc>
        <w:tc>
          <w:tcPr>
            <w:tcW w:w="288" w:type="pct"/>
            <w:tcBorders>
              <w:top w:val="nil"/>
              <w:left w:val="nil"/>
              <w:bottom w:val="nil"/>
              <w:right w:val="nil"/>
            </w:tcBorders>
            <w:shd w:val="clear" w:color="000000" w:fill="FFFFFF"/>
            <w:noWrap/>
            <w:vAlign w:val="center"/>
            <w:hideMark/>
          </w:tcPr>
          <w:p w:rsidR="001E4C9E" w:rsidRPr="001E4C9E" w:rsidRDefault="001E4C9E" w:rsidP="001E4C9E">
            <w:pPr>
              <w:rPr>
                <w:rFonts w:ascii="Tahoma" w:hAnsi="Tahoma" w:cs="Tahoma"/>
                <w:lang w:val="es-ES"/>
              </w:rPr>
            </w:pPr>
            <w:r w:rsidRPr="001E4C9E">
              <w:rPr>
                <w:rFonts w:ascii="Tahoma" w:hAnsi="Tahoma" w:cs="Tahoma"/>
                <w:lang w:val="es-ES"/>
              </w:rPr>
              <w:t> </w:t>
            </w:r>
          </w:p>
        </w:tc>
        <w:tc>
          <w:tcPr>
            <w:tcW w:w="648" w:type="pct"/>
            <w:tcBorders>
              <w:top w:val="nil"/>
              <w:left w:val="nil"/>
              <w:bottom w:val="nil"/>
              <w:right w:val="nil"/>
            </w:tcBorders>
            <w:shd w:val="clear" w:color="000000" w:fill="FFFFFF"/>
            <w:noWrap/>
            <w:vAlign w:val="center"/>
            <w:hideMark/>
          </w:tcPr>
          <w:p w:rsidR="001E4C9E" w:rsidRPr="001E4C9E" w:rsidRDefault="001E4C9E" w:rsidP="001E4C9E">
            <w:pPr>
              <w:rPr>
                <w:rFonts w:ascii="Tahoma" w:hAnsi="Tahoma" w:cs="Tahoma"/>
                <w:lang w:val="es-ES"/>
              </w:rPr>
            </w:pPr>
            <w:r w:rsidRPr="001E4C9E">
              <w:rPr>
                <w:rFonts w:ascii="Tahoma" w:hAnsi="Tahoma" w:cs="Tahoma"/>
                <w:lang w:val="es-ES"/>
              </w:rPr>
              <w:t> </w:t>
            </w:r>
          </w:p>
        </w:tc>
      </w:tr>
      <w:tr w:rsidR="001E4C9E" w:rsidRPr="001E4C9E" w:rsidTr="001E4C9E">
        <w:trPr>
          <w:trHeight w:val="330"/>
        </w:trPr>
        <w:tc>
          <w:tcPr>
            <w:tcW w:w="1001" w:type="pct"/>
            <w:vMerge w:val="restart"/>
            <w:tcBorders>
              <w:top w:val="single" w:sz="4" w:space="0" w:color="auto"/>
              <w:left w:val="single" w:sz="4" w:space="0" w:color="auto"/>
              <w:bottom w:val="single" w:sz="4" w:space="0" w:color="000000"/>
              <w:right w:val="single" w:sz="4" w:space="0" w:color="000000"/>
            </w:tcBorders>
            <w:shd w:val="clear" w:color="000000" w:fill="CCFFCC"/>
            <w:vAlign w:val="center"/>
            <w:hideMark/>
          </w:tcPr>
          <w:p w:rsidR="001E4C9E" w:rsidRPr="001E4C9E" w:rsidRDefault="001E4C9E" w:rsidP="001E4C9E">
            <w:pPr>
              <w:jc w:val="center"/>
              <w:rPr>
                <w:rFonts w:ascii="Lucida Bright" w:hAnsi="Lucida Bright" w:cs="Calibri"/>
                <w:b/>
                <w:bCs/>
                <w:sz w:val="14"/>
                <w:szCs w:val="14"/>
                <w:lang w:val="es-ES"/>
              </w:rPr>
            </w:pPr>
            <w:r w:rsidRPr="001E4C9E">
              <w:rPr>
                <w:rFonts w:ascii="Lucida Bright" w:hAnsi="Lucida Bright" w:cs="Calibri"/>
                <w:b/>
                <w:bCs/>
                <w:sz w:val="14"/>
                <w:szCs w:val="14"/>
                <w:lang w:val="es-ES"/>
              </w:rPr>
              <w:t>CONCEPTO</w:t>
            </w:r>
          </w:p>
        </w:tc>
        <w:tc>
          <w:tcPr>
            <w:tcW w:w="379" w:type="pct"/>
            <w:vMerge w:val="restart"/>
            <w:tcBorders>
              <w:top w:val="nil"/>
              <w:left w:val="single" w:sz="4" w:space="0" w:color="auto"/>
              <w:bottom w:val="single" w:sz="4" w:space="0" w:color="000000"/>
              <w:right w:val="single" w:sz="4" w:space="0" w:color="auto"/>
            </w:tcBorders>
            <w:shd w:val="clear" w:color="000000" w:fill="CCFFCC"/>
            <w:vAlign w:val="center"/>
            <w:hideMark/>
          </w:tcPr>
          <w:p w:rsidR="001E4C9E" w:rsidRPr="001E4C9E" w:rsidRDefault="001E4C9E" w:rsidP="001E4C9E">
            <w:pPr>
              <w:jc w:val="center"/>
              <w:rPr>
                <w:rFonts w:ascii="Lucida Bright" w:hAnsi="Lucida Bright" w:cs="Calibri"/>
                <w:b/>
                <w:bCs/>
                <w:sz w:val="14"/>
                <w:szCs w:val="14"/>
                <w:lang w:val="es-ES"/>
              </w:rPr>
            </w:pPr>
            <w:r w:rsidRPr="001E4C9E">
              <w:rPr>
                <w:rFonts w:ascii="Lucida Bright" w:hAnsi="Lucida Bright" w:cs="Calibri"/>
                <w:b/>
                <w:bCs/>
                <w:sz w:val="14"/>
                <w:szCs w:val="14"/>
                <w:lang w:val="es-ES"/>
              </w:rPr>
              <w:t>Saldo a</w:t>
            </w:r>
            <w:r w:rsidRPr="001E4C9E">
              <w:rPr>
                <w:rFonts w:ascii="Lucida Bright" w:hAnsi="Lucida Bright" w:cs="Calibri"/>
                <w:b/>
                <w:bCs/>
                <w:sz w:val="14"/>
                <w:szCs w:val="14"/>
                <w:lang w:val="es-ES"/>
              </w:rPr>
              <w:br/>
              <w:t>31-12-21</w:t>
            </w:r>
          </w:p>
        </w:tc>
        <w:tc>
          <w:tcPr>
            <w:tcW w:w="356" w:type="pct"/>
            <w:vMerge w:val="restart"/>
            <w:tcBorders>
              <w:top w:val="nil"/>
              <w:left w:val="single" w:sz="4" w:space="0" w:color="auto"/>
              <w:bottom w:val="single" w:sz="4" w:space="0" w:color="000000"/>
              <w:right w:val="single" w:sz="4" w:space="0" w:color="auto"/>
            </w:tcBorders>
            <w:shd w:val="clear" w:color="000000" w:fill="CCFFCC"/>
            <w:vAlign w:val="center"/>
            <w:hideMark/>
          </w:tcPr>
          <w:p w:rsidR="001E4C9E" w:rsidRPr="001E4C9E" w:rsidRDefault="001E4C9E" w:rsidP="001E4C9E">
            <w:pPr>
              <w:jc w:val="center"/>
              <w:rPr>
                <w:rFonts w:ascii="Lucida Bright" w:hAnsi="Lucida Bright" w:cs="Calibri"/>
                <w:b/>
                <w:bCs/>
                <w:sz w:val="14"/>
                <w:szCs w:val="14"/>
                <w:lang w:val="es-ES"/>
              </w:rPr>
            </w:pPr>
            <w:r w:rsidRPr="001E4C9E">
              <w:rPr>
                <w:rFonts w:ascii="Lucida Bright" w:hAnsi="Lucida Bright" w:cs="Calibri"/>
                <w:b/>
                <w:bCs/>
                <w:sz w:val="14"/>
                <w:szCs w:val="14"/>
                <w:lang w:val="es-ES"/>
              </w:rPr>
              <w:t>Dotaciones</w:t>
            </w:r>
            <w:r w:rsidRPr="001E4C9E">
              <w:rPr>
                <w:rFonts w:ascii="Lucida Bright" w:hAnsi="Lucida Bright" w:cs="Calibri"/>
                <w:b/>
                <w:bCs/>
                <w:sz w:val="14"/>
                <w:szCs w:val="14"/>
                <w:lang w:val="es-ES"/>
              </w:rPr>
              <w:br/>
              <w:t>(+)</w:t>
            </w:r>
          </w:p>
        </w:tc>
        <w:tc>
          <w:tcPr>
            <w:tcW w:w="1295" w:type="pct"/>
            <w:gridSpan w:val="4"/>
            <w:tcBorders>
              <w:top w:val="single" w:sz="4" w:space="0" w:color="auto"/>
              <w:left w:val="nil"/>
              <w:bottom w:val="single" w:sz="4" w:space="0" w:color="auto"/>
              <w:right w:val="single" w:sz="4" w:space="0" w:color="000000"/>
            </w:tcBorders>
            <w:shd w:val="clear" w:color="000000" w:fill="CCFFCC"/>
            <w:noWrap/>
            <w:vAlign w:val="center"/>
            <w:hideMark/>
          </w:tcPr>
          <w:p w:rsidR="001E4C9E" w:rsidRPr="001E4C9E" w:rsidRDefault="001E4C9E" w:rsidP="001E4C9E">
            <w:pPr>
              <w:jc w:val="center"/>
              <w:rPr>
                <w:rFonts w:ascii="Lucida Bright" w:hAnsi="Lucida Bright" w:cs="Calibri"/>
                <w:b/>
                <w:bCs/>
                <w:sz w:val="14"/>
                <w:szCs w:val="14"/>
                <w:lang w:val="es-ES"/>
              </w:rPr>
            </w:pPr>
            <w:r w:rsidRPr="001E4C9E">
              <w:rPr>
                <w:rFonts w:ascii="Lucida Bright" w:hAnsi="Lucida Bright" w:cs="Calibri"/>
                <w:b/>
                <w:bCs/>
                <w:sz w:val="14"/>
                <w:szCs w:val="14"/>
                <w:lang w:val="es-ES"/>
              </w:rPr>
              <w:t>Bajas</w:t>
            </w:r>
          </w:p>
        </w:tc>
        <w:tc>
          <w:tcPr>
            <w:tcW w:w="420" w:type="pct"/>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1E4C9E" w:rsidRPr="001E4C9E" w:rsidRDefault="001E4C9E" w:rsidP="001E4C9E">
            <w:pPr>
              <w:jc w:val="center"/>
              <w:rPr>
                <w:rFonts w:ascii="Lucida Bright" w:hAnsi="Lucida Bright" w:cs="Calibri"/>
                <w:b/>
                <w:bCs/>
                <w:sz w:val="14"/>
                <w:szCs w:val="14"/>
                <w:lang w:val="es-ES"/>
              </w:rPr>
            </w:pPr>
            <w:r w:rsidRPr="001E4C9E">
              <w:rPr>
                <w:rFonts w:ascii="Lucida Bright" w:hAnsi="Lucida Bright" w:cs="Calibri"/>
                <w:b/>
                <w:bCs/>
                <w:sz w:val="14"/>
                <w:szCs w:val="14"/>
                <w:lang w:val="es-ES"/>
              </w:rPr>
              <w:t>Reclasificaciones</w:t>
            </w:r>
            <w:r w:rsidRPr="001E4C9E">
              <w:rPr>
                <w:rFonts w:ascii="Lucida Bright" w:hAnsi="Lucida Bright" w:cs="Calibri"/>
                <w:b/>
                <w:bCs/>
                <w:sz w:val="14"/>
                <w:szCs w:val="14"/>
                <w:lang w:val="es-ES"/>
              </w:rPr>
              <w:br/>
              <w:t>(+/-)</w:t>
            </w:r>
          </w:p>
        </w:tc>
        <w:tc>
          <w:tcPr>
            <w:tcW w:w="333" w:type="pct"/>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1E4C9E" w:rsidRPr="001E4C9E" w:rsidRDefault="001E4C9E" w:rsidP="001E4C9E">
            <w:pPr>
              <w:jc w:val="center"/>
              <w:rPr>
                <w:rFonts w:ascii="Lucida Bright" w:hAnsi="Lucida Bright" w:cs="Calibri"/>
                <w:b/>
                <w:bCs/>
                <w:sz w:val="14"/>
                <w:szCs w:val="14"/>
                <w:lang w:val="es-ES"/>
              </w:rPr>
            </w:pPr>
            <w:r w:rsidRPr="001E4C9E">
              <w:rPr>
                <w:rFonts w:ascii="Lucida Bright" w:hAnsi="Lucida Bright" w:cs="Calibri"/>
                <w:b/>
                <w:bCs/>
                <w:sz w:val="14"/>
                <w:szCs w:val="14"/>
                <w:lang w:val="es-ES"/>
              </w:rPr>
              <w:t>Traspaso a / de inversiones inmobiliarias</w:t>
            </w:r>
            <w:r w:rsidRPr="001E4C9E">
              <w:rPr>
                <w:rFonts w:ascii="Lucida Bright" w:hAnsi="Lucida Bright" w:cs="Calibri"/>
                <w:b/>
                <w:bCs/>
                <w:sz w:val="14"/>
                <w:szCs w:val="14"/>
                <w:lang w:val="es-ES"/>
              </w:rPr>
              <w:br/>
              <w:t>(-/+)</w:t>
            </w:r>
          </w:p>
        </w:tc>
        <w:tc>
          <w:tcPr>
            <w:tcW w:w="280" w:type="pct"/>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1E4C9E" w:rsidRPr="001E4C9E" w:rsidRDefault="001E4C9E" w:rsidP="001E4C9E">
            <w:pPr>
              <w:jc w:val="center"/>
              <w:rPr>
                <w:rFonts w:ascii="Lucida Bright" w:hAnsi="Lucida Bright" w:cs="Calibri"/>
                <w:b/>
                <w:bCs/>
                <w:sz w:val="14"/>
                <w:szCs w:val="14"/>
                <w:lang w:val="es-ES"/>
              </w:rPr>
            </w:pPr>
            <w:r w:rsidRPr="001E4C9E">
              <w:rPr>
                <w:rFonts w:ascii="Lucida Bright" w:hAnsi="Lucida Bright" w:cs="Calibri"/>
                <w:b/>
                <w:bCs/>
                <w:sz w:val="14"/>
                <w:szCs w:val="14"/>
                <w:lang w:val="es-ES"/>
              </w:rPr>
              <w:t>Traspaso a activo</w:t>
            </w:r>
            <w:r w:rsidRPr="001E4C9E">
              <w:rPr>
                <w:rFonts w:ascii="Lucida Bright" w:hAnsi="Lucida Bright" w:cs="Calibri"/>
                <w:b/>
                <w:bCs/>
                <w:sz w:val="14"/>
                <w:szCs w:val="14"/>
                <w:lang w:val="es-ES"/>
              </w:rPr>
              <w:br/>
              <w:t>no corriente mantenido</w:t>
            </w:r>
            <w:r w:rsidRPr="001E4C9E">
              <w:rPr>
                <w:rFonts w:ascii="Lucida Bright" w:hAnsi="Lucida Bright" w:cs="Calibri"/>
                <w:b/>
                <w:bCs/>
                <w:sz w:val="14"/>
                <w:szCs w:val="14"/>
                <w:lang w:val="es-ES"/>
              </w:rPr>
              <w:br/>
              <w:t>para la venta (-)</w:t>
            </w:r>
          </w:p>
        </w:tc>
        <w:tc>
          <w:tcPr>
            <w:tcW w:w="288" w:type="pct"/>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1E4C9E" w:rsidRPr="001E4C9E" w:rsidRDefault="001E4C9E" w:rsidP="001E4C9E">
            <w:pPr>
              <w:jc w:val="center"/>
              <w:rPr>
                <w:rFonts w:ascii="Lucida Bright" w:hAnsi="Lucida Bright" w:cs="Calibri"/>
                <w:b/>
                <w:bCs/>
                <w:sz w:val="14"/>
                <w:szCs w:val="14"/>
                <w:lang w:val="es-ES"/>
              </w:rPr>
            </w:pPr>
            <w:r w:rsidRPr="001E4C9E">
              <w:rPr>
                <w:rFonts w:ascii="Lucida Bright" w:hAnsi="Lucida Bright" w:cs="Calibri"/>
                <w:b/>
                <w:bCs/>
                <w:sz w:val="14"/>
                <w:szCs w:val="14"/>
                <w:lang w:val="es-ES"/>
              </w:rPr>
              <w:t>Ajustes</w:t>
            </w:r>
            <w:r w:rsidRPr="001E4C9E">
              <w:rPr>
                <w:rFonts w:ascii="Lucida Bright" w:hAnsi="Lucida Bright" w:cs="Calibri"/>
                <w:b/>
                <w:bCs/>
                <w:sz w:val="14"/>
                <w:szCs w:val="14"/>
                <w:lang w:val="es-ES"/>
              </w:rPr>
              <w:br/>
              <w:t>contra</w:t>
            </w:r>
            <w:r w:rsidRPr="001E4C9E">
              <w:rPr>
                <w:rFonts w:ascii="Lucida Bright" w:hAnsi="Lucida Bright" w:cs="Calibri"/>
                <w:b/>
                <w:bCs/>
                <w:sz w:val="14"/>
                <w:szCs w:val="14"/>
                <w:lang w:val="es-ES"/>
              </w:rPr>
              <w:br/>
              <w:t>patrimonio (+/-)</w:t>
            </w:r>
          </w:p>
        </w:tc>
        <w:tc>
          <w:tcPr>
            <w:tcW w:w="648" w:type="pct"/>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1E4C9E" w:rsidRPr="001E4C9E" w:rsidRDefault="001E4C9E" w:rsidP="001E4C9E">
            <w:pPr>
              <w:jc w:val="center"/>
              <w:rPr>
                <w:rFonts w:ascii="Lucida Bright" w:hAnsi="Lucida Bright" w:cs="Calibri"/>
                <w:b/>
                <w:bCs/>
                <w:sz w:val="14"/>
                <w:szCs w:val="14"/>
                <w:lang w:val="es-ES"/>
              </w:rPr>
            </w:pPr>
            <w:r w:rsidRPr="001E4C9E">
              <w:rPr>
                <w:rFonts w:ascii="Lucida Bright" w:hAnsi="Lucida Bright" w:cs="Calibri"/>
                <w:b/>
                <w:bCs/>
                <w:sz w:val="14"/>
                <w:szCs w:val="14"/>
                <w:lang w:val="es-ES"/>
              </w:rPr>
              <w:t>Saldo a</w:t>
            </w:r>
            <w:r w:rsidRPr="001E4C9E">
              <w:rPr>
                <w:rFonts w:ascii="Lucida Bright" w:hAnsi="Lucida Bright" w:cs="Calibri"/>
                <w:b/>
                <w:bCs/>
                <w:sz w:val="14"/>
                <w:szCs w:val="14"/>
                <w:lang w:val="es-ES"/>
              </w:rPr>
              <w:br/>
              <w:t>31-12-22</w:t>
            </w:r>
          </w:p>
        </w:tc>
      </w:tr>
      <w:tr w:rsidR="001E4C9E" w:rsidRPr="001E4C9E" w:rsidTr="001E4C9E">
        <w:trPr>
          <w:trHeight w:val="960"/>
        </w:trPr>
        <w:tc>
          <w:tcPr>
            <w:tcW w:w="1001" w:type="pct"/>
            <w:vMerge/>
            <w:tcBorders>
              <w:top w:val="single" w:sz="4" w:space="0" w:color="auto"/>
              <w:left w:val="single" w:sz="4" w:space="0" w:color="auto"/>
              <w:bottom w:val="single" w:sz="4" w:space="0" w:color="000000"/>
              <w:right w:val="single" w:sz="4" w:space="0" w:color="000000"/>
            </w:tcBorders>
            <w:vAlign w:val="center"/>
            <w:hideMark/>
          </w:tcPr>
          <w:p w:rsidR="001E4C9E" w:rsidRPr="001E4C9E" w:rsidRDefault="001E4C9E" w:rsidP="001E4C9E">
            <w:pPr>
              <w:rPr>
                <w:rFonts w:ascii="Lucida Bright" w:hAnsi="Lucida Bright" w:cs="Calibri"/>
                <w:b/>
                <w:bCs/>
                <w:sz w:val="14"/>
                <w:szCs w:val="14"/>
                <w:lang w:val="es-ES"/>
              </w:rPr>
            </w:pPr>
          </w:p>
        </w:tc>
        <w:tc>
          <w:tcPr>
            <w:tcW w:w="379" w:type="pct"/>
            <w:vMerge/>
            <w:tcBorders>
              <w:top w:val="nil"/>
              <w:left w:val="single" w:sz="4" w:space="0" w:color="auto"/>
              <w:bottom w:val="single" w:sz="4" w:space="0" w:color="000000"/>
              <w:right w:val="single" w:sz="4" w:space="0" w:color="auto"/>
            </w:tcBorders>
            <w:vAlign w:val="center"/>
            <w:hideMark/>
          </w:tcPr>
          <w:p w:rsidR="001E4C9E" w:rsidRPr="001E4C9E" w:rsidRDefault="001E4C9E" w:rsidP="001E4C9E">
            <w:pPr>
              <w:rPr>
                <w:rFonts w:ascii="Lucida Bright" w:hAnsi="Lucida Bright" w:cs="Calibri"/>
                <w:b/>
                <w:bCs/>
                <w:sz w:val="14"/>
                <w:szCs w:val="14"/>
                <w:lang w:val="es-ES"/>
              </w:rPr>
            </w:pPr>
          </w:p>
        </w:tc>
        <w:tc>
          <w:tcPr>
            <w:tcW w:w="356" w:type="pct"/>
            <w:vMerge/>
            <w:tcBorders>
              <w:top w:val="nil"/>
              <w:left w:val="single" w:sz="4" w:space="0" w:color="auto"/>
              <w:bottom w:val="single" w:sz="4" w:space="0" w:color="000000"/>
              <w:right w:val="single" w:sz="4" w:space="0" w:color="auto"/>
            </w:tcBorders>
            <w:vAlign w:val="center"/>
            <w:hideMark/>
          </w:tcPr>
          <w:p w:rsidR="001E4C9E" w:rsidRPr="001E4C9E" w:rsidRDefault="001E4C9E" w:rsidP="001E4C9E">
            <w:pPr>
              <w:rPr>
                <w:rFonts w:ascii="Lucida Bright" w:hAnsi="Lucida Bright" w:cs="Calibri"/>
                <w:b/>
                <w:bCs/>
                <w:sz w:val="14"/>
                <w:szCs w:val="14"/>
                <w:lang w:val="es-ES"/>
              </w:rPr>
            </w:pPr>
          </w:p>
        </w:tc>
        <w:tc>
          <w:tcPr>
            <w:tcW w:w="278" w:type="pct"/>
            <w:tcBorders>
              <w:top w:val="nil"/>
              <w:left w:val="nil"/>
              <w:bottom w:val="single" w:sz="4" w:space="0" w:color="auto"/>
              <w:right w:val="single" w:sz="4" w:space="0" w:color="auto"/>
            </w:tcBorders>
            <w:shd w:val="clear" w:color="000000" w:fill="CCFFCC"/>
            <w:vAlign w:val="center"/>
            <w:hideMark/>
          </w:tcPr>
          <w:p w:rsidR="001E4C9E" w:rsidRPr="001E4C9E" w:rsidRDefault="001E4C9E" w:rsidP="001E4C9E">
            <w:pPr>
              <w:jc w:val="center"/>
              <w:rPr>
                <w:rFonts w:ascii="Lucida Bright" w:hAnsi="Lucida Bright" w:cs="Calibri"/>
                <w:b/>
                <w:bCs/>
                <w:sz w:val="14"/>
                <w:szCs w:val="14"/>
                <w:lang w:val="es-ES"/>
              </w:rPr>
            </w:pPr>
            <w:r w:rsidRPr="001E4C9E">
              <w:rPr>
                <w:rFonts w:ascii="Lucida Bright" w:hAnsi="Lucida Bright" w:cs="Calibri"/>
                <w:b/>
                <w:bCs/>
                <w:sz w:val="14"/>
                <w:szCs w:val="14"/>
                <w:lang w:val="es-ES"/>
              </w:rPr>
              <w:t>Ventas,</w:t>
            </w:r>
            <w:r w:rsidRPr="001E4C9E">
              <w:rPr>
                <w:rFonts w:ascii="Lucida Bright" w:hAnsi="Lucida Bright" w:cs="Calibri"/>
                <w:b/>
                <w:bCs/>
                <w:sz w:val="14"/>
                <w:szCs w:val="14"/>
                <w:lang w:val="es-ES"/>
              </w:rPr>
              <w:br/>
              <w:t>Retiros</w:t>
            </w:r>
            <w:r w:rsidRPr="001E4C9E">
              <w:rPr>
                <w:rFonts w:ascii="Lucida Bright" w:hAnsi="Lucida Bright" w:cs="Calibri"/>
                <w:b/>
                <w:bCs/>
                <w:sz w:val="14"/>
                <w:szCs w:val="14"/>
                <w:lang w:val="es-ES"/>
              </w:rPr>
              <w:br/>
              <w:t>y otras bajas</w:t>
            </w:r>
            <w:r w:rsidRPr="001E4C9E">
              <w:rPr>
                <w:rFonts w:ascii="Lucida Bright" w:hAnsi="Lucida Bright" w:cs="Calibri"/>
                <w:b/>
                <w:bCs/>
                <w:sz w:val="14"/>
                <w:szCs w:val="14"/>
                <w:lang w:val="es-ES"/>
              </w:rPr>
              <w:br/>
              <w:t>(-)</w:t>
            </w:r>
          </w:p>
        </w:tc>
        <w:tc>
          <w:tcPr>
            <w:tcW w:w="310" w:type="pct"/>
            <w:tcBorders>
              <w:top w:val="nil"/>
              <w:left w:val="nil"/>
              <w:bottom w:val="nil"/>
              <w:right w:val="single" w:sz="4" w:space="0" w:color="auto"/>
            </w:tcBorders>
            <w:shd w:val="clear" w:color="000000" w:fill="CCFFCC"/>
            <w:vAlign w:val="center"/>
            <w:hideMark/>
          </w:tcPr>
          <w:p w:rsidR="001E4C9E" w:rsidRPr="001E4C9E" w:rsidRDefault="001E4C9E" w:rsidP="001E4C9E">
            <w:pPr>
              <w:jc w:val="center"/>
              <w:rPr>
                <w:rFonts w:ascii="Lucida Bright" w:hAnsi="Lucida Bright" w:cs="Calibri"/>
                <w:b/>
                <w:bCs/>
                <w:sz w:val="14"/>
                <w:szCs w:val="14"/>
                <w:lang w:val="es-ES"/>
              </w:rPr>
            </w:pPr>
            <w:r w:rsidRPr="001E4C9E">
              <w:rPr>
                <w:rFonts w:ascii="Lucida Bright" w:hAnsi="Lucida Bright" w:cs="Calibri"/>
                <w:b/>
                <w:bCs/>
                <w:sz w:val="14"/>
                <w:szCs w:val="14"/>
                <w:lang w:val="es-ES"/>
              </w:rPr>
              <w:t>Elementos</w:t>
            </w:r>
            <w:r w:rsidRPr="001E4C9E">
              <w:rPr>
                <w:rFonts w:ascii="Lucida Bright" w:hAnsi="Lucida Bright" w:cs="Calibri"/>
                <w:b/>
                <w:bCs/>
                <w:sz w:val="14"/>
                <w:szCs w:val="14"/>
                <w:lang w:val="es-ES"/>
              </w:rPr>
              <w:br/>
              <w:t>subsumidos</w:t>
            </w:r>
            <w:r w:rsidRPr="001E4C9E">
              <w:rPr>
                <w:rFonts w:ascii="Lucida Bright" w:hAnsi="Lucida Bright" w:cs="Calibri"/>
                <w:b/>
                <w:bCs/>
                <w:sz w:val="14"/>
                <w:szCs w:val="14"/>
                <w:lang w:val="es-ES"/>
              </w:rPr>
              <w:br/>
              <w:t>(-)</w:t>
            </w:r>
          </w:p>
        </w:tc>
        <w:tc>
          <w:tcPr>
            <w:tcW w:w="372" w:type="pct"/>
            <w:tcBorders>
              <w:top w:val="nil"/>
              <w:left w:val="nil"/>
              <w:bottom w:val="nil"/>
              <w:right w:val="single" w:sz="4" w:space="0" w:color="auto"/>
            </w:tcBorders>
            <w:shd w:val="clear" w:color="000000" w:fill="CCFFCC"/>
            <w:vAlign w:val="center"/>
            <w:hideMark/>
          </w:tcPr>
          <w:p w:rsidR="001E4C9E" w:rsidRPr="001E4C9E" w:rsidRDefault="001E4C9E" w:rsidP="001E4C9E">
            <w:pPr>
              <w:jc w:val="center"/>
              <w:rPr>
                <w:rFonts w:ascii="Lucida Bright" w:hAnsi="Lucida Bright" w:cs="Calibri"/>
                <w:b/>
                <w:bCs/>
                <w:sz w:val="14"/>
                <w:szCs w:val="14"/>
                <w:lang w:val="es-ES"/>
              </w:rPr>
            </w:pPr>
            <w:r w:rsidRPr="001E4C9E">
              <w:rPr>
                <w:rFonts w:ascii="Lucida Bright" w:hAnsi="Lucida Bright" w:cs="Calibri"/>
                <w:b/>
                <w:bCs/>
                <w:sz w:val="14"/>
                <w:szCs w:val="14"/>
                <w:lang w:val="es-ES"/>
              </w:rPr>
              <w:t>Transferencias</w:t>
            </w:r>
            <w:r w:rsidRPr="001E4C9E">
              <w:rPr>
                <w:rFonts w:ascii="Lucida Bright" w:hAnsi="Lucida Bright" w:cs="Calibri"/>
                <w:b/>
                <w:bCs/>
                <w:sz w:val="14"/>
                <w:szCs w:val="14"/>
                <w:lang w:val="es-ES"/>
              </w:rPr>
              <w:br/>
              <w:t>a otros</w:t>
            </w:r>
            <w:r w:rsidRPr="001E4C9E">
              <w:rPr>
                <w:rFonts w:ascii="Lucida Bright" w:hAnsi="Lucida Bright" w:cs="Calibri"/>
                <w:b/>
                <w:bCs/>
                <w:sz w:val="14"/>
                <w:szCs w:val="14"/>
                <w:lang w:val="es-ES"/>
              </w:rPr>
              <w:br/>
              <w:t>Organismos</w:t>
            </w:r>
            <w:r w:rsidRPr="001E4C9E">
              <w:rPr>
                <w:rFonts w:ascii="Lucida Bright" w:hAnsi="Lucida Bright" w:cs="Calibri"/>
                <w:b/>
                <w:bCs/>
                <w:sz w:val="14"/>
                <w:szCs w:val="14"/>
                <w:lang w:val="es-ES"/>
              </w:rPr>
              <w:br/>
              <w:t>Públicos (-)</w:t>
            </w:r>
          </w:p>
        </w:tc>
        <w:tc>
          <w:tcPr>
            <w:tcW w:w="334" w:type="pct"/>
            <w:tcBorders>
              <w:top w:val="nil"/>
              <w:left w:val="nil"/>
              <w:bottom w:val="nil"/>
              <w:right w:val="single" w:sz="4" w:space="0" w:color="auto"/>
            </w:tcBorders>
            <w:shd w:val="clear" w:color="000000" w:fill="CCFFCC"/>
            <w:vAlign w:val="center"/>
            <w:hideMark/>
          </w:tcPr>
          <w:p w:rsidR="001E4C9E" w:rsidRPr="001E4C9E" w:rsidRDefault="001E4C9E" w:rsidP="001E4C9E">
            <w:pPr>
              <w:jc w:val="center"/>
              <w:rPr>
                <w:rFonts w:ascii="Lucida Bright" w:hAnsi="Lucida Bright" w:cs="Calibri"/>
                <w:b/>
                <w:bCs/>
                <w:sz w:val="14"/>
                <w:szCs w:val="14"/>
                <w:lang w:val="es-ES"/>
              </w:rPr>
            </w:pPr>
            <w:r w:rsidRPr="001E4C9E">
              <w:rPr>
                <w:rFonts w:ascii="Lucida Bright" w:hAnsi="Lucida Bright" w:cs="Calibri"/>
                <w:b/>
                <w:bCs/>
                <w:sz w:val="14"/>
                <w:szCs w:val="14"/>
                <w:lang w:val="es-ES"/>
              </w:rPr>
              <w:t>Inmovilizado</w:t>
            </w:r>
            <w:r w:rsidRPr="001E4C9E">
              <w:rPr>
                <w:rFonts w:ascii="Lucida Bright" w:hAnsi="Lucida Bright" w:cs="Calibri"/>
                <w:b/>
                <w:bCs/>
                <w:sz w:val="14"/>
                <w:szCs w:val="14"/>
                <w:lang w:val="es-ES"/>
              </w:rPr>
              <w:br/>
              <w:t>abierto al</w:t>
            </w:r>
            <w:r w:rsidRPr="001E4C9E">
              <w:rPr>
                <w:rFonts w:ascii="Lucida Bright" w:hAnsi="Lucida Bright" w:cs="Calibri"/>
                <w:b/>
                <w:bCs/>
                <w:sz w:val="14"/>
                <w:szCs w:val="14"/>
                <w:lang w:val="es-ES"/>
              </w:rPr>
              <w:br/>
              <w:t>uso general (-)</w:t>
            </w:r>
          </w:p>
        </w:tc>
        <w:tc>
          <w:tcPr>
            <w:tcW w:w="420" w:type="pct"/>
            <w:vMerge/>
            <w:tcBorders>
              <w:top w:val="single" w:sz="4" w:space="0" w:color="auto"/>
              <w:left w:val="single" w:sz="4" w:space="0" w:color="auto"/>
              <w:bottom w:val="single" w:sz="4" w:space="0" w:color="000000"/>
              <w:right w:val="single" w:sz="4" w:space="0" w:color="auto"/>
            </w:tcBorders>
            <w:vAlign w:val="center"/>
            <w:hideMark/>
          </w:tcPr>
          <w:p w:rsidR="001E4C9E" w:rsidRPr="001E4C9E" w:rsidRDefault="001E4C9E" w:rsidP="001E4C9E">
            <w:pPr>
              <w:rPr>
                <w:rFonts w:ascii="Lucida Bright" w:hAnsi="Lucida Bright" w:cs="Calibri"/>
                <w:b/>
                <w:bCs/>
                <w:sz w:val="14"/>
                <w:szCs w:val="14"/>
                <w:lang w:val="es-ES"/>
              </w:rPr>
            </w:pPr>
          </w:p>
        </w:tc>
        <w:tc>
          <w:tcPr>
            <w:tcW w:w="333" w:type="pct"/>
            <w:vMerge/>
            <w:tcBorders>
              <w:top w:val="single" w:sz="4" w:space="0" w:color="auto"/>
              <w:left w:val="single" w:sz="4" w:space="0" w:color="auto"/>
              <w:bottom w:val="single" w:sz="4" w:space="0" w:color="000000"/>
              <w:right w:val="single" w:sz="4" w:space="0" w:color="auto"/>
            </w:tcBorders>
            <w:vAlign w:val="center"/>
            <w:hideMark/>
          </w:tcPr>
          <w:p w:rsidR="001E4C9E" w:rsidRPr="001E4C9E" w:rsidRDefault="001E4C9E" w:rsidP="001E4C9E">
            <w:pPr>
              <w:rPr>
                <w:rFonts w:ascii="Lucida Bright" w:hAnsi="Lucida Bright" w:cs="Calibri"/>
                <w:b/>
                <w:bCs/>
                <w:sz w:val="14"/>
                <w:szCs w:val="14"/>
                <w:lang w:val="es-ES"/>
              </w:rPr>
            </w:pPr>
          </w:p>
        </w:tc>
        <w:tc>
          <w:tcPr>
            <w:tcW w:w="280" w:type="pct"/>
            <w:vMerge/>
            <w:tcBorders>
              <w:top w:val="single" w:sz="4" w:space="0" w:color="auto"/>
              <w:left w:val="single" w:sz="4" w:space="0" w:color="auto"/>
              <w:bottom w:val="single" w:sz="4" w:space="0" w:color="000000"/>
              <w:right w:val="single" w:sz="4" w:space="0" w:color="auto"/>
            </w:tcBorders>
            <w:vAlign w:val="center"/>
            <w:hideMark/>
          </w:tcPr>
          <w:p w:rsidR="001E4C9E" w:rsidRPr="001E4C9E" w:rsidRDefault="001E4C9E" w:rsidP="001E4C9E">
            <w:pPr>
              <w:rPr>
                <w:rFonts w:ascii="Lucida Bright" w:hAnsi="Lucida Bright" w:cs="Calibri"/>
                <w:b/>
                <w:bCs/>
                <w:sz w:val="14"/>
                <w:szCs w:val="14"/>
                <w:lang w:val="es-ES"/>
              </w:rPr>
            </w:pPr>
          </w:p>
        </w:tc>
        <w:tc>
          <w:tcPr>
            <w:tcW w:w="288" w:type="pct"/>
            <w:vMerge/>
            <w:tcBorders>
              <w:top w:val="single" w:sz="4" w:space="0" w:color="auto"/>
              <w:left w:val="single" w:sz="4" w:space="0" w:color="auto"/>
              <w:bottom w:val="single" w:sz="4" w:space="0" w:color="000000"/>
              <w:right w:val="single" w:sz="4" w:space="0" w:color="auto"/>
            </w:tcBorders>
            <w:vAlign w:val="center"/>
            <w:hideMark/>
          </w:tcPr>
          <w:p w:rsidR="001E4C9E" w:rsidRPr="001E4C9E" w:rsidRDefault="001E4C9E" w:rsidP="001E4C9E">
            <w:pPr>
              <w:rPr>
                <w:rFonts w:ascii="Lucida Bright" w:hAnsi="Lucida Bright" w:cs="Calibri"/>
                <w:b/>
                <w:bCs/>
                <w:sz w:val="14"/>
                <w:szCs w:val="14"/>
                <w:lang w:val="es-ES"/>
              </w:rPr>
            </w:pPr>
          </w:p>
        </w:tc>
        <w:tc>
          <w:tcPr>
            <w:tcW w:w="648" w:type="pct"/>
            <w:vMerge/>
            <w:tcBorders>
              <w:top w:val="single" w:sz="4" w:space="0" w:color="auto"/>
              <w:left w:val="single" w:sz="4" w:space="0" w:color="auto"/>
              <w:bottom w:val="single" w:sz="4" w:space="0" w:color="000000"/>
              <w:right w:val="single" w:sz="4" w:space="0" w:color="auto"/>
            </w:tcBorders>
            <w:vAlign w:val="center"/>
            <w:hideMark/>
          </w:tcPr>
          <w:p w:rsidR="001E4C9E" w:rsidRPr="001E4C9E" w:rsidRDefault="001E4C9E" w:rsidP="001E4C9E">
            <w:pPr>
              <w:rPr>
                <w:rFonts w:ascii="Lucida Bright" w:hAnsi="Lucida Bright" w:cs="Calibri"/>
                <w:b/>
                <w:bCs/>
                <w:sz w:val="14"/>
                <w:szCs w:val="14"/>
                <w:lang w:val="es-ES"/>
              </w:rPr>
            </w:pPr>
          </w:p>
        </w:tc>
      </w:tr>
      <w:tr w:rsidR="001E4C9E" w:rsidRPr="001E4C9E" w:rsidTr="001E4C9E">
        <w:trPr>
          <w:trHeight w:val="210"/>
        </w:trPr>
        <w:tc>
          <w:tcPr>
            <w:tcW w:w="1001"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E4C9E" w:rsidRPr="001E4C9E" w:rsidRDefault="001E4C9E" w:rsidP="001E4C9E">
            <w:pPr>
              <w:rPr>
                <w:rFonts w:ascii="Lucida Bright" w:hAnsi="Lucida Bright" w:cs="Calibri"/>
                <w:b/>
                <w:bCs/>
                <w:sz w:val="14"/>
                <w:szCs w:val="14"/>
                <w:lang w:val="es-ES"/>
              </w:rPr>
            </w:pPr>
            <w:r w:rsidRPr="001E4C9E">
              <w:rPr>
                <w:rFonts w:ascii="Lucida Bright" w:hAnsi="Lucida Bright" w:cs="Calibri"/>
                <w:b/>
                <w:bCs/>
                <w:sz w:val="14"/>
                <w:szCs w:val="14"/>
                <w:lang w:val="es-ES"/>
              </w:rPr>
              <w:t xml:space="preserve"> a) Terrenos y bienes naturales</w:t>
            </w:r>
          </w:p>
        </w:tc>
        <w:tc>
          <w:tcPr>
            <w:tcW w:w="379"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356"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27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310"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372"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334"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42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28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28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64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r>
      <w:tr w:rsidR="001E4C9E" w:rsidRPr="001E4C9E" w:rsidTr="001E4C9E">
        <w:trPr>
          <w:trHeight w:val="210"/>
        </w:trPr>
        <w:tc>
          <w:tcPr>
            <w:tcW w:w="1001"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E4C9E" w:rsidRPr="001E4C9E" w:rsidRDefault="001E4C9E" w:rsidP="001E4C9E">
            <w:pPr>
              <w:rPr>
                <w:rFonts w:ascii="Lucida Bright" w:hAnsi="Lucida Bright" w:cs="Calibri"/>
                <w:b/>
                <w:bCs/>
                <w:sz w:val="14"/>
                <w:szCs w:val="14"/>
                <w:lang w:val="es-ES"/>
              </w:rPr>
            </w:pPr>
            <w:r w:rsidRPr="001E4C9E">
              <w:rPr>
                <w:rFonts w:ascii="Lucida Bright" w:hAnsi="Lucida Bright" w:cs="Calibri"/>
                <w:b/>
                <w:bCs/>
                <w:sz w:val="14"/>
                <w:szCs w:val="14"/>
                <w:lang w:val="es-ES"/>
              </w:rPr>
              <w:t xml:space="preserve"> b) Construcciones</w:t>
            </w:r>
          </w:p>
        </w:tc>
        <w:tc>
          <w:tcPr>
            <w:tcW w:w="379"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315.145.257,94 </w:t>
            </w:r>
          </w:p>
        </w:tc>
        <w:tc>
          <w:tcPr>
            <w:tcW w:w="356"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15.417.300,28 </w:t>
            </w:r>
          </w:p>
        </w:tc>
        <w:tc>
          <w:tcPr>
            <w:tcW w:w="27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31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372"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334"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42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333"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28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28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64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330.562.558,22 </w:t>
            </w:r>
          </w:p>
        </w:tc>
      </w:tr>
      <w:tr w:rsidR="001E4C9E" w:rsidRPr="001E4C9E" w:rsidTr="001E4C9E">
        <w:trPr>
          <w:trHeight w:val="210"/>
        </w:trPr>
        <w:tc>
          <w:tcPr>
            <w:tcW w:w="1001"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xml:space="preserve">     Accesos marítimos</w:t>
            </w:r>
          </w:p>
        </w:tc>
        <w:tc>
          <w:tcPr>
            <w:tcW w:w="379"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6.913.131,71 </w:t>
            </w:r>
          </w:p>
        </w:tc>
        <w:tc>
          <w:tcPr>
            <w:tcW w:w="356"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379.318,67 </w:t>
            </w:r>
          </w:p>
        </w:tc>
        <w:tc>
          <w:tcPr>
            <w:tcW w:w="27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3"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64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7.292.450,38 </w:t>
            </w:r>
          </w:p>
        </w:tc>
      </w:tr>
      <w:tr w:rsidR="001E4C9E" w:rsidRPr="001E4C9E" w:rsidTr="001E4C9E">
        <w:trPr>
          <w:trHeight w:val="210"/>
        </w:trPr>
        <w:tc>
          <w:tcPr>
            <w:tcW w:w="1001"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xml:space="preserve">     Obras de abrigo y defensa</w:t>
            </w:r>
          </w:p>
        </w:tc>
        <w:tc>
          <w:tcPr>
            <w:tcW w:w="379"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45.650.033,91 </w:t>
            </w:r>
          </w:p>
        </w:tc>
        <w:tc>
          <w:tcPr>
            <w:tcW w:w="356"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1.022.960,65 </w:t>
            </w:r>
          </w:p>
        </w:tc>
        <w:tc>
          <w:tcPr>
            <w:tcW w:w="27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3"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64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46.672.994,56 </w:t>
            </w:r>
          </w:p>
        </w:tc>
      </w:tr>
      <w:tr w:rsidR="001E4C9E" w:rsidRPr="001E4C9E" w:rsidTr="001E4C9E">
        <w:trPr>
          <w:trHeight w:val="210"/>
        </w:trPr>
        <w:tc>
          <w:tcPr>
            <w:tcW w:w="1001"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xml:space="preserve">     Obras de atraque</w:t>
            </w:r>
          </w:p>
        </w:tc>
        <w:tc>
          <w:tcPr>
            <w:tcW w:w="379"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130.469.188,90 </w:t>
            </w:r>
          </w:p>
        </w:tc>
        <w:tc>
          <w:tcPr>
            <w:tcW w:w="356"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6.677.749,46 </w:t>
            </w:r>
          </w:p>
        </w:tc>
        <w:tc>
          <w:tcPr>
            <w:tcW w:w="27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3"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64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137.146.938,36 </w:t>
            </w:r>
          </w:p>
        </w:tc>
      </w:tr>
      <w:tr w:rsidR="001E4C9E" w:rsidRPr="001E4C9E" w:rsidTr="001E4C9E">
        <w:trPr>
          <w:trHeight w:val="210"/>
        </w:trPr>
        <w:tc>
          <w:tcPr>
            <w:tcW w:w="1001"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xml:space="preserve">     Instalaciones para reparación de barcos</w:t>
            </w:r>
          </w:p>
        </w:tc>
        <w:tc>
          <w:tcPr>
            <w:tcW w:w="379"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56"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7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3"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64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r>
      <w:tr w:rsidR="001E4C9E" w:rsidRPr="001E4C9E" w:rsidTr="001E4C9E">
        <w:trPr>
          <w:trHeight w:val="210"/>
        </w:trPr>
        <w:tc>
          <w:tcPr>
            <w:tcW w:w="1001"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xml:space="preserve">     Edificaciones</w:t>
            </w:r>
          </w:p>
        </w:tc>
        <w:tc>
          <w:tcPr>
            <w:tcW w:w="379"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39.315.342,35 </w:t>
            </w:r>
          </w:p>
        </w:tc>
        <w:tc>
          <w:tcPr>
            <w:tcW w:w="356"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2.338.861,13 </w:t>
            </w:r>
          </w:p>
        </w:tc>
        <w:tc>
          <w:tcPr>
            <w:tcW w:w="27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3"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64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41.654.203,48 </w:t>
            </w:r>
          </w:p>
        </w:tc>
      </w:tr>
      <w:tr w:rsidR="001E4C9E" w:rsidRPr="001E4C9E" w:rsidTr="001E4C9E">
        <w:trPr>
          <w:trHeight w:val="210"/>
        </w:trPr>
        <w:tc>
          <w:tcPr>
            <w:tcW w:w="1001"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xml:space="preserve">     Instalaciones generales</w:t>
            </w:r>
          </w:p>
        </w:tc>
        <w:tc>
          <w:tcPr>
            <w:tcW w:w="379"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38.215.100,92 </w:t>
            </w:r>
          </w:p>
        </w:tc>
        <w:tc>
          <w:tcPr>
            <w:tcW w:w="356"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2.308.159,35 </w:t>
            </w:r>
          </w:p>
        </w:tc>
        <w:tc>
          <w:tcPr>
            <w:tcW w:w="27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3"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64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40.523.260,27 </w:t>
            </w:r>
          </w:p>
        </w:tc>
      </w:tr>
      <w:tr w:rsidR="001E4C9E" w:rsidRPr="001E4C9E" w:rsidTr="001E4C9E">
        <w:trPr>
          <w:trHeight w:val="210"/>
        </w:trPr>
        <w:tc>
          <w:tcPr>
            <w:tcW w:w="1001"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xml:space="preserve">     Pavimentos, calzadas y vías de circulación</w:t>
            </w:r>
          </w:p>
        </w:tc>
        <w:tc>
          <w:tcPr>
            <w:tcW w:w="379" w:type="pct"/>
            <w:tcBorders>
              <w:top w:val="nil"/>
              <w:left w:val="nil"/>
              <w:bottom w:val="nil"/>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54.582.460,15 </w:t>
            </w:r>
          </w:p>
        </w:tc>
        <w:tc>
          <w:tcPr>
            <w:tcW w:w="356" w:type="pct"/>
            <w:tcBorders>
              <w:top w:val="nil"/>
              <w:left w:val="nil"/>
              <w:bottom w:val="nil"/>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2.690.251,02 </w:t>
            </w:r>
          </w:p>
        </w:tc>
        <w:tc>
          <w:tcPr>
            <w:tcW w:w="278" w:type="pct"/>
            <w:tcBorders>
              <w:top w:val="nil"/>
              <w:left w:val="nil"/>
              <w:bottom w:val="nil"/>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10" w:type="pct"/>
            <w:tcBorders>
              <w:top w:val="nil"/>
              <w:left w:val="nil"/>
              <w:bottom w:val="nil"/>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72" w:type="pct"/>
            <w:tcBorders>
              <w:top w:val="nil"/>
              <w:left w:val="nil"/>
              <w:bottom w:val="nil"/>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4" w:type="pct"/>
            <w:tcBorders>
              <w:top w:val="nil"/>
              <w:left w:val="nil"/>
              <w:bottom w:val="nil"/>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420" w:type="pct"/>
            <w:tcBorders>
              <w:top w:val="nil"/>
              <w:left w:val="nil"/>
              <w:bottom w:val="nil"/>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3" w:type="pct"/>
            <w:tcBorders>
              <w:top w:val="nil"/>
              <w:left w:val="nil"/>
              <w:bottom w:val="nil"/>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0" w:type="pct"/>
            <w:tcBorders>
              <w:top w:val="nil"/>
              <w:left w:val="nil"/>
              <w:bottom w:val="nil"/>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8" w:type="pct"/>
            <w:tcBorders>
              <w:top w:val="nil"/>
              <w:left w:val="nil"/>
              <w:bottom w:val="nil"/>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648" w:type="pct"/>
            <w:tcBorders>
              <w:top w:val="nil"/>
              <w:left w:val="nil"/>
              <w:bottom w:val="nil"/>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57.272.711,17 </w:t>
            </w:r>
          </w:p>
        </w:tc>
      </w:tr>
      <w:tr w:rsidR="001E4C9E" w:rsidRPr="001E4C9E" w:rsidTr="001E4C9E">
        <w:trPr>
          <w:trHeight w:val="210"/>
        </w:trPr>
        <w:tc>
          <w:tcPr>
            <w:tcW w:w="1001"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E4C9E" w:rsidRPr="001E4C9E" w:rsidRDefault="001E4C9E" w:rsidP="001E4C9E">
            <w:pPr>
              <w:rPr>
                <w:rFonts w:ascii="Lucida Bright" w:hAnsi="Lucida Bright" w:cs="Calibri"/>
                <w:b/>
                <w:bCs/>
                <w:sz w:val="14"/>
                <w:szCs w:val="14"/>
                <w:lang w:val="es-ES"/>
              </w:rPr>
            </w:pPr>
            <w:r w:rsidRPr="001E4C9E">
              <w:rPr>
                <w:rFonts w:ascii="Lucida Bright" w:hAnsi="Lucida Bright" w:cs="Calibri"/>
                <w:b/>
                <w:bCs/>
                <w:sz w:val="14"/>
                <w:szCs w:val="14"/>
                <w:lang w:val="es-ES"/>
              </w:rPr>
              <w:t xml:space="preserve"> c) Equipamientos e instalaciones técnicas</w:t>
            </w:r>
          </w:p>
        </w:tc>
        <w:tc>
          <w:tcPr>
            <w:tcW w:w="379"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19.805.062,20 </w:t>
            </w:r>
          </w:p>
        </w:tc>
        <w:tc>
          <w:tcPr>
            <w:tcW w:w="356"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1.128.613,55 </w:t>
            </w:r>
          </w:p>
        </w:tc>
        <w:tc>
          <w:tcPr>
            <w:tcW w:w="278"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310"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372"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334"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420"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333"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280"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288"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648"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20.933.675,75 </w:t>
            </w:r>
          </w:p>
        </w:tc>
      </w:tr>
      <w:tr w:rsidR="001E4C9E" w:rsidRPr="001E4C9E" w:rsidTr="001E4C9E">
        <w:trPr>
          <w:trHeight w:val="210"/>
        </w:trPr>
        <w:tc>
          <w:tcPr>
            <w:tcW w:w="1001"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xml:space="preserve">     Instalaciones de ayuda a la navegación</w:t>
            </w:r>
          </w:p>
        </w:tc>
        <w:tc>
          <w:tcPr>
            <w:tcW w:w="379"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5.607.627,35 </w:t>
            </w:r>
          </w:p>
        </w:tc>
        <w:tc>
          <w:tcPr>
            <w:tcW w:w="356"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102.784,65 </w:t>
            </w:r>
          </w:p>
        </w:tc>
        <w:tc>
          <w:tcPr>
            <w:tcW w:w="27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3"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64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5.710.412,00 </w:t>
            </w:r>
          </w:p>
        </w:tc>
      </w:tr>
      <w:tr w:rsidR="001E4C9E" w:rsidRPr="001E4C9E" w:rsidTr="001E4C9E">
        <w:trPr>
          <w:trHeight w:val="210"/>
        </w:trPr>
        <w:tc>
          <w:tcPr>
            <w:tcW w:w="1001"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xml:space="preserve">     Equipo de manipulación de </w:t>
            </w:r>
            <w:r w:rsidR="00DD448C" w:rsidRPr="001E4C9E">
              <w:rPr>
                <w:rFonts w:ascii="Lucida Bright" w:hAnsi="Lucida Bright" w:cs="Calibri"/>
                <w:sz w:val="14"/>
                <w:szCs w:val="14"/>
                <w:lang w:val="es-ES"/>
              </w:rPr>
              <w:t>mercancías</w:t>
            </w:r>
          </w:p>
        </w:tc>
        <w:tc>
          <w:tcPr>
            <w:tcW w:w="379"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12.891.350,91 </w:t>
            </w:r>
          </w:p>
        </w:tc>
        <w:tc>
          <w:tcPr>
            <w:tcW w:w="356"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996.795,42 </w:t>
            </w:r>
          </w:p>
        </w:tc>
        <w:tc>
          <w:tcPr>
            <w:tcW w:w="27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3"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64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13.888.146,33 </w:t>
            </w:r>
          </w:p>
        </w:tc>
      </w:tr>
      <w:tr w:rsidR="001E4C9E" w:rsidRPr="001E4C9E" w:rsidTr="001E4C9E">
        <w:trPr>
          <w:trHeight w:val="210"/>
        </w:trPr>
        <w:tc>
          <w:tcPr>
            <w:tcW w:w="1001"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xml:space="preserve">     Material flotante</w:t>
            </w:r>
          </w:p>
        </w:tc>
        <w:tc>
          <w:tcPr>
            <w:tcW w:w="379"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1.125.297,60 </w:t>
            </w:r>
          </w:p>
        </w:tc>
        <w:tc>
          <w:tcPr>
            <w:tcW w:w="356"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28.873,28 </w:t>
            </w:r>
          </w:p>
        </w:tc>
        <w:tc>
          <w:tcPr>
            <w:tcW w:w="27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3"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64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1.154.170,88 </w:t>
            </w:r>
          </w:p>
        </w:tc>
      </w:tr>
      <w:tr w:rsidR="001E4C9E" w:rsidRPr="001E4C9E" w:rsidTr="001E4C9E">
        <w:trPr>
          <w:trHeight w:val="210"/>
        </w:trPr>
        <w:tc>
          <w:tcPr>
            <w:tcW w:w="1001"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xml:space="preserve">     Material ferroviario</w:t>
            </w:r>
          </w:p>
        </w:tc>
        <w:tc>
          <w:tcPr>
            <w:tcW w:w="379"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56"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7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3"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64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r>
      <w:tr w:rsidR="001E4C9E" w:rsidRPr="001E4C9E" w:rsidTr="001E4C9E">
        <w:trPr>
          <w:trHeight w:val="210"/>
        </w:trPr>
        <w:tc>
          <w:tcPr>
            <w:tcW w:w="1001"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xml:space="preserve">     Equipo de taller</w:t>
            </w:r>
          </w:p>
        </w:tc>
        <w:tc>
          <w:tcPr>
            <w:tcW w:w="379" w:type="pct"/>
            <w:tcBorders>
              <w:top w:val="nil"/>
              <w:left w:val="nil"/>
              <w:bottom w:val="nil"/>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180.786,34 </w:t>
            </w:r>
          </w:p>
        </w:tc>
        <w:tc>
          <w:tcPr>
            <w:tcW w:w="356" w:type="pct"/>
            <w:tcBorders>
              <w:top w:val="nil"/>
              <w:left w:val="nil"/>
              <w:bottom w:val="nil"/>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160,20 </w:t>
            </w:r>
          </w:p>
        </w:tc>
        <w:tc>
          <w:tcPr>
            <w:tcW w:w="278" w:type="pct"/>
            <w:tcBorders>
              <w:top w:val="nil"/>
              <w:left w:val="nil"/>
              <w:bottom w:val="nil"/>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10" w:type="pct"/>
            <w:tcBorders>
              <w:top w:val="nil"/>
              <w:left w:val="nil"/>
              <w:bottom w:val="nil"/>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72" w:type="pct"/>
            <w:tcBorders>
              <w:top w:val="nil"/>
              <w:left w:val="nil"/>
              <w:bottom w:val="nil"/>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4" w:type="pct"/>
            <w:tcBorders>
              <w:top w:val="nil"/>
              <w:left w:val="nil"/>
              <w:bottom w:val="nil"/>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420" w:type="pct"/>
            <w:tcBorders>
              <w:top w:val="nil"/>
              <w:left w:val="nil"/>
              <w:bottom w:val="nil"/>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3" w:type="pct"/>
            <w:tcBorders>
              <w:top w:val="nil"/>
              <w:left w:val="nil"/>
              <w:bottom w:val="nil"/>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0" w:type="pct"/>
            <w:tcBorders>
              <w:top w:val="nil"/>
              <w:left w:val="nil"/>
              <w:bottom w:val="nil"/>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8" w:type="pct"/>
            <w:tcBorders>
              <w:top w:val="nil"/>
              <w:left w:val="nil"/>
              <w:bottom w:val="nil"/>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648" w:type="pct"/>
            <w:tcBorders>
              <w:top w:val="nil"/>
              <w:left w:val="nil"/>
              <w:bottom w:val="nil"/>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180.946,54 </w:t>
            </w:r>
          </w:p>
        </w:tc>
      </w:tr>
      <w:tr w:rsidR="001E4C9E" w:rsidRPr="001E4C9E" w:rsidTr="001E4C9E">
        <w:trPr>
          <w:trHeight w:val="210"/>
        </w:trPr>
        <w:tc>
          <w:tcPr>
            <w:tcW w:w="1001"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E4C9E" w:rsidRPr="001E4C9E" w:rsidRDefault="001E4C9E" w:rsidP="001E4C9E">
            <w:pPr>
              <w:rPr>
                <w:rFonts w:ascii="Lucida Bright" w:hAnsi="Lucida Bright" w:cs="Calibri"/>
                <w:b/>
                <w:bCs/>
                <w:sz w:val="14"/>
                <w:szCs w:val="14"/>
                <w:lang w:val="es-ES"/>
              </w:rPr>
            </w:pPr>
            <w:r w:rsidRPr="001E4C9E">
              <w:rPr>
                <w:rFonts w:ascii="Lucida Bright" w:hAnsi="Lucida Bright" w:cs="Calibri"/>
                <w:b/>
                <w:bCs/>
                <w:sz w:val="14"/>
                <w:szCs w:val="14"/>
                <w:lang w:val="es-ES"/>
              </w:rPr>
              <w:t xml:space="preserve"> d) Otro inmovilizado</w:t>
            </w:r>
          </w:p>
        </w:tc>
        <w:tc>
          <w:tcPr>
            <w:tcW w:w="379"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17.117.151,23 </w:t>
            </w:r>
          </w:p>
        </w:tc>
        <w:tc>
          <w:tcPr>
            <w:tcW w:w="356"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696.172,80 </w:t>
            </w:r>
          </w:p>
        </w:tc>
        <w:tc>
          <w:tcPr>
            <w:tcW w:w="278"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310"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372"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334"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420"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333"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280"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288"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648"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17.813.324,03 </w:t>
            </w:r>
          </w:p>
        </w:tc>
      </w:tr>
      <w:tr w:rsidR="001E4C9E" w:rsidRPr="001E4C9E" w:rsidTr="001E4C9E">
        <w:trPr>
          <w:trHeight w:val="210"/>
        </w:trPr>
        <w:tc>
          <w:tcPr>
            <w:tcW w:w="1001"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xml:space="preserve">     Mobiliario</w:t>
            </w:r>
          </w:p>
        </w:tc>
        <w:tc>
          <w:tcPr>
            <w:tcW w:w="379"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2.667.815,00 </w:t>
            </w:r>
          </w:p>
        </w:tc>
        <w:tc>
          <w:tcPr>
            <w:tcW w:w="356"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50.830,46 </w:t>
            </w:r>
          </w:p>
        </w:tc>
        <w:tc>
          <w:tcPr>
            <w:tcW w:w="27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3"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64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2.718.645,46 </w:t>
            </w:r>
          </w:p>
        </w:tc>
      </w:tr>
      <w:tr w:rsidR="001E4C9E" w:rsidRPr="001E4C9E" w:rsidTr="001E4C9E">
        <w:trPr>
          <w:trHeight w:val="210"/>
        </w:trPr>
        <w:tc>
          <w:tcPr>
            <w:tcW w:w="1001"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xml:space="preserve">     Equipos de proceso de información</w:t>
            </w:r>
          </w:p>
        </w:tc>
        <w:tc>
          <w:tcPr>
            <w:tcW w:w="379"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2.333.349,55 </w:t>
            </w:r>
          </w:p>
        </w:tc>
        <w:tc>
          <w:tcPr>
            <w:tcW w:w="356"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205.004,81 </w:t>
            </w:r>
          </w:p>
        </w:tc>
        <w:tc>
          <w:tcPr>
            <w:tcW w:w="27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3"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64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2.538.354,36 </w:t>
            </w:r>
          </w:p>
        </w:tc>
      </w:tr>
      <w:tr w:rsidR="001E4C9E" w:rsidRPr="001E4C9E" w:rsidTr="001E4C9E">
        <w:trPr>
          <w:trHeight w:val="210"/>
        </w:trPr>
        <w:tc>
          <w:tcPr>
            <w:tcW w:w="1001"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xml:space="preserve">     Elementos de transporte</w:t>
            </w:r>
          </w:p>
        </w:tc>
        <w:tc>
          <w:tcPr>
            <w:tcW w:w="379"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2.475.403,81 </w:t>
            </w:r>
          </w:p>
        </w:tc>
        <w:tc>
          <w:tcPr>
            <w:tcW w:w="356"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148.790,70 </w:t>
            </w:r>
          </w:p>
        </w:tc>
        <w:tc>
          <w:tcPr>
            <w:tcW w:w="27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1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72"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42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3"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0"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648" w:type="pct"/>
            <w:tcBorders>
              <w:top w:val="nil"/>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2.624.194,51 </w:t>
            </w:r>
          </w:p>
        </w:tc>
      </w:tr>
      <w:tr w:rsidR="001E4C9E" w:rsidRPr="001E4C9E" w:rsidTr="001E4C9E">
        <w:trPr>
          <w:trHeight w:val="210"/>
        </w:trPr>
        <w:tc>
          <w:tcPr>
            <w:tcW w:w="1001"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xml:space="preserve">     Otro inmovilizado material</w:t>
            </w:r>
          </w:p>
        </w:tc>
        <w:tc>
          <w:tcPr>
            <w:tcW w:w="379" w:type="pct"/>
            <w:tcBorders>
              <w:top w:val="nil"/>
              <w:left w:val="nil"/>
              <w:bottom w:val="nil"/>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9.640.582,87 </w:t>
            </w:r>
          </w:p>
        </w:tc>
        <w:tc>
          <w:tcPr>
            <w:tcW w:w="356" w:type="pct"/>
            <w:tcBorders>
              <w:top w:val="nil"/>
              <w:left w:val="nil"/>
              <w:bottom w:val="nil"/>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291.546,83 </w:t>
            </w:r>
          </w:p>
        </w:tc>
        <w:tc>
          <w:tcPr>
            <w:tcW w:w="278" w:type="pct"/>
            <w:tcBorders>
              <w:top w:val="nil"/>
              <w:left w:val="nil"/>
              <w:bottom w:val="nil"/>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10" w:type="pct"/>
            <w:tcBorders>
              <w:top w:val="nil"/>
              <w:left w:val="nil"/>
              <w:bottom w:val="nil"/>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72" w:type="pct"/>
            <w:tcBorders>
              <w:top w:val="nil"/>
              <w:left w:val="nil"/>
              <w:bottom w:val="nil"/>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4" w:type="pct"/>
            <w:tcBorders>
              <w:top w:val="nil"/>
              <w:left w:val="nil"/>
              <w:bottom w:val="nil"/>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420" w:type="pct"/>
            <w:tcBorders>
              <w:top w:val="nil"/>
              <w:left w:val="nil"/>
              <w:bottom w:val="nil"/>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333" w:type="pct"/>
            <w:tcBorders>
              <w:top w:val="nil"/>
              <w:left w:val="nil"/>
              <w:bottom w:val="nil"/>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0" w:type="pct"/>
            <w:tcBorders>
              <w:top w:val="nil"/>
              <w:left w:val="nil"/>
              <w:bottom w:val="nil"/>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288" w:type="pct"/>
            <w:tcBorders>
              <w:top w:val="nil"/>
              <w:left w:val="nil"/>
              <w:bottom w:val="nil"/>
              <w:right w:val="single" w:sz="4" w:space="0" w:color="auto"/>
            </w:tcBorders>
            <w:shd w:val="clear" w:color="000000" w:fill="FFFFFF"/>
            <w:noWrap/>
            <w:vAlign w:val="center"/>
            <w:hideMark/>
          </w:tcPr>
          <w:p w:rsidR="001E4C9E" w:rsidRPr="001E4C9E" w:rsidRDefault="001E4C9E" w:rsidP="001E4C9E">
            <w:pPr>
              <w:rPr>
                <w:rFonts w:ascii="Lucida Bright" w:hAnsi="Lucida Bright" w:cs="Calibri"/>
                <w:sz w:val="14"/>
                <w:szCs w:val="14"/>
                <w:lang w:val="es-ES"/>
              </w:rPr>
            </w:pPr>
            <w:r w:rsidRPr="001E4C9E">
              <w:rPr>
                <w:rFonts w:ascii="Lucida Bright" w:hAnsi="Lucida Bright" w:cs="Calibri"/>
                <w:sz w:val="14"/>
                <w:szCs w:val="14"/>
                <w:lang w:val="es-ES"/>
              </w:rPr>
              <w:t> </w:t>
            </w:r>
          </w:p>
        </w:tc>
        <w:tc>
          <w:tcPr>
            <w:tcW w:w="648" w:type="pct"/>
            <w:tcBorders>
              <w:top w:val="nil"/>
              <w:left w:val="nil"/>
              <w:bottom w:val="nil"/>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sz w:val="14"/>
                <w:szCs w:val="14"/>
                <w:lang w:val="es-ES"/>
              </w:rPr>
            </w:pPr>
            <w:r w:rsidRPr="001E4C9E">
              <w:rPr>
                <w:rFonts w:ascii="Lucida Bright" w:hAnsi="Lucida Bright" w:cs="Calibri"/>
                <w:sz w:val="14"/>
                <w:szCs w:val="14"/>
                <w:lang w:val="es-ES"/>
              </w:rPr>
              <w:t xml:space="preserve">9.932.129,70 </w:t>
            </w:r>
          </w:p>
        </w:tc>
      </w:tr>
      <w:tr w:rsidR="001E4C9E" w:rsidRPr="001E4C9E" w:rsidTr="001E4C9E">
        <w:trPr>
          <w:trHeight w:val="300"/>
        </w:trPr>
        <w:tc>
          <w:tcPr>
            <w:tcW w:w="1001" w:type="pct"/>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E4C9E" w:rsidRPr="001E4C9E" w:rsidRDefault="001E4C9E" w:rsidP="001E4C9E">
            <w:pPr>
              <w:jc w:val="center"/>
              <w:rPr>
                <w:rFonts w:ascii="Lucida Bright" w:hAnsi="Lucida Bright" w:cs="Calibri"/>
                <w:b/>
                <w:bCs/>
                <w:sz w:val="14"/>
                <w:szCs w:val="14"/>
                <w:lang w:val="es-ES"/>
              </w:rPr>
            </w:pPr>
            <w:r w:rsidRPr="001E4C9E">
              <w:rPr>
                <w:rFonts w:ascii="Lucida Bright" w:hAnsi="Lucida Bright" w:cs="Calibri"/>
                <w:b/>
                <w:bCs/>
                <w:sz w:val="14"/>
                <w:szCs w:val="14"/>
                <w:lang w:val="es-ES"/>
              </w:rPr>
              <w:t>TOTAL</w:t>
            </w:r>
          </w:p>
        </w:tc>
        <w:tc>
          <w:tcPr>
            <w:tcW w:w="379"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352.067.471,37 </w:t>
            </w:r>
          </w:p>
        </w:tc>
        <w:tc>
          <w:tcPr>
            <w:tcW w:w="356"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17.242.086,63 </w:t>
            </w:r>
          </w:p>
        </w:tc>
        <w:tc>
          <w:tcPr>
            <w:tcW w:w="278"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310"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372"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334"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420"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333"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280"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288"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 </w:t>
            </w:r>
          </w:p>
        </w:tc>
        <w:tc>
          <w:tcPr>
            <w:tcW w:w="648" w:type="pct"/>
            <w:tcBorders>
              <w:top w:val="single" w:sz="4" w:space="0" w:color="auto"/>
              <w:left w:val="nil"/>
              <w:bottom w:val="single" w:sz="4" w:space="0" w:color="auto"/>
              <w:right w:val="single" w:sz="4" w:space="0" w:color="auto"/>
            </w:tcBorders>
            <w:shd w:val="clear" w:color="000000" w:fill="FFFFFF"/>
            <w:noWrap/>
            <w:vAlign w:val="center"/>
            <w:hideMark/>
          </w:tcPr>
          <w:p w:rsidR="001E4C9E" w:rsidRPr="001E4C9E" w:rsidRDefault="001E4C9E" w:rsidP="001E4C9E">
            <w:pPr>
              <w:jc w:val="right"/>
              <w:rPr>
                <w:rFonts w:ascii="Lucida Bright" w:hAnsi="Lucida Bright" w:cs="Calibri"/>
                <w:b/>
                <w:bCs/>
                <w:sz w:val="14"/>
                <w:szCs w:val="14"/>
                <w:lang w:val="es-ES"/>
              </w:rPr>
            </w:pPr>
            <w:r w:rsidRPr="001E4C9E">
              <w:rPr>
                <w:rFonts w:ascii="Lucida Bright" w:hAnsi="Lucida Bright" w:cs="Calibri"/>
                <w:b/>
                <w:bCs/>
                <w:sz w:val="14"/>
                <w:szCs w:val="14"/>
                <w:lang w:val="es-ES"/>
              </w:rPr>
              <w:t xml:space="preserve">369.309.558,00 </w:t>
            </w:r>
          </w:p>
        </w:tc>
      </w:tr>
    </w:tbl>
    <w:p w:rsidR="008D60E9" w:rsidRDefault="008D60E9" w:rsidP="003F45CD">
      <w:pPr>
        <w:pStyle w:val="Sangra3detindependiente"/>
        <w:tabs>
          <w:tab w:val="clear" w:pos="5671"/>
          <w:tab w:val="clear" w:pos="7797"/>
        </w:tabs>
        <w:rPr>
          <w:rFonts w:ascii="NewBaskerville" w:hAnsi="NewBaskerville"/>
          <w:sz w:val="20"/>
          <w:szCs w:val="20"/>
        </w:rPr>
      </w:pPr>
    </w:p>
    <w:p w:rsidR="008D60E9" w:rsidRDefault="008D60E9" w:rsidP="003F45CD">
      <w:pPr>
        <w:pStyle w:val="Sangra3detindependiente"/>
        <w:tabs>
          <w:tab w:val="clear" w:pos="5671"/>
          <w:tab w:val="clear" w:pos="7797"/>
        </w:tabs>
        <w:rPr>
          <w:rFonts w:ascii="NewBaskerville" w:hAnsi="NewBaskerville"/>
          <w:sz w:val="20"/>
          <w:szCs w:val="20"/>
        </w:rPr>
      </w:pPr>
    </w:p>
    <w:p w:rsidR="008D60E9" w:rsidRDefault="008D60E9" w:rsidP="003F45CD">
      <w:pPr>
        <w:pStyle w:val="Sangra3detindependiente"/>
        <w:tabs>
          <w:tab w:val="clear" w:pos="5671"/>
          <w:tab w:val="clear" w:pos="7797"/>
        </w:tabs>
        <w:rPr>
          <w:rFonts w:ascii="NewBaskerville" w:hAnsi="NewBaskerville"/>
          <w:sz w:val="20"/>
          <w:szCs w:val="20"/>
        </w:rPr>
      </w:pPr>
    </w:p>
    <w:p w:rsidR="008D60E9" w:rsidRDefault="008D60E9" w:rsidP="003F45CD">
      <w:pPr>
        <w:pStyle w:val="Sangra3detindependiente"/>
        <w:tabs>
          <w:tab w:val="clear" w:pos="5671"/>
          <w:tab w:val="clear" w:pos="7797"/>
        </w:tabs>
        <w:rPr>
          <w:rFonts w:ascii="NewBaskerville" w:hAnsi="NewBaskerville"/>
          <w:sz w:val="20"/>
          <w:szCs w:val="20"/>
        </w:rPr>
      </w:pPr>
    </w:p>
    <w:p w:rsidR="008D60E9" w:rsidRDefault="008D60E9" w:rsidP="003F45CD">
      <w:pPr>
        <w:pStyle w:val="Sangra3detindependiente"/>
        <w:tabs>
          <w:tab w:val="clear" w:pos="5671"/>
          <w:tab w:val="clear" w:pos="7797"/>
        </w:tabs>
        <w:rPr>
          <w:rFonts w:ascii="NewBaskerville" w:hAnsi="NewBaskerville"/>
          <w:sz w:val="20"/>
          <w:szCs w:val="20"/>
        </w:rPr>
      </w:pPr>
    </w:p>
    <w:p w:rsidR="008D60E9" w:rsidRDefault="008D60E9" w:rsidP="003F45CD">
      <w:pPr>
        <w:pStyle w:val="Sangra3detindependiente"/>
        <w:tabs>
          <w:tab w:val="clear" w:pos="5671"/>
          <w:tab w:val="clear" w:pos="7797"/>
        </w:tabs>
        <w:rPr>
          <w:rFonts w:ascii="NewBaskerville" w:hAnsi="NewBaskerville"/>
          <w:sz w:val="20"/>
          <w:szCs w:val="20"/>
        </w:rPr>
      </w:pPr>
    </w:p>
    <w:p w:rsidR="008D60E9" w:rsidRDefault="008D60E9" w:rsidP="003F45CD">
      <w:pPr>
        <w:pStyle w:val="Sangra3detindependiente"/>
        <w:tabs>
          <w:tab w:val="clear" w:pos="5671"/>
          <w:tab w:val="clear" w:pos="7797"/>
        </w:tabs>
        <w:rPr>
          <w:rFonts w:ascii="NewBaskerville" w:hAnsi="NewBaskerville"/>
          <w:sz w:val="20"/>
          <w:szCs w:val="20"/>
        </w:rPr>
      </w:pPr>
    </w:p>
    <w:p w:rsidR="008D60E9" w:rsidRDefault="008D60E9" w:rsidP="003F45CD">
      <w:pPr>
        <w:pStyle w:val="Sangra3detindependiente"/>
        <w:tabs>
          <w:tab w:val="clear" w:pos="5671"/>
          <w:tab w:val="clear" w:pos="7797"/>
        </w:tabs>
        <w:rPr>
          <w:rFonts w:ascii="NewBaskerville" w:hAnsi="NewBaskerville"/>
          <w:sz w:val="20"/>
          <w:szCs w:val="20"/>
        </w:rPr>
        <w:sectPr w:rsidR="008D60E9" w:rsidSect="00855D01">
          <w:headerReference w:type="default" r:id="rId18"/>
          <w:footerReference w:type="even" r:id="rId19"/>
          <w:footerReference w:type="default" r:id="rId20"/>
          <w:pgSz w:w="16840" w:h="11907" w:orient="landscape" w:code="9"/>
          <w:pgMar w:top="1985" w:right="1701" w:bottom="1418" w:left="1701" w:header="567" w:footer="720" w:gutter="0"/>
          <w:cols w:space="720"/>
          <w:docGrid w:linePitch="272"/>
        </w:sectPr>
      </w:pPr>
    </w:p>
    <w:p w:rsidR="008D60E9" w:rsidRDefault="008D60E9" w:rsidP="003F45CD">
      <w:pPr>
        <w:pStyle w:val="Sangra3detindependiente"/>
        <w:tabs>
          <w:tab w:val="clear" w:pos="5671"/>
          <w:tab w:val="clear" w:pos="7797"/>
        </w:tabs>
        <w:rPr>
          <w:rFonts w:ascii="NewBaskerville" w:hAnsi="NewBaskerville"/>
          <w:sz w:val="20"/>
          <w:szCs w:val="20"/>
        </w:rPr>
      </w:pPr>
    </w:p>
    <w:p w:rsidR="002578A1" w:rsidRPr="002757E2" w:rsidRDefault="002C4355" w:rsidP="003F45CD">
      <w:pPr>
        <w:pStyle w:val="Sangra3detindependiente"/>
        <w:tabs>
          <w:tab w:val="clear" w:pos="5671"/>
          <w:tab w:val="clear" w:pos="7797"/>
        </w:tabs>
        <w:rPr>
          <w:rFonts w:ascii="NewBaskerville" w:hAnsi="NewBaskerville"/>
          <w:sz w:val="20"/>
          <w:szCs w:val="20"/>
        </w:rPr>
      </w:pPr>
      <w:r w:rsidRPr="002757E2">
        <w:rPr>
          <w:rFonts w:ascii="NewBaskerville" w:hAnsi="NewBaskerville"/>
          <w:sz w:val="20"/>
          <w:szCs w:val="20"/>
        </w:rPr>
        <w:t>Se han traspasado activos del epígrafe del inmovilizado en curso a distintos epígrafes del inmoviliza</w:t>
      </w:r>
      <w:r w:rsidR="009338EA" w:rsidRPr="002757E2">
        <w:rPr>
          <w:rFonts w:ascii="NewBaskerville" w:hAnsi="NewBaskerville"/>
          <w:sz w:val="20"/>
          <w:szCs w:val="20"/>
        </w:rPr>
        <w:t>d</w:t>
      </w:r>
      <w:r w:rsidRPr="002757E2">
        <w:rPr>
          <w:rFonts w:ascii="NewBaskerville" w:hAnsi="NewBaskerville"/>
          <w:sz w:val="20"/>
          <w:szCs w:val="20"/>
        </w:rPr>
        <w:t xml:space="preserve">o material por importe de </w:t>
      </w:r>
      <w:r w:rsidR="00FC323F">
        <w:rPr>
          <w:rFonts w:ascii="NewBaskerville" w:hAnsi="NewBaskerville"/>
          <w:sz w:val="20"/>
          <w:szCs w:val="20"/>
        </w:rPr>
        <w:t>28</w:t>
      </w:r>
      <w:r w:rsidR="00312D68" w:rsidRPr="002757E2">
        <w:rPr>
          <w:rFonts w:ascii="NewBaskerville" w:hAnsi="NewBaskerville"/>
          <w:sz w:val="20"/>
          <w:szCs w:val="20"/>
        </w:rPr>
        <w:t>.</w:t>
      </w:r>
      <w:r w:rsidR="00FC323F">
        <w:rPr>
          <w:rFonts w:ascii="NewBaskerville" w:hAnsi="NewBaskerville"/>
          <w:sz w:val="20"/>
          <w:szCs w:val="20"/>
        </w:rPr>
        <w:t>520</w:t>
      </w:r>
      <w:r w:rsidR="00312D68" w:rsidRPr="002757E2">
        <w:rPr>
          <w:rFonts w:ascii="NewBaskerville" w:hAnsi="NewBaskerville"/>
          <w:sz w:val="20"/>
          <w:szCs w:val="20"/>
        </w:rPr>
        <w:t>.</w:t>
      </w:r>
      <w:r w:rsidR="00FC323F">
        <w:rPr>
          <w:rFonts w:ascii="NewBaskerville" w:hAnsi="NewBaskerville"/>
          <w:sz w:val="20"/>
          <w:szCs w:val="20"/>
        </w:rPr>
        <w:t>184</w:t>
      </w:r>
      <w:r w:rsidR="002757E2">
        <w:rPr>
          <w:rFonts w:ascii="NewBaskerville" w:hAnsi="NewBaskerville"/>
          <w:sz w:val="20"/>
          <w:szCs w:val="20"/>
        </w:rPr>
        <w:t>,</w:t>
      </w:r>
      <w:r w:rsidR="00FC323F">
        <w:rPr>
          <w:rFonts w:ascii="NewBaskerville" w:hAnsi="NewBaskerville"/>
          <w:sz w:val="20"/>
          <w:szCs w:val="20"/>
        </w:rPr>
        <w:t>00</w:t>
      </w:r>
      <w:r w:rsidR="00631BEA" w:rsidRPr="002757E2">
        <w:rPr>
          <w:rFonts w:ascii="NewBaskerville" w:hAnsi="NewBaskerville"/>
          <w:sz w:val="20"/>
          <w:szCs w:val="20"/>
        </w:rPr>
        <w:t xml:space="preserve"> </w:t>
      </w:r>
      <w:r w:rsidRPr="002757E2">
        <w:rPr>
          <w:rFonts w:ascii="NewBaskerville" w:hAnsi="NewBaskerville"/>
          <w:sz w:val="20"/>
          <w:szCs w:val="20"/>
        </w:rPr>
        <w:t>euros. En el ejercicio 20</w:t>
      </w:r>
      <w:r w:rsidR="00312D68" w:rsidRPr="002757E2">
        <w:rPr>
          <w:rFonts w:ascii="NewBaskerville" w:hAnsi="NewBaskerville"/>
          <w:sz w:val="20"/>
          <w:szCs w:val="20"/>
        </w:rPr>
        <w:t>2</w:t>
      </w:r>
      <w:r w:rsidR="00CB5E6B">
        <w:rPr>
          <w:rFonts w:ascii="NewBaskerville" w:hAnsi="NewBaskerville"/>
          <w:sz w:val="20"/>
          <w:szCs w:val="20"/>
        </w:rPr>
        <w:t>2</w:t>
      </w:r>
      <w:r w:rsidRPr="002757E2">
        <w:rPr>
          <w:rFonts w:ascii="NewBaskerville" w:hAnsi="NewBaskerville"/>
          <w:sz w:val="20"/>
          <w:szCs w:val="20"/>
        </w:rPr>
        <w:t xml:space="preserve"> este traspaso ascendió a </w:t>
      </w:r>
      <w:r w:rsidR="00FC323F">
        <w:rPr>
          <w:rFonts w:ascii="NewBaskerville" w:hAnsi="NewBaskerville"/>
          <w:sz w:val="20"/>
          <w:szCs w:val="20"/>
        </w:rPr>
        <w:t>15</w:t>
      </w:r>
      <w:r w:rsidR="002757E2">
        <w:rPr>
          <w:rFonts w:ascii="NewBaskerville" w:hAnsi="NewBaskerville"/>
          <w:sz w:val="20"/>
          <w:szCs w:val="20"/>
        </w:rPr>
        <w:t>.</w:t>
      </w:r>
      <w:r w:rsidR="00FC323F">
        <w:rPr>
          <w:rFonts w:ascii="NewBaskerville" w:hAnsi="NewBaskerville"/>
          <w:sz w:val="20"/>
          <w:szCs w:val="20"/>
        </w:rPr>
        <w:t>465</w:t>
      </w:r>
      <w:r w:rsidR="002757E2">
        <w:rPr>
          <w:rFonts w:ascii="NewBaskerville" w:hAnsi="NewBaskerville"/>
          <w:sz w:val="20"/>
          <w:szCs w:val="20"/>
        </w:rPr>
        <w:t>.</w:t>
      </w:r>
      <w:r w:rsidR="00FC323F">
        <w:rPr>
          <w:rFonts w:ascii="NewBaskerville" w:hAnsi="NewBaskerville"/>
          <w:sz w:val="20"/>
          <w:szCs w:val="20"/>
        </w:rPr>
        <w:t>706</w:t>
      </w:r>
      <w:r w:rsidR="002757E2">
        <w:rPr>
          <w:rFonts w:ascii="NewBaskerville" w:hAnsi="NewBaskerville"/>
          <w:sz w:val="20"/>
          <w:szCs w:val="20"/>
        </w:rPr>
        <w:t>,</w:t>
      </w:r>
      <w:r w:rsidR="00FC323F">
        <w:rPr>
          <w:rFonts w:ascii="NewBaskerville" w:hAnsi="NewBaskerville"/>
          <w:sz w:val="20"/>
          <w:szCs w:val="20"/>
        </w:rPr>
        <w:t>36</w:t>
      </w:r>
      <w:r w:rsidR="002C6870" w:rsidRPr="002757E2">
        <w:rPr>
          <w:rFonts w:ascii="NewBaskerville" w:hAnsi="NewBaskerville"/>
          <w:sz w:val="20"/>
          <w:szCs w:val="20"/>
        </w:rPr>
        <w:t xml:space="preserve"> </w:t>
      </w:r>
      <w:r w:rsidR="001357FE" w:rsidRPr="002757E2">
        <w:rPr>
          <w:rFonts w:ascii="NewBaskerville" w:hAnsi="NewBaskerville"/>
          <w:sz w:val="20"/>
          <w:szCs w:val="20"/>
        </w:rPr>
        <w:t>euros.</w:t>
      </w:r>
    </w:p>
    <w:p w:rsidR="002578A1" w:rsidRPr="002757E2" w:rsidRDefault="00312D68">
      <w:pPr>
        <w:tabs>
          <w:tab w:val="right" w:pos="8364"/>
        </w:tabs>
        <w:ind w:firstLine="540"/>
        <w:jc w:val="both"/>
        <w:rPr>
          <w:rFonts w:ascii="NewBaskerville" w:hAnsi="NewBaskerville"/>
          <w:bCs/>
        </w:rPr>
      </w:pPr>
      <w:r w:rsidRPr="002757E2">
        <w:rPr>
          <w:rFonts w:ascii="NewBaskerville" w:hAnsi="NewBaskerville"/>
          <w:bCs/>
        </w:rPr>
        <w:t xml:space="preserve">Además se han traspasado activos del epígrafe del inmovilizado en curso a inversiones inmobiliarias por un total de </w:t>
      </w:r>
      <w:r w:rsidR="002757E2">
        <w:rPr>
          <w:rFonts w:ascii="NewBaskerville" w:hAnsi="NewBaskerville"/>
          <w:bCs/>
        </w:rPr>
        <w:t>1</w:t>
      </w:r>
      <w:r w:rsidR="00FC323F">
        <w:rPr>
          <w:rFonts w:ascii="NewBaskerville" w:hAnsi="NewBaskerville"/>
          <w:bCs/>
        </w:rPr>
        <w:t>51</w:t>
      </w:r>
      <w:r w:rsidRPr="002757E2">
        <w:rPr>
          <w:rFonts w:ascii="NewBaskerville" w:hAnsi="NewBaskerville"/>
          <w:bCs/>
        </w:rPr>
        <w:t>.</w:t>
      </w:r>
      <w:r w:rsidR="002757E2">
        <w:rPr>
          <w:rFonts w:ascii="NewBaskerville" w:hAnsi="NewBaskerville"/>
          <w:bCs/>
        </w:rPr>
        <w:t>7</w:t>
      </w:r>
      <w:r w:rsidR="00FC323F">
        <w:rPr>
          <w:rFonts w:ascii="NewBaskerville" w:hAnsi="NewBaskerville"/>
          <w:bCs/>
        </w:rPr>
        <w:t>56</w:t>
      </w:r>
      <w:r w:rsidRPr="002757E2">
        <w:rPr>
          <w:rFonts w:ascii="NewBaskerville" w:hAnsi="NewBaskerville"/>
          <w:bCs/>
        </w:rPr>
        <w:t>,</w:t>
      </w:r>
      <w:r w:rsidR="00FC323F">
        <w:rPr>
          <w:rFonts w:ascii="NewBaskerville" w:hAnsi="NewBaskerville"/>
          <w:bCs/>
        </w:rPr>
        <w:t>91</w:t>
      </w:r>
      <w:r w:rsidR="003A5532" w:rsidRPr="002757E2">
        <w:rPr>
          <w:rFonts w:ascii="NewBaskerville" w:hAnsi="NewBaskerville"/>
          <w:bCs/>
        </w:rPr>
        <w:t xml:space="preserve"> euros.</w:t>
      </w:r>
    </w:p>
    <w:p w:rsidR="003A5532" w:rsidRDefault="003A5532">
      <w:pPr>
        <w:tabs>
          <w:tab w:val="right" w:pos="8364"/>
        </w:tabs>
        <w:ind w:firstLine="540"/>
        <w:jc w:val="both"/>
        <w:rPr>
          <w:bCs/>
        </w:rPr>
      </w:pPr>
    </w:p>
    <w:p w:rsidR="003A5532" w:rsidRPr="002F3984" w:rsidRDefault="003A5532">
      <w:pPr>
        <w:tabs>
          <w:tab w:val="right" w:pos="8364"/>
        </w:tabs>
        <w:ind w:firstLine="540"/>
        <w:jc w:val="both"/>
        <w:rPr>
          <w:bCs/>
          <w:lang w:val="es-ES"/>
        </w:rPr>
      </w:pPr>
    </w:p>
    <w:p w:rsidR="002C4355" w:rsidRDefault="002C4355">
      <w:pPr>
        <w:tabs>
          <w:tab w:val="right" w:pos="8364"/>
        </w:tabs>
        <w:ind w:firstLine="540"/>
        <w:jc w:val="both"/>
        <w:rPr>
          <w:rFonts w:ascii="NewBaskerville" w:hAnsi="NewBaskerville"/>
          <w:bCs/>
        </w:rPr>
      </w:pPr>
      <w:r w:rsidRPr="00CD156E">
        <w:rPr>
          <w:rFonts w:ascii="NewBaskerville" w:hAnsi="NewBaskerville"/>
          <w:bCs/>
        </w:rPr>
        <w:t>Los elementos del activo totalmente amortizados por epígrafes son:</w:t>
      </w:r>
    </w:p>
    <w:p w:rsidR="007C1EAE" w:rsidRPr="00CD156E" w:rsidRDefault="007C1EAE">
      <w:pPr>
        <w:tabs>
          <w:tab w:val="right" w:pos="8364"/>
        </w:tabs>
        <w:ind w:firstLine="540"/>
        <w:jc w:val="both"/>
        <w:rPr>
          <w:rFonts w:ascii="NewBaskerville" w:hAnsi="NewBaskerville"/>
          <w:bCs/>
        </w:rPr>
      </w:pPr>
    </w:p>
    <w:tbl>
      <w:tblPr>
        <w:tblW w:w="7400" w:type="dxa"/>
        <w:tblInd w:w="60" w:type="dxa"/>
        <w:tblCellMar>
          <w:left w:w="70" w:type="dxa"/>
          <w:right w:w="70" w:type="dxa"/>
        </w:tblCellMar>
        <w:tblLook w:val="04A0" w:firstRow="1" w:lastRow="0" w:firstColumn="1" w:lastColumn="0" w:noHBand="0" w:noVBand="1"/>
      </w:tblPr>
      <w:tblGrid>
        <w:gridCol w:w="3940"/>
        <w:gridCol w:w="1700"/>
        <w:gridCol w:w="1760"/>
      </w:tblGrid>
      <w:tr w:rsidR="0031579F" w:rsidRPr="0031579F" w:rsidTr="0031579F">
        <w:trPr>
          <w:trHeight w:val="300"/>
        </w:trPr>
        <w:tc>
          <w:tcPr>
            <w:tcW w:w="3940" w:type="dxa"/>
            <w:tcBorders>
              <w:top w:val="single" w:sz="8" w:space="0" w:color="000000"/>
              <w:left w:val="single" w:sz="8" w:space="0" w:color="000000"/>
              <w:bottom w:val="single" w:sz="8" w:space="0" w:color="000000"/>
              <w:right w:val="single" w:sz="8" w:space="0" w:color="000000"/>
            </w:tcBorders>
            <w:shd w:val="clear" w:color="000000" w:fill="CCFFCC"/>
            <w:vAlign w:val="center"/>
            <w:hideMark/>
          </w:tcPr>
          <w:p w:rsidR="0031579F" w:rsidRPr="0031579F" w:rsidRDefault="0031579F" w:rsidP="0031579F">
            <w:pPr>
              <w:jc w:val="center"/>
              <w:rPr>
                <w:rFonts w:ascii="Lucida Bright" w:hAnsi="Lucida Bright" w:cs="Calibri"/>
                <w:b/>
                <w:bCs/>
                <w:color w:val="000000"/>
                <w:sz w:val="18"/>
                <w:szCs w:val="18"/>
                <w:lang w:val="es-ES"/>
              </w:rPr>
            </w:pPr>
            <w:r w:rsidRPr="0031579F">
              <w:rPr>
                <w:rFonts w:ascii="Lucida Bright" w:hAnsi="Lucida Bright" w:cs="Calibri"/>
                <w:b/>
                <w:bCs/>
                <w:color w:val="000000"/>
                <w:sz w:val="18"/>
                <w:szCs w:val="18"/>
                <w:lang w:val="es-ES"/>
              </w:rPr>
              <w:t>Epígrafe</w:t>
            </w:r>
          </w:p>
        </w:tc>
        <w:tc>
          <w:tcPr>
            <w:tcW w:w="1700" w:type="dxa"/>
            <w:tcBorders>
              <w:top w:val="single" w:sz="8" w:space="0" w:color="000000"/>
              <w:left w:val="nil"/>
              <w:bottom w:val="single" w:sz="8" w:space="0" w:color="000000"/>
              <w:right w:val="single" w:sz="8" w:space="0" w:color="000000"/>
            </w:tcBorders>
            <w:shd w:val="clear" w:color="000000" w:fill="CCFFCC"/>
            <w:noWrap/>
            <w:vAlign w:val="center"/>
            <w:hideMark/>
          </w:tcPr>
          <w:p w:rsidR="0031579F" w:rsidRPr="0031579F" w:rsidRDefault="0031579F" w:rsidP="0031579F">
            <w:pPr>
              <w:jc w:val="center"/>
              <w:rPr>
                <w:rFonts w:ascii="Lucida Bright" w:hAnsi="Lucida Bright" w:cs="Calibri"/>
                <w:b/>
                <w:bCs/>
                <w:color w:val="000000"/>
                <w:sz w:val="18"/>
                <w:szCs w:val="18"/>
                <w:lang w:val="es-ES"/>
              </w:rPr>
            </w:pPr>
            <w:r w:rsidRPr="0031579F">
              <w:rPr>
                <w:rFonts w:ascii="Lucida Bright" w:hAnsi="Lucida Bright" w:cs="Calibri"/>
                <w:b/>
                <w:bCs/>
                <w:color w:val="000000"/>
                <w:sz w:val="18"/>
                <w:szCs w:val="18"/>
                <w:lang w:val="es-ES"/>
              </w:rPr>
              <w:t>2023</w:t>
            </w:r>
          </w:p>
        </w:tc>
        <w:tc>
          <w:tcPr>
            <w:tcW w:w="1760" w:type="dxa"/>
            <w:tcBorders>
              <w:top w:val="single" w:sz="8" w:space="0" w:color="000000"/>
              <w:left w:val="nil"/>
              <w:bottom w:val="single" w:sz="8" w:space="0" w:color="000000"/>
              <w:right w:val="single" w:sz="8" w:space="0" w:color="000000"/>
            </w:tcBorders>
            <w:shd w:val="clear" w:color="000000" w:fill="CCFFCC"/>
            <w:noWrap/>
            <w:vAlign w:val="center"/>
            <w:hideMark/>
          </w:tcPr>
          <w:p w:rsidR="0031579F" w:rsidRPr="0031579F" w:rsidRDefault="0031579F" w:rsidP="0031579F">
            <w:pPr>
              <w:jc w:val="center"/>
              <w:rPr>
                <w:rFonts w:ascii="Lucida Bright" w:hAnsi="Lucida Bright" w:cs="Calibri"/>
                <w:b/>
                <w:bCs/>
                <w:color w:val="000000"/>
                <w:sz w:val="18"/>
                <w:szCs w:val="18"/>
                <w:lang w:val="es-ES"/>
              </w:rPr>
            </w:pPr>
            <w:r w:rsidRPr="0031579F">
              <w:rPr>
                <w:rFonts w:ascii="Lucida Bright" w:hAnsi="Lucida Bright" w:cs="Calibri"/>
                <w:b/>
                <w:bCs/>
                <w:color w:val="000000"/>
                <w:sz w:val="18"/>
                <w:szCs w:val="18"/>
                <w:lang w:val="es-ES"/>
              </w:rPr>
              <w:t>2022</w:t>
            </w:r>
          </w:p>
        </w:tc>
      </w:tr>
      <w:tr w:rsidR="0031579F" w:rsidRPr="0031579F" w:rsidTr="0031579F">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31579F" w:rsidRPr="0031579F" w:rsidRDefault="0031579F" w:rsidP="0031579F">
            <w:pPr>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Instalaciones de ayudas a la navegación</w:t>
            </w:r>
          </w:p>
        </w:tc>
        <w:tc>
          <w:tcPr>
            <w:tcW w:w="1700" w:type="dxa"/>
            <w:tcBorders>
              <w:top w:val="nil"/>
              <w:left w:val="nil"/>
              <w:bottom w:val="single" w:sz="8" w:space="0" w:color="000000"/>
              <w:right w:val="single" w:sz="8" w:space="0" w:color="000000"/>
            </w:tcBorders>
            <w:shd w:val="clear" w:color="auto" w:fill="auto"/>
            <w:noWrap/>
            <w:vAlign w:val="bottom"/>
            <w:hideMark/>
          </w:tcPr>
          <w:p w:rsidR="0031579F" w:rsidRPr="0031579F" w:rsidRDefault="0031579F" w:rsidP="0031579F">
            <w:pPr>
              <w:jc w:val="right"/>
              <w:rPr>
                <w:rFonts w:ascii="Lucida Bright" w:hAnsi="Lucida Bright" w:cs="Calibri"/>
                <w:sz w:val="18"/>
                <w:szCs w:val="18"/>
                <w:lang w:val="es-ES"/>
              </w:rPr>
            </w:pPr>
            <w:r w:rsidRPr="0031579F">
              <w:rPr>
                <w:rFonts w:ascii="Lucida Bright" w:hAnsi="Lucida Bright" w:cs="Calibri"/>
                <w:sz w:val="18"/>
                <w:szCs w:val="18"/>
                <w:lang w:val="es-ES"/>
              </w:rPr>
              <w:t>4.907.814,04</w:t>
            </w:r>
          </w:p>
        </w:tc>
        <w:tc>
          <w:tcPr>
            <w:tcW w:w="176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5.388.775,59</w:t>
            </w:r>
          </w:p>
        </w:tc>
      </w:tr>
      <w:tr w:rsidR="0031579F" w:rsidRPr="0031579F" w:rsidTr="0031579F">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31579F" w:rsidRPr="0031579F" w:rsidRDefault="0031579F" w:rsidP="0031579F">
            <w:pPr>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Accesos marítimos</w:t>
            </w:r>
          </w:p>
        </w:tc>
        <w:tc>
          <w:tcPr>
            <w:tcW w:w="1700" w:type="dxa"/>
            <w:tcBorders>
              <w:top w:val="nil"/>
              <w:left w:val="nil"/>
              <w:bottom w:val="single" w:sz="8" w:space="0" w:color="000000"/>
              <w:right w:val="single" w:sz="8" w:space="0" w:color="000000"/>
            </w:tcBorders>
            <w:shd w:val="clear" w:color="auto" w:fill="auto"/>
            <w:noWrap/>
            <w:vAlign w:val="bottom"/>
            <w:hideMark/>
          </w:tcPr>
          <w:p w:rsidR="0031579F" w:rsidRPr="0031579F" w:rsidRDefault="0031579F" w:rsidP="0031579F">
            <w:pPr>
              <w:jc w:val="right"/>
              <w:rPr>
                <w:rFonts w:ascii="Lucida Bright" w:hAnsi="Lucida Bright" w:cs="Calibri"/>
                <w:sz w:val="18"/>
                <w:szCs w:val="18"/>
                <w:lang w:val="es-ES"/>
              </w:rPr>
            </w:pPr>
            <w:r w:rsidRPr="0031579F">
              <w:rPr>
                <w:rFonts w:ascii="Lucida Bright" w:hAnsi="Lucida Bright" w:cs="Calibri"/>
                <w:sz w:val="18"/>
                <w:szCs w:val="18"/>
                <w:lang w:val="es-ES"/>
              </w:rPr>
              <w:t>1.393.386,46</w:t>
            </w:r>
          </w:p>
        </w:tc>
        <w:tc>
          <w:tcPr>
            <w:tcW w:w="176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1.393.386,46</w:t>
            </w:r>
          </w:p>
        </w:tc>
      </w:tr>
      <w:tr w:rsidR="0031579F" w:rsidRPr="0031579F" w:rsidTr="0031579F">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31579F" w:rsidRPr="0031579F" w:rsidRDefault="0031579F" w:rsidP="0031579F">
            <w:pPr>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Obras de abrigo y defensa</w:t>
            </w:r>
          </w:p>
        </w:tc>
        <w:tc>
          <w:tcPr>
            <w:tcW w:w="170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30.269.914,53</w:t>
            </w:r>
          </w:p>
        </w:tc>
        <w:tc>
          <w:tcPr>
            <w:tcW w:w="176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30.269.914,53</w:t>
            </w:r>
          </w:p>
        </w:tc>
      </w:tr>
      <w:tr w:rsidR="0031579F" w:rsidRPr="0031579F" w:rsidTr="0031579F">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31579F" w:rsidRPr="0031579F" w:rsidRDefault="0031579F" w:rsidP="0031579F">
            <w:pPr>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Obras de atraque</w:t>
            </w:r>
          </w:p>
        </w:tc>
        <w:tc>
          <w:tcPr>
            <w:tcW w:w="170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63.815.148,24</w:t>
            </w:r>
          </w:p>
        </w:tc>
        <w:tc>
          <w:tcPr>
            <w:tcW w:w="176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63.417.539,14</w:t>
            </w:r>
          </w:p>
        </w:tc>
      </w:tr>
      <w:tr w:rsidR="0031579F" w:rsidRPr="0031579F" w:rsidTr="0031579F">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31579F" w:rsidRPr="0031579F" w:rsidRDefault="0031579F" w:rsidP="0031579F">
            <w:pPr>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Edificaciones</w:t>
            </w:r>
          </w:p>
        </w:tc>
        <w:tc>
          <w:tcPr>
            <w:tcW w:w="170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12.203.821,58</w:t>
            </w:r>
          </w:p>
        </w:tc>
        <w:tc>
          <w:tcPr>
            <w:tcW w:w="176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11.727.341,60</w:t>
            </w:r>
          </w:p>
        </w:tc>
      </w:tr>
      <w:tr w:rsidR="0031579F" w:rsidRPr="0031579F" w:rsidTr="0031579F">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31579F" w:rsidRPr="0031579F" w:rsidRDefault="0031579F" w:rsidP="0031579F">
            <w:pPr>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Instalaciones generales</w:t>
            </w:r>
          </w:p>
        </w:tc>
        <w:tc>
          <w:tcPr>
            <w:tcW w:w="170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21.580.395,14</w:t>
            </w:r>
          </w:p>
        </w:tc>
        <w:tc>
          <w:tcPr>
            <w:tcW w:w="176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21.208.244,76</w:t>
            </w:r>
          </w:p>
        </w:tc>
      </w:tr>
      <w:tr w:rsidR="0031579F" w:rsidRPr="0031579F" w:rsidTr="0031579F">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31579F" w:rsidRPr="0031579F" w:rsidRDefault="0031579F" w:rsidP="0031579F">
            <w:pPr>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Pavimentos, calzadas y vías de circulación</w:t>
            </w:r>
          </w:p>
        </w:tc>
        <w:tc>
          <w:tcPr>
            <w:tcW w:w="170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43.653.265,74</w:t>
            </w:r>
          </w:p>
        </w:tc>
        <w:tc>
          <w:tcPr>
            <w:tcW w:w="176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37.429.203,79</w:t>
            </w:r>
          </w:p>
        </w:tc>
      </w:tr>
      <w:tr w:rsidR="0031579F" w:rsidRPr="0031579F" w:rsidTr="0031579F">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31579F" w:rsidRPr="0031579F" w:rsidRDefault="0031579F" w:rsidP="0031579F">
            <w:pPr>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Equipos de manipulación de mercancías</w:t>
            </w:r>
          </w:p>
        </w:tc>
        <w:tc>
          <w:tcPr>
            <w:tcW w:w="170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3.605.358,10</w:t>
            </w:r>
          </w:p>
        </w:tc>
        <w:tc>
          <w:tcPr>
            <w:tcW w:w="176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3.390.903,50</w:t>
            </w:r>
          </w:p>
        </w:tc>
      </w:tr>
      <w:tr w:rsidR="0031579F" w:rsidRPr="0031579F" w:rsidTr="0031579F">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31579F" w:rsidRPr="0031579F" w:rsidRDefault="0031579F" w:rsidP="0031579F">
            <w:pPr>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Material flotante</w:t>
            </w:r>
          </w:p>
        </w:tc>
        <w:tc>
          <w:tcPr>
            <w:tcW w:w="170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774.348,73</w:t>
            </w:r>
          </w:p>
        </w:tc>
        <w:tc>
          <w:tcPr>
            <w:tcW w:w="176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885.489,67</w:t>
            </w:r>
          </w:p>
        </w:tc>
      </w:tr>
      <w:tr w:rsidR="0031579F" w:rsidRPr="0031579F" w:rsidTr="0031579F">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31579F" w:rsidRPr="0031579F" w:rsidRDefault="0031579F" w:rsidP="0031579F">
            <w:pPr>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Elementos de transporte</w:t>
            </w:r>
          </w:p>
        </w:tc>
        <w:tc>
          <w:tcPr>
            <w:tcW w:w="170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2.185.372,71</w:t>
            </w:r>
          </w:p>
        </w:tc>
        <w:tc>
          <w:tcPr>
            <w:tcW w:w="176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2.140.199,75</w:t>
            </w:r>
          </w:p>
        </w:tc>
      </w:tr>
      <w:tr w:rsidR="0031579F" w:rsidRPr="0031579F" w:rsidTr="0031579F">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31579F" w:rsidRPr="0031579F" w:rsidRDefault="0031579F" w:rsidP="0031579F">
            <w:pPr>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Equipo de taller</w:t>
            </w:r>
          </w:p>
        </w:tc>
        <w:tc>
          <w:tcPr>
            <w:tcW w:w="170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167.038,45</w:t>
            </w:r>
          </w:p>
        </w:tc>
        <w:tc>
          <w:tcPr>
            <w:tcW w:w="176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179.766,57</w:t>
            </w:r>
          </w:p>
        </w:tc>
      </w:tr>
      <w:tr w:rsidR="0031579F" w:rsidRPr="0031579F" w:rsidTr="0031579F">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31579F" w:rsidRPr="0031579F" w:rsidRDefault="0031579F" w:rsidP="0031579F">
            <w:pPr>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Mobiliario</w:t>
            </w:r>
          </w:p>
        </w:tc>
        <w:tc>
          <w:tcPr>
            <w:tcW w:w="170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2.518.682,20</w:t>
            </w:r>
          </w:p>
        </w:tc>
        <w:tc>
          <w:tcPr>
            <w:tcW w:w="176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2.572.228,89</w:t>
            </w:r>
          </w:p>
        </w:tc>
      </w:tr>
      <w:tr w:rsidR="0031579F" w:rsidRPr="0031579F" w:rsidTr="0031579F">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31579F" w:rsidRPr="0031579F" w:rsidRDefault="0031579F" w:rsidP="0031579F">
            <w:pPr>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Material diverso</w:t>
            </w:r>
          </w:p>
        </w:tc>
        <w:tc>
          <w:tcPr>
            <w:tcW w:w="170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7.388.282,17</w:t>
            </w:r>
          </w:p>
        </w:tc>
        <w:tc>
          <w:tcPr>
            <w:tcW w:w="176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9.337.003,57</w:t>
            </w:r>
          </w:p>
        </w:tc>
      </w:tr>
      <w:tr w:rsidR="0031579F" w:rsidRPr="0031579F" w:rsidTr="0031579F">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31579F" w:rsidRPr="0031579F" w:rsidRDefault="0031579F" w:rsidP="0031579F">
            <w:pPr>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Equipos para procesos de información</w:t>
            </w:r>
          </w:p>
        </w:tc>
        <w:tc>
          <w:tcPr>
            <w:tcW w:w="170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1.948.139,86</w:t>
            </w:r>
          </w:p>
        </w:tc>
        <w:tc>
          <w:tcPr>
            <w:tcW w:w="1760" w:type="dxa"/>
            <w:tcBorders>
              <w:top w:val="nil"/>
              <w:left w:val="nil"/>
              <w:bottom w:val="single" w:sz="8" w:space="0" w:color="000000"/>
              <w:right w:val="single" w:sz="8" w:space="0" w:color="000000"/>
            </w:tcBorders>
            <w:shd w:val="clear" w:color="000000" w:fill="FFFFFF"/>
            <w:noWrap/>
            <w:vAlign w:val="center"/>
            <w:hideMark/>
          </w:tcPr>
          <w:p w:rsidR="0031579F" w:rsidRPr="0031579F" w:rsidRDefault="0031579F" w:rsidP="0031579F">
            <w:pPr>
              <w:jc w:val="right"/>
              <w:rPr>
                <w:rFonts w:ascii="Lucida Bright" w:hAnsi="Lucida Bright" w:cs="Calibri"/>
                <w:color w:val="000000"/>
                <w:sz w:val="18"/>
                <w:szCs w:val="18"/>
                <w:lang w:val="es-ES"/>
              </w:rPr>
            </w:pPr>
            <w:r w:rsidRPr="0031579F">
              <w:rPr>
                <w:rFonts w:ascii="Lucida Bright" w:hAnsi="Lucida Bright" w:cs="Calibri"/>
                <w:color w:val="000000"/>
                <w:sz w:val="18"/>
                <w:szCs w:val="18"/>
                <w:lang w:val="es-ES"/>
              </w:rPr>
              <w:t>2.177.260,30</w:t>
            </w:r>
          </w:p>
        </w:tc>
      </w:tr>
      <w:tr w:rsidR="0031579F" w:rsidRPr="0031579F" w:rsidTr="0031579F">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31579F" w:rsidRPr="0031579F" w:rsidRDefault="0031579F" w:rsidP="0031579F">
            <w:pPr>
              <w:ind w:firstLineChars="200" w:firstLine="361"/>
              <w:jc w:val="right"/>
              <w:rPr>
                <w:rFonts w:ascii="Lucida Bright" w:hAnsi="Lucida Bright" w:cs="Calibri"/>
                <w:b/>
                <w:bCs/>
                <w:color w:val="000000"/>
                <w:sz w:val="18"/>
                <w:szCs w:val="18"/>
                <w:lang w:val="es-ES"/>
              </w:rPr>
            </w:pPr>
            <w:r w:rsidRPr="0031579F">
              <w:rPr>
                <w:rFonts w:ascii="Lucida Bright" w:hAnsi="Lucida Bright" w:cs="Calibri"/>
                <w:b/>
                <w:bCs/>
                <w:color w:val="000000"/>
                <w:sz w:val="18"/>
                <w:szCs w:val="18"/>
                <w:lang w:val="es-ES"/>
              </w:rPr>
              <w:t>TOTAL</w:t>
            </w:r>
          </w:p>
        </w:tc>
        <w:tc>
          <w:tcPr>
            <w:tcW w:w="1700" w:type="dxa"/>
            <w:tcBorders>
              <w:top w:val="nil"/>
              <w:left w:val="nil"/>
              <w:bottom w:val="single" w:sz="8" w:space="0" w:color="000000"/>
              <w:right w:val="single" w:sz="8" w:space="0" w:color="000000"/>
            </w:tcBorders>
            <w:shd w:val="clear" w:color="auto" w:fill="auto"/>
            <w:noWrap/>
            <w:vAlign w:val="center"/>
            <w:hideMark/>
          </w:tcPr>
          <w:p w:rsidR="0031579F" w:rsidRPr="0031579F" w:rsidRDefault="0031579F" w:rsidP="0031579F">
            <w:pPr>
              <w:jc w:val="right"/>
              <w:rPr>
                <w:rFonts w:ascii="Lucida Bright" w:hAnsi="Lucida Bright" w:cs="Calibri"/>
                <w:b/>
                <w:bCs/>
                <w:color w:val="000000"/>
                <w:sz w:val="18"/>
                <w:szCs w:val="18"/>
                <w:lang w:val="es-ES"/>
              </w:rPr>
            </w:pPr>
            <w:r w:rsidRPr="0031579F">
              <w:rPr>
                <w:rFonts w:ascii="Lucida Bright" w:hAnsi="Lucida Bright" w:cs="Calibri"/>
                <w:b/>
                <w:bCs/>
                <w:color w:val="000000"/>
                <w:sz w:val="18"/>
                <w:szCs w:val="18"/>
                <w:lang w:val="es-ES"/>
              </w:rPr>
              <w:t>196.410.967,95</w:t>
            </w:r>
          </w:p>
        </w:tc>
        <w:tc>
          <w:tcPr>
            <w:tcW w:w="1760" w:type="dxa"/>
            <w:tcBorders>
              <w:top w:val="nil"/>
              <w:left w:val="nil"/>
              <w:bottom w:val="single" w:sz="8" w:space="0" w:color="000000"/>
              <w:right w:val="single" w:sz="8" w:space="0" w:color="000000"/>
            </w:tcBorders>
            <w:shd w:val="clear" w:color="auto" w:fill="auto"/>
            <w:noWrap/>
            <w:vAlign w:val="center"/>
            <w:hideMark/>
          </w:tcPr>
          <w:p w:rsidR="0031579F" w:rsidRPr="0031579F" w:rsidRDefault="0031579F" w:rsidP="0031579F">
            <w:pPr>
              <w:jc w:val="right"/>
              <w:rPr>
                <w:rFonts w:ascii="Lucida Bright" w:hAnsi="Lucida Bright" w:cs="Calibri"/>
                <w:b/>
                <w:bCs/>
                <w:color w:val="000000"/>
                <w:sz w:val="18"/>
                <w:szCs w:val="18"/>
                <w:lang w:val="es-ES"/>
              </w:rPr>
            </w:pPr>
            <w:r w:rsidRPr="0031579F">
              <w:rPr>
                <w:rFonts w:ascii="Lucida Bright" w:hAnsi="Lucida Bright" w:cs="Calibri"/>
                <w:b/>
                <w:bCs/>
                <w:color w:val="000000"/>
                <w:sz w:val="18"/>
                <w:szCs w:val="18"/>
                <w:lang w:val="es-ES"/>
              </w:rPr>
              <w:t>191.517.258,12</w:t>
            </w:r>
          </w:p>
        </w:tc>
      </w:tr>
    </w:tbl>
    <w:p w:rsidR="006A5C88" w:rsidRDefault="006A5C88">
      <w:pPr>
        <w:tabs>
          <w:tab w:val="right" w:pos="8364"/>
        </w:tabs>
        <w:ind w:firstLine="540"/>
        <w:jc w:val="both"/>
        <w:rPr>
          <w:bCs/>
        </w:rPr>
      </w:pPr>
    </w:p>
    <w:p w:rsidR="006A5C88" w:rsidRDefault="006A5C88">
      <w:pPr>
        <w:tabs>
          <w:tab w:val="right" w:pos="8364"/>
        </w:tabs>
        <w:ind w:firstLine="540"/>
        <w:jc w:val="both"/>
        <w:rPr>
          <w:lang w:val="es-ES"/>
        </w:rPr>
      </w:pPr>
      <w:r>
        <w:fldChar w:fldCharType="begin"/>
      </w:r>
      <w:r>
        <w:instrText xml:space="preserve"> LINK </w:instrText>
      </w:r>
      <w:r w:rsidR="00396608">
        <w:instrText xml:space="preserve">Excel.Sheet.12 Libro14 Hoja1!F5C4:F20C8 </w:instrText>
      </w:r>
      <w:r>
        <w:instrText xml:space="preserve">\a \f 4 \h </w:instrText>
      </w:r>
      <w:r>
        <w:fldChar w:fldCharType="separate"/>
      </w:r>
    </w:p>
    <w:p w:rsidR="00094C6A" w:rsidRPr="007C1EAE" w:rsidRDefault="006A5C88" w:rsidP="007C1EAE">
      <w:pPr>
        <w:tabs>
          <w:tab w:val="right" w:pos="8364"/>
        </w:tabs>
        <w:ind w:firstLine="540"/>
        <w:jc w:val="both"/>
        <w:rPr>
          <w:rFonts w:ascii="NewBaskerville" w:hAnsi="NewBaskerville"/>
          <w:bCs/>
        </w:rPr>
      </w:pPr>
      <w:r>
        <w:rPr>
          <w:bCs/>
        </w:rPr>
        <w:fldChar w:fldCharType="end"/>
      </w:r>
      <w:r w:rsidR="001B7235" w:rsidRPr="007C1EAE">
        <w:rPr>
          <w:rFonts w:ascii="NewBaskerville" w:hAnsi="NewBaskerville"/>
          <w:bCs/>
        </w:rPr>
        <w:t>A 31 de diciembre de 202</w:t>
      </w:r>
      <w:r w:rsidR="006764F3">
        <w:rPr>
          <w:rFonts w:ascii="NewBaskerville" w:hAnsi="NewBaskerville"/>
          <w:bCs/>
        </w:rPr>
        <w:t>3</w:t>
      </w:r>
      <w:r w:rsidR="001B7235" w:rsidRPr="007C1EAE">
        <w:rPr>
          <w:rFonts w:ascii="NewBaskerville" w:hAnsi="NewBaskerville"/>
          <w:bCs/>
        </w:rPr>
        <w:t xml:space="preserve"> y 202</w:t>
      </w:r>
      <w:r w:rsidR="006764F3">
        <w:rPr>
          <w:rFonts w:ascii="NewBaskerville" w:hAnsi="NewBaskerville"/>
          <w:bCs/>
        </w:rPr>
        <w:t>2</w:t>
      </w:r>
      <w:r w:rsidR="00094C6A" w:rsidRPr="007C1EAE">
        <w:rPr>
          <w:rFonts w:ascii="NewBaskerville" w:hAnsi="NewBaskerville"/>
          <w:bCs/>
        </w:rPr>
        <w:t xml:space="preserve"> no existen indicios de deterioro de inmovilizado material.</w:t>
      </w:r>
    </w:p>
    <w:p w:rsidR="002578A1" w:rsidRDefault="002578A1">
      <w:pPr>
        <w:tabs>
          <w:tab w:val="right" w:pos="8364"/>
        </w:tabs>
        <w:jc w:val="both"/>
        <w:rPr>
          <w:bCs/>
          <w:sz w:val="24"/>
        </w:rPr>
      </w:pPr>
    </w:p>
    <w:p w:rsidR="002C4355" w:rsidRDefault="002C4355">
      <w:pPr>
        <w:tabs>
          <w:tab w:val="right" w:pos="8364"/>
        </w:tabs>
        <w:ind w:firstLine="540"/>
        <w:jc w:val="both"/>
        <w:rPr>
          <w:rFonts w:ascii="NewBaskerville" w:hAnsi="NewBaskerville"/>
          <w:bCs/>
        </w:rPr>
      </w:pPr>
      <w:r w:rsidRPr="00075A9A">
        <w:rPr>
          <w:rFonts w:ascii="NewBaskerville" w:hAnsi="NewBaskerville"/>
          <w:bCs/>
        </w:rPr>
        <w:t>Los</w:t>
      </w:r>
      <w:r w:rsidR="00E17D79" w:rsidRPr="00075A9A">
        <w:rPr>
          <w:rFonts w:ascii="NewBaskerville" w:hAnsi="NewBaskerville"/>
          <w:bCs/>
        </w:rPr>
        <w:t xml:space="preserve"> elementos del activo financiados</w:t>
      </w:r>
      <w:r w:rsidRPr="00075A9A">
        <w:rPr>
          <w:rFonts w:ascii="NewBaskerville" w:hAnsi="NewBaskerville"/>
          <w:bCs/>
        </w:rPr>
        <w:t xml:space="preserve"> mediante subvenciones:</w:t>
      </w:r>
    </w:p>
    <w:p w:rsidR="007E1479" w:rsidRDefault="007E1479">
      <w:pPr>
        <w:tabs>
          <w:tab w:val="right" w:pos="8364"/>
        </w:tabs>
        <w:ind w:firstLine="540"/>
        <w:jc w:val="both"/>
        <w:rPr>
          <w:rFonts w:ascii="NewBaskerville" w:hAnsi="NewBaskerville"/>
          <w:bCs/>
        </w:rPr>
      </w:pPr>
    </w:p>
    <w:tbl>
      <w:tblPr>
        <w:tblW w:w="5000" w:type="pct"/>
        <w:tblCellMar>
          <w:left w:w="70" w:type="dxa"/>
          <w:right w:w="70" w:type="dxa"/>
        </w:tblCellMar>
        <w:tblLook w:val="04A0" w:firstRow="1" w:lastRow="0" w:firstColumn="1" w:lastColumn="0" w:noHBand="0" w:noVBand="1"/>
      </w:tblPr>
      <w:tblGrid>
        <w:gridCol w:w="925"/>
        <w:gridCol w:w="4236"/>
        <w:gridCol w:w="1518"/>
        <w:gridCol w:w="1965"/>
      </w:tblGrid>
      <w:tr w:rsidR="00D24701" w:rsidRPr="00D24701" w:rsidTr="00D24701">
        <w:trPr>
          <w:trHeight w:val="300"/>
        </w:trPr>
        <w:tc>
          <w:tcPr>
            <w:tcW w:w="644" w:type="pct"/>
            <w:tcBorders>
              <w:top w:val="single" w:sz="4" w:space="0" w:color="000000"/>
              <w:left w:val="single" w:sz="4" w:space="0" w:color="000000"/>
              <w:bottom w:val="single" w:sz="4" w:space="0" w:color="000000"/>
              <w:right w:val="single" w:sz="4" w:space="0" w:color="000000"/>
            </w:tcBorders>
            <w:shd w:val="clear" w:color="000000" w:fill="CCFFCC"/>
            <w:vAlign w:val="center"/>
            <w:hideMark/>
          </w:tcPr>
          <w:p w:rsidR="00D24701" w:rsidRPr="00D24701" w:rsidRDefault="00D24701" w:rsidP="00D24701">
            <w:pPr>
              <w:ind w:firstLineChars="100" w:firstLine="181"/>
              <w:rPr>
                <w:rFonts w:ascii="Lucida Bright" w:hAnsi="Lucida Bright" w:cs="Calibri"/>
                <w:b/>
                <w:bCs/>
                <w:sz w:val="18"/>
                <w:szCs w:val="18"/>
                <w:lang w:val="es-ES"/>
              </w:rPr>
            </w:pPr>
            <w:r w:rsidRPr="00D24701">
              <w:rPr>
                <w:rFonts w:ascii="Lucida Bright" w:hAnsi="Lucida Bright" w:cs="Calibri"/>
                <w:b/>
                <w:bCs/>
                <w:sz w:val="18"/>
                <w:szCs w:val="18"/>
                <w:lang w:val="es-ES"/>
              </w:rPr>
              <w:t>Puerto</w:t>
            </w:r>
          </w:p>
        </w:tc>
        <w:tc>
          <w:tcPr>
            <w:tcW w:w="2264" w:type="pct"/>
            <w:tcBorders>
              <w:top w:val="single" w:sz="4" w:space="0" w:color="000000"/>
              <w:left w:val="nil"/>
              <w:bottom w:val="single" w:sz="4" w:space="0" w:color="000000"/>
              <w:right w:val="single" w:sz="4" w:space="0" w:color="000000"/>
            </w:tcBorders>
            <w:shd w:val="clear" w:color="000000" w:fill="CCFFCC"/>
            <w:vAlign w:val="center"/>
            <w:hideMark/>
          </w:tcPr>
          <w:p w:rsidR="00D24701" w:rsidRPr="00D24701" w:rsidRDefault="00D24701" w:rsidP="00D24701">
            <w:pPr>
              <w:jc w:val="center"/>
              <w:rPr>
                <w:rFonts w:ascii="Lucida Bright" w:hAnsi="Lucida Bright" w:cs="Calibri"/>
                <w:b/>
                <w:bCs/>
                <w:sz w:val="18"/>
                <w:szCs w:val="18"/>
                <w:lang w:val="es-ES"/>
              </w:rPr>
            </w:pPr>
            <w:r w:rsidRPr="00D24701">
              <w:rPr>
                <w:rFonts w:ascii="Lucida Bright" w:hAnsi="Lucida Bright" w:cs="Calibri"/>
                <w:b/>
                <w:bCs/>
                <w:sz w:val="18"/>
                <w:szCs w:val="18"/>
                <w:lang w:val="es-ES"/>
              </w:rPr>
              <w:t>Descripción</w:t>
            </w:r>
          </w:p>
        </w:tc>
        <w:tc>
          <w:tcPr>
            <w:tcW w:w="987" w:type="pct"/>
            <w:tcBorders>
              <w:top w:val="single" w:sz="4" w:space="0" w:color="000000"/>
              <w:left w:val="nil"/>
              <w:bottom w:val="single" w:sz="4" w:space="0" w:color="000000"/>
              <w:right w:val="nil"/>
            </w:tcBorders>
            <w:shd w:val="clear" w:color="000000" w:fill="CCFFCC"/>
            <w:noWrap/>
            <w:vAlign w:val="center"/>
            <w:hideMark/>
          </w:tcPr>
          <w:p w:rsidR="00D24701" w:rsidRPr="00D24701" w:rsidRDefault="00D24701" w:rsidP="00D24701">
            <w:pPr>
              <w:rPr>
                <w:rFonts w:ascii="Lucida Bright" w:hAnsi="Lucida Bright" w:cs="Calibri"/>
                <w:b/>
                <w:bCs/>
                <w:sz w:val="18"/>
                <w:szCs w:val="18"/>
                <w:lang w:val="es-ES"/>
              </w:rPr>
            </w:pPr>
            <w:r w:rsidRPr="00D24701">
              <w:rPr>
                <w:rFonts w:ascii="Lucida Bright" w:hAnsi="Lucida Bright" w:cs="Calibri"/>
                <w:b/>
                <w:bCs/>
                <w:sz w:val="18"/>
                <w:szCs w:val="18"/>
                <w:lang w:val="es-ES"/>
              </w:rPr>
              <w:t>Importe activo</w:t>
            </w:r>
          </w:p>
        </w:tc>
        <w:tc>
          <w:tcPr>
            <w:tcW w:w="1105"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D24701" w:rsidRPr="00D24701" w:rsidRDefault="00D24701" w:rsidP="00D24701">
            <w:pPr>
              <w:rPr>
                <w:rFonts w:ascii="Lucida Bright" w:hAnsi="Lucida Bright" w:cs="Calibri"/>
                <w:b/>
                <w:bCs/>
                <w:sz w:val="18"/>
                <w:szCs w:val="18"/>
                <w:lang w:val="es-ES"/>
              </w:rPr>
            </w:pPr>
            <w:r w:rsidRPr="00D24701">
              <w:rPr>
                <w:rFonts w:ascii="Lucida Bright" w:hAnsi="Lucida Bright" w:cs="Calibri"/>
                <w:b/>
                <w:bCs/>
                <w:sz w:val="18"/>
                <w:szCs w:val="18"/>
                <w:lang w:val="es-ES"/>
              </w:rPr>
              <w:t>Importe subvención</w:t>
            </w:r>
          </w:p>
        </w:tc>
      </w:tr>
      <w:tr w:rsidR="00D24701" w:rsidRPr="00D24701" w:rsidTr="00D24701">
        <w:trPr>
          <w:trHeight w:val="300"/>
        </w:trPr>
        <w:tc>
          <w:tcPr>
            <w:tcW w:w="644" w:type="pct"/>
            <w:tcBorders>
              <w:top w:val="nil"/>
              <w:left w:val="single" w:sz="4" w:space="0" w:color="000000"/>
              <w:bottom w:val="single" w:sz="4" w:space="0" w:color="000000"/>
              <w:right w:val="single" w:sz="4" w:space="0" w:color="000000"/>
            </w:tcBorders>
            <w:shd w:val="clear" w:color="auto" w:fill="auto"/>
            <w:vAlign w:val="center"/>
            <w:hideMark/>
          </w:tcPr>
          <w:p w:rsidR="00D24701" w:rsidRPr="00D24701" w:rsidRDefault="00D24701" w:rsidP="00D24701">
            <w:pPr>
              <w:rPr>
                <w:rFonts w:ascii="Lucida Bright" w:hAnsi="Lucida Bright" w:cs="Calibri"/>
                <w:sz w:val="18"/>
                <w:szCs w:val="18"/>
                <w:lang w:val="es-ES"/>
              </w:rPr>
            </w:pPr>
            <w:r w:rsidRPr="00D24701">
              <w:rPr>
                <w:rFonts w:ascii="Lucida Bright" w:hAnsi="Lucida Bright" w:cs="Calibri"/>
                <w:sz w:val="18"/>
                <w:szCs w:val="18"/>
                <w:lang w:val="es-ES"/>
              </w:rPr>
              <w:t>Palma</w:t>
            </w:r>
          </w:p>
        </w:tc>
        <w:tc>
          <w:tcPr>
            <w:tcW w:w="2264" w:type="pct"/>
            <w:tcBorders>
              <w:top w:val="nil"/>
              <w:left w:val="nil"/>
              <w:bottom w:val="single" w:sz="4" w:space="0" w:color="000000"/>
              <w:right w:val="single" w:sz="4" w:space="0" w:color="000000"/>
            </w:tcBorders>
            <w:shd w:val="clear" w:color="auto" w:fill="auto"/>
            <w:noWrap/>
            <w:vAlign w:val="center"/>
            <w:hideMark/>
          </w:tcPr>
          <w:p w:rsidR="00D24701" w:rsidRPr="00D24701" w:rsidRDefault="00D24701" w:rsidP="00D24701">
            <w:pPr>
              <w:rPr>
                <w:rFonts w:ascii="Lucida Bright" w:hAnsi="Lucida Bright" w:cs="Calibri"/>
                <w:sz w:val="18"/>
                <w:szCs w:val="18"/>
                <w:lang w:val="es-ES"/>
              </w:rPr>
            </w:pPr>
            <w:proofErr w:type="spellStart"/>
            <w:r w:rsidRPr="00D24701">
              <w:rPr>
                <w:rFonts w:ascii="Lucida Bright" w:hAnsi="Lucida Bright" w:cs="Calibri"/>
                <w:sz w:val="18"/>
                <w:szCs w:val="18"/>
                <w:lang w:val="es-ES"/>
              </w:rPr>
              <w:t>Ampl</w:t>
            </w:r>
            <w:proofErr w:type="spellEnd"/>
            <w:r w:rsidRPr="00D24701">
              <w:rPr>
                <w:rFonts w:ascii="Lucida Bright" w:hAnsi="Lucida Bright" w:cs="Calibri"/>
                <w:sz w:val="18"/>
                <w:szCs w:val="18"/>
                <w:lang w:val="es-ES"/>
              </w:rPr>
              <w:t>. explanada sur MMCC</w:t>
            </w:r>
          </w:p>
        </w:tc>
        <w:tc>
          <w:tcPr>
            <w:tcW w:w="987" w:type="pct"/>
            <w:tcBorders>
              <w:top w:val="nil"/>
              <w:left w:val="nil"/>
              <w:bottom w:val="single" w:sz="4" w:space="0" w:color="000000"/>
              <w:right w:val="nil"/>
            </w:tcBorders>
            <w:shd w:val="clear" w:color="000000" w:fill="FFFFFF"/>
            <w:noWrap/>
            <w:vAlign w:val="center"/>
            <w:hideMark/>
          </w:tcPr>
          <w:p w:rsidR="00D24701" w:rsidRPr="00D24701" w:rsidRDefault="00D24701" w:rsidP="00D24701">
            <w:pPr>
              <w:jc w:val="right"/>
              <w:rPr>
                <w:rFonts w:ascii="Lucida Bright" w:hAnsi="Lucida Bright" w:cs="Calibri"/>
                <w:color w:val="000000"/>
                <w:sz w:val="18"/>
                <w:szCs w:val="18"/>
                <w:lang w:val="es-ES"/>
              </w:rPr>
            </w:pPr>
            <w:r w:rsidRPr="00D24701">
              <w:rPr>
                <w:rFonts w:ascii="Lucida Bright" w:hAnsi="Lucida Bright" w:cs="Calibri"/>
                <w:color w:val="000000"/>
                <w:sz w:val="18"/>
                <w:szCs w:val="18"/>
                <w:lang w:val="es-ES"/>
              </w:rPr>
              <w:t>18.568.475,79</w:t>
            </w:r>
          </w:p>
        </w:tc>
        <w:tc>
          <w:tcPr>
            <w:tcW w:w="1105" w:type="pct"/>
            <w:tcBorders>
              <w:top w:val="nil"/>
              <w:left w:val="single" w:sz="4" w:space="0" w:color="auto"/>
              <w:bottom w:val="single" w:sz="4" w:space="0" w:color="auto"/>
              <w:right w:val="single" w:sz="4" w:space="0" w:color="auto"/>
            </w:tcBorders>
            <w:shd w:val="clear" w:color="000000" w:fill="FFFFFF"/>
            <w:noWrap/>
            <w:vAlign w:val="center"/>
            <w:hideMark/>
          </w:tcPr>
          <w:p w:rsidR="00D24701" w:rsidRPr="00D24701" w:rsidRDefault="00D24701" w:rsidP="00D24701">
            <w:pPr>
              <w:jc w:val="right"/>
              <w:rPr>
                <w:rFonts w:ascii="Lucida Bright" w:hAnsi="Lucida Bright" w:cs="Calibri"/>
                <w:color w:val="000000"/>
                <w:sz w:val="18"/>
                <w:szCs w:val="18"/>
                <w:lang w:val="es-ES"/>
              </w:rPr>
            </w:pPr>
            <w:r w:rsidRPr="00D24701">
              <w:rPr>
                <w:rFonts w:ascii="Lucida Bright" w:hAnsi="Lucida Bright" w:cs="Calibri"/>
                <w:color w:val="000000"/>
                <w:sz w:val="18"/>
                <w:szCs w:val="18"/>
                <w:lang w:val="es-ES"/>
              </w:rPr>
              <w:t>14.563.951,00</w:t>
            </w:r>
          </w:p>
        </w:tc>
      </w:tr>
      <w:tr w:rsidR="00D24701" w:rsidRPr="00D24701" w:rsidTr="00D24701">
        <w:trPr>
          <w:trHeight w:val="300"/>
        </w:trPr>
        <w:tc>
          <w:tcPr>
            <w:tcW w:w="644" w:type="pct"/>
            <w:tcBorders>
              <w:top w:val="nil"/>
              <w:left w:val="single" w:sz="4" w:space="0" w:color="000000"/>
              <w:bottom w:val="single" w:sz="4" w:space="0" w:color="000000"/>
              <w:right w:val="single" w:sz="4" w:space="0" w:color="000000"/>
            </w:tcBorders>
            <w:shd w:val="clear" w:color="auto" w:fill="auto"/>
            <w:vAlign w:val="center"/>
            <w:hideMark/>
          </w:tcPr>
          <w:p w:rsidR="00D24701" w:rsidRPr="00D24701" w:rsidRDefault="00D24701" w:rsidP="00D24701">
            <w:pPr>
              <w:rPr>
                <w:rFonts w:ascii="Lucida Bright" w:hAnsi="Lucida Bright" w:cs="Calibri"/>
                <w:sz w:val="18"/>
                <w:szCs w:val="18"/>
                <w:lang w:val="es-ES"/>
              </w:rPr>
            </w:pPr>
            <w:r w:rsidRPr="00D24701">
              <w:rPr>
                <w:rFonts w:ascii="Lucida Bright" w:hAnsi="Lucida Bright" w:cs="Calibri"/>
                <w:sz w:val="18"/>
                <w:szCs w:val="18"/>
                <w:lang w:val="es-ES"/>
              </w:rPr>
              <w:t> </w:t>
            </w:r>
          </w:p>
        </w:tc>
        <w:tc>
          <w:tcPr>
            <w:tcW w:w="2264" w:type="pct"/>
            <w:tcBorders>
              <w:top w:val="nil"/>
              <w:left w:val="nil"/>
              <w:bottom w:val="single" w:sz="4" w:space="0" w:color="000000"/>
              <w:right w:val="single" w:sz="4" w:space="0" w:color="000000"/>
            </w:tcBorders>
            <w:shd w:val="clear" w:color="auto" w:fill="auto"/>
            <w:noWrap/>
            <w:vAlign w:val="center"/>
            <w:hideMark/>
          </w:tcPr>
          <w:p w:rsidR="00D24701" w:rsidRPr="00D24701" w:rsidRDefault="00D24701" w:rsidP="00D24701">
            <w:pPr>
              <w:rPr>
                <w:rFonts w:ascii="Lucida Bright" w:hAnsi="Lucida Bright" w:cs="Calibri"/>
                <w:sz w:val="18"/>
                <w:szCs w:val="18"/>
                <w:lang w:val="es-ES"/>
              </w:rPr>
            </w:pPr>
            <w:r w:rsidRPr="00D24701">
              <w:rPr>
                <w:rFonts w:ascii="Lucida Bright" w:hAnsi="Lucida Bright" w:cs="Calibri"/>
                <w:sz w:val="18"/>
                <w:szCs w:val="18"/>
                <w:lang w:val="es-ES"/>
              </w:rPr>
              <w:t xml:space="preserve">Inst. suministro eléctrico a </w:t>
            </w:r>
            <w:proofErr w:type="spellStart"/>
            <w:r w:rsidRPr="00D24701">
              <w:rPr>
                <w:rFonts w:ascii="Lucida Bright" w:hAnsi="Lucida Bright" w:cs="Calibri"/>
                <w:sz w:val="18"/>
                <w:szCs w:val="18"/>
                <w:lang w:val="es-ES"/>
              </w:rPr>
              <w:t>Ferrys</w:t>
            </w:r>
            <w:proofErr w:type="spellEnd"/>
            <w:r w:rsidRPr="00D24701">
              <w:rPr>
                <w:rFonts w:ascii="Lucida Bright" w:hAnsi="Lucida Bright" w:cs="Calibri"/>
                <w:sz w:val="18"/>
                <w:szCs w:val="18"/>
                <w:lang w:val="es-ES"/>
              </w:rPr>
              <w:t xml:space="preserve"> MLL </w:t>
            </w:r>
            <w:proofErr w:type="spellStart"/>
            <w:r w:rsidRPr="00D24701">
              <w:rPr>
                <w:rFonts w:ascii="Lucida Bright" w:hAnsi="Lucida Bright" w:cs="Calibri"/>
                <w:sz w:val="18"/>
                <w:szCs w:val="18"/>
                <w:lang w:val="es-ES"/>
              </w:rPr>
              <w:t>Paraires</w:t>
            </w:r>
            <w:proofErr w:type="spellEnd"/>
          </w:p>
        </w:tc>
        <w:tc>
          <w:tcPr>
            <w:tcW w:w="987" w:type="pct"/>
            <w:tcBorders>
              <w:top w:val="nil"/>
              <w:left w:val="nil"/>
              <w:bottom w:val="single" w:sz="4" w:space="0" w:color="000000"/>
              <w:right w:val="nil"/>
            </w:tcBorders>
            <w:shd w:val="clear" w:color="000000" w:fill="FFFFFF"/>
            <w:noWrap/>
            <w:vAlign w:val="center"/>
            <w:hideMark/>
          </w:tcPr>
          <w:p w:rsidR="00D24701" w:rsidRPr="00D24701" w:rsidRDefault="00D24701" w:rsidP="00D24701">
            <w:pPr>
              <w:jc w:val="right"/>
              <w:rPr>
                <w:rFonts w:ascii="Lucida Bright" w:hAnsi="Lucida Bright" w:cs="Calibri"/>
                <w:color w:val="000000"/>
                <w:sz w:val="18"/>
                <w:szCs w:val="18"/>
                <w:lang w:val="es-ES"/>
              </w:rPr>
            </w:pPr>
            <w:r w:rsidRPr="00D24701">
              <w:rPr>
                <w:rFonts w:ascii="Lucida Bright" w:hAnsi="Lucida Bright" w:cs="Calibri"/>
                <w:color w:val="000000"/>
                <w:sz w:val="18"/>
                <w:szCs w:val="18"/>
                <w:lang w:val="es-ES"/>
              </w:rPr>
              <w:t>1.168.232,98</w:t>
            </w:r>
          </w:p>
        </w:tc>
        <w:tc>
          <w:tcPr>
            <w:tcW w:w="1105" w:type="pct"/>
            <w:tcBorders>
              <w:top w:val="nil"/>
              <w:left w:val="single" w:sz="4" w:space="0" w:color="auto"/>
              <w:bottom w:val="single" w:sz="4" w:space="0" w:color="auto"/>
              <w:right w:val="single" w:sz="4" w:space="0" w:color="auto"/>
            </w:tcBorders>
            <w:shd w:val="clear" w:color="000000" w:fill="FFFFFF"/>
            <w:noWrap/>
            <w:vAlign w:val="center"/>
            <w:hideMark/>
          </w:tcPr>
          <w:p w:rsidR="00D24701" w:rsidRPr="00D24701" w:rsidRDefault="00D24701" w:rsidP="00D24701">
            <w:pPr>
              <w:jc w:val="right"/>
              <w:rPr>
                <w:rFonts w:ascii="Lucida Bright" w:hAnsi="Lucida Bright" w:cs="Calibri"/>
                <w:color w:val="000000"/>
                <w:sz w:val="18"/>
                <w:szCs w:val="18"/>
                <w:lang w:val="es-ES"/>
              </w:rPr>
            </w:pPr>
            <w:r w:rsidRPr="00D24701">
              <w:rPr>
                <w:rFonts w:ascii="Lucida Bright" w:hAnsi="Lucida Bright" w:cs="Calibri"/>
                <w:color w:val="000000"/>
                <w:sz w:val="18"/>
                <w:szCs w:val="18"/>
                <w:lang w:val="es-ES"/>
              </w:rPr>
              <w:t>156.470,98</w:t>
            </w:r>
          </w:p>
        </w:tc>
      </w:tr>
      <w:tr w:rsidR="00D24701" w:rsidRPr="00D24701" w:rsidTr="00D24701">
        <w:trPr>
          <w:trHeight w:val="300"/>
        </w:trPr>
        <w:tc>
          <w:tcPr>
            <w:tcW w:w="644" w:type="pct"/>
            <w:tcBorders>
              <w:top w:val="nil"/>
              <w:left w:val="single" w:sz="4" w:space="0" w:color="000000"/>
              <w:bottom w:val="single" w:sz="4" w:space="0" w:color="000000"/>
              <w:right w:val="single" w:sz="4" w:space="0" w:color="000000"/>
            </w:tcBorders>
            <w:shd w:val="clear" w:color="auto" w:fill="auto"/>
            <w:vAlign w:val="center"/>
            <w:hideMark/>
          </w:tcPr>
          <w:p w:rsidR="00D24701" w:rsidRPr="00D24701" w:rsidRDefault="00D24701" w:rsidP="00D24701">
            <w:pPr>
              <w:rPr>
                <w:rFonts w:ascii="Lucida Bright" w:hAnsi="Lucida Bright" w:cs="Calibri"/>
                <w:sz w:val="18"/>
                <w:szCs w:val="18"/>
                <w:lang w:val="es-ES"/>
              </w:rPr>
            </w:pPr>
            <w:r w:rsidRPr="00D24701">
              <w:rPr>
                <w:rFonts w:ascii="Lucida Bright" w:hAnsi="Lucida Bright" w:cs="Calibri"/>
                <w:sz w:val="18"/>
                <w:szCs w:val="18"/>
                <w:lang w:val="es-ES"/>
              </w:rPr>
              <w:t>Alcudia</w:t>
            </w:r>
          </w:p>
        </w:tc>
        <w:tc>
          <w:tcPr>
            <w:tcW w:w="2264" w:type="pct"/>
            <w:tcBorders>
              <w:top w:val="nil"/>
              <w:left w:val="nil"/>
              <w:bottom w:val="single" w:sz="4" w:space="0" w:color="000000"/>
              <w:right w:val="single" w:sz="4" w:space="0" w:color="000000"/>
            </w:tcBorders>
            <w:shd w:val="clear" w:color="auto" w:fill="auto"/>
            <w:vAlign w:val="center"/>
            <w:hideMark/>
          </w:tcPr>
          <w:p w:rsidR="00D24701" w:rsidRPr="00D24701" w:rsidRDefault="00D24701" w:rsidP="00D24701">
            <w:pPr>
              <w:rPr>
                <w:rFonts w:ascii="Lucida Bright" w:hAnsi="Lucida Bright" w:cs="Calibri"/>
                <w:sz w:val="18"/>
                <w:szCs w:val="18"/>
                <w:lang w:val="es-ES"/>
              </w:rPr>
            </w:pPr>
            <w:r w:rsidRPr="00D24701">
              <w:rPr>
                <w:rFonts w:ascii="Lucida Bright" w:hAnsi="Lucida Bright" w:cs="Calibri"/>
                <w:sz w:val="18"/>
                <w:szCs w:val="18"/>
                <w:lang w:val="es-ES"/>
              </w:rPr>
              <w:t>Mejora edificio en L</w:t>
            </w:r>
          </w:p>
        </w:tc>
        <w:tc>
          <w:tcPr>
            <w:tcW w:w="987" w:type="pct"/>
            <w:tcBorders>
              <w:top w:val="nil"/>
              <w:left w:val="nil"/>
              <w:bottom w:val="single" w:sz="4" w:space="0" w:color="000000"/>
              <w:right w:val="nil"/>
            </w:tcBorders>
            <w:shd w:val="clear" w:color="000000" w:fill="FFFFFF"/>
            <w:noWrap/>
            <w:vAlign w:val="center"/>
            <w:hideMark/>
          </w:tcPr>
          <w:p w:rsidR="00D24701" w:rsidRPr="00D24701" w:rsidRDefault="00D24701" w:rsidP="00D24701">
            <w:pPr>
              <w:jc w:val="right"/>
              <w:rPr>
                <w:rFonts w:ascii="Lucida Bright" w:hAnsi="Lucida Bright" w:cs="Calibri"/>
                <w:color w:val="000000"/>
                <w:sz w:val="18"/>
                <w:szCs w:val="18"/>
                <w:lang w:val="es-ES"/>
              </w:rPr>
            </w:pPr>
            <w:r w:rsidRPr="00D24701">
              <w:rPr>
                <w:rFonts w:ascii="Lucida Bright" w:hAnsi="Lucida Bright" w:cs="Calibri"/>
                <w:color w:val="000000"/>
                <w:sz w:val="18"/>
                <w:szCs w:val="18"/>
                <w:lang w:val="es-ES"/>
              </w:rPr>
              <w:t>709.479,87</w:t>
            </w:r>
          </w:p>
        </w:tc>
        <w:tc>
          <w:tcPr>
            <w:tcW w:w="1105" w:type="pct"/>
            <w:tcBorders>
              <w:top w:val="nil"/>
              <w:left w:val="single" w:sz="4" w:space="0" w:color="auto"/>
              <w:bottom w:val="single" w:sz="4" w:space="0" w:color="auto"/>
              <w:right w:val="single" w:sz="4" w:space="0" w:color="auto"/>
            </w:tcBorders>
            <w:shd w:val="clear" w:color="000000" w:fill="FFFFFF"/>
            <w:noWrap/>
            <w:vAlign w:val="center"/>
            <w:hideMark/>
          </w:tcPr>
          <w:p w:rsidR="00D24701" w:rsidRPr="00D24701" w:rsidRDefault="00D24701" w:rsidP="00D24701">
            <w:pPr>
              <w:jc w:val="right"/>
              <w:rPr>
                <w:rFonts w:ascii="Lucida Bright" w:hAnsi="Lucida Bright" w:cs="Calibri"/>
                <w:color w:val="000000"/>
                <w:sz w:val="18"/>
                <w:szCs w:val="18"/>
                <w:lang w:val="es-ES"/>
              </w:rPr>
            </w:pPr>
            <w:r w:rsidRPr="00D24701">
              <w:rPr>
                <w:rFonts w:ascii="Lucida Bright" w:hAnsi="Lucida Bright" w:cs="Calibri"/>
                <w:color w:val="000000"/>
                <w:sz w:val="18"/>
                <w:szCs w:val="18"/>
                <w:lang w:val="es-ES"/>
              </w:rPr>
              <w:t>352.072,11</w:t>
            </w:r>
          </w:p>
        </w:tc>
      </w:tr>
      <w:tr w:rsidR="00D24701" w:rsidRPr="00D24701" w:rsidTr="00D24701">
        <w:trPr>
          <w:trHeight w:val="300"/>
        </w:trPr>
        <w:tc>
          <w:tcPr>
            <w:tcW w:w="644" w:type="pct"/>
            <w:tcBorders>
              <w:top w:val="nil"/>
              <w:left w:val="single" w:sz="4" w:space="0" w:color="000000"/>
              <w:bottom w:val="single" w:sz="4" w:space="0" w:color="000000"/>
              <w:right w:val="single" w:sz="4" w:space="0" w:color="000000"/>
            </w:tcBorders>
            <w:shd w:val="clear" w:color="auto" w:fill="auto"/>
            <w:vAlign w:val="bottom"/>
            <w:hideMark/>
          </w:tcPr>
          <w:p w:rsidR="00D24701" w:rsidRPr="00D24701" w:rsidRDefault="00D24701" w:rsidP="00D24701">
            <w:pPr>
              <w:rPr>
                <w:rFonts w:ascii="Lucida Bright" w:hAnsi="Lucida Bright" w:cs="Calibri"/>
                <w:color w:val="000000"/>
                <w:sz w:val="18"/>
                <w:szCs w:val="18"/>
                <w:lang w:val="es-ES"/>
              </w:rPr>
            </w:pPr>
            <w:r w:rsidRPr="00D24701">
              <w:rPr>
                <w:rFonts w:ascii="Lucida Bright" w:hAnsi="Lucida Bright" w:cs="Calibri"/>
                <w:color w:val="000000"/>
                <w:sz w:val="18"/>
                <w:szCs w:val="18"/>
                <w:lang w:val="es-ES"/>
              </w:rPr>
              <w:t> </w:t>
            </w:r>
          </w:p>
        </w:tc>
        <w:tc>
          <w:tcPr>
            <w:tcW w:w="2264" w:type="pct"/>
            <w:tcBorders>
              <w:top w:val="nil"/>
              <w:left w:val="nil"/>
              <w:bottom w:val="single" w:sz="4" w:space="0" w:color="000000"/>
              <w:right w:val="single" w:sz="4" w:space="0" w:color="000000"/>
            </w:tcBorders>
            <w:shd w:val="clear" w:color="auto" w:fill="auto"/>
            <w:vAlign w:val="center"/>
            <w:hideMark/>
          </w:tcPr>
          <w:p w:rsidR="00D24701" w:rsidRPr="00D24701" w:rsidRDefault="00D24701" w:rsidP="00D24701">
            <w:pPr>
              <w:rPr>
                <w:rFonts w:ascii="Lucida Bright" w:hAnsi="Lucida Bright" w:cs="Calibri"/>
                <w:sz w:val="18"/>
                <w:szCs w:val="18"/>
                <w:lang w:val="es-ES"/>
              </w:rPr>
            </w:pPr>
            <w:r w:rsidRPr="00D24701">
              <w:rPr>
                <w:rFonts w:ascii="Lucida Bright" w:hAnsi="Lucida Bright" w:cs="Calibri"/>
                <w:sz w:val="18"/>
                <w:szCs w:val="18"/>
                <w:lang w:val="es-ES"/>
              </w:rPr>
              <w:t>Ordenación frente marítimo</w:t>
            </w:r>
          </w:p>
        </w:tc>
        <w:tc>
          <w:tcPr>
            <w:tcW w:w="987" w:type="pct"/>
            <w:tcBorders>
              <w:top w:val="nil"/>
              <w:left w:val="nil"/>
              <w:bottom w:val="single" w:sz="4" w:space="0" w:color="000000"/>
              <w:right w:val="nil"/>
            </w:tcBorders>
            <w:shd w:val="clear" w:color="000000" w:fill="FFFFFF"/>
            <w:noWrap/>
            <w:vAlign w:val="center"/>
            <w:hideMark/>
          </w:tcPr>
          <w:p w:rsidR="00D24701" w:rsidRPr="00D24701" w:rsidRDefault="00D24701" w:rsidP="00D24701">
            <w:pPr>
              <w:jc w:val="right"/>
              <w:rPr>
                <w:rFonts w:ascii="Lucida Bright" w:hAnsi="Lucida Bright" w:cs="Calibri"/>
                <w:color w:val="000000"/>
                <w:sz w:val="18"/>
                <w:szCs w:val="18"/>
                <w:lang w:val="es-ES"/>
              </w:rPr>
            </w:pPr>
            <w:r w:rsidRPr="00D24701">
              <w:rPr>
                <w:rFonts w:ascii="Lucida Bright" w:hAnsi="Lucida Bright" w:cs="Calibri"/>
                <w:color w:val="000000"/>
                <w:sz w:val="18"/>
                <w:szCs w:val="18"/>
                <w:lang w:val="es-ES"/>
              </w:rPr>
              <w:t>2.414.124,77</w:t>
            </w:r>
          </w:p>
        </w:tc>
        <w:tc>
          <w:tcPr>
            <w:tcW w:w="1105" w:type="pct"/>
            <w:tcBorders>
              <w:top w:val="nil"/>
              <w:left w:val="single" w:sz="4" w:space="0" w:color="auto"/>
              <w:bottom w:val="single" w:sz="4" w:space="0" w:color="auto"/>
              <w:right w:val="single" w:sz="4" w:space="0" w:color="auto"/>
            </w:tcBorders>
            <w:shd w:val="clear" w:color="000000" w:fill="FFFFFF"/>
            <w:noWrap/>
            <w:vAlign w:val="center"/>
            <w:hideMark/>
          </w:tcPr>
          <w:p w:rsidR="00D24701" w:rsidRPr="00D24701" w:rsidRDefault="00D24701" w:rsidP="00D24701">
            <w:pPr>
              <w:jc w:val="right"/>
              <w:rPr>
                <w:rFonts w:ascii="Lucida Bright" w:hAnsi="Lucida Bright" w:cs="Calibri"/>
                <w:color w:val="000000"/>
                <w:sz w:val="18"/>
                <w:szCs w:val="18"/>
                <w:lang w:val="es-ES"/>
              </w:rPr>
            </w:pPr>
            <w:r w:rsidRPr="00D24701">
              <w:rPr>
                <w:rFonts w:ascii="Lucida Bright" w:hAnsi="Lucida Bright" w:cs="Calibri"/>
                <w:color w:val="000000"/>
                <w:sz w:val="18"/>
                <w:szCs w:val="18"/>
                <w:lang w:val="es-ES"/>
              </w:rPr>
              <w:t>2.053.517,51</w:t>
            </w:r>
          </w:p>
        </w:tc>
      </w:tr>
      <w:tr w:rsidR="00D24701" w:rsidRPr="00D24701" w:rsidTr="00D24701">
        <w:trPr>
          <w:trHeight w:val="300"/>
        </w:trPr>
        <w:tc>
          <w:tcPr>
            <w:tcW w:w="644" w:type="pct"/>
            <w:tcBorders>
              <w:top w:val="nil"/>
              <w:left w:val="single" w:sz="4" w:space="0" w:color="000000"/>
              <w:bottom w:val="single" w:sz="4" w:space="0" w:color="000000"/>
              <w:right w:val="single" w:sz="4" w:space="0" w:color="000000"/>
            </w:tcBorders>
            <w:shd w:val="clear" w:color="auto" w:fill="auto"/>
            <w:vAlign w:val="center"/>
            <w:hideMark/>
          </w:tcPr>
          <w:p w:rsidR="00D24701" w:rsidRPr="00D24701" w:rsidRDefault="00D24701" w:rsidP="00D24701">
            <w:pPr>
              <w:rPr>
                <w:rFonts w:ascii="Lucida Bright" w:hAnsi="Lucida Bright" w:cs="Calibri"/>
                <w:sz w:val="18"/>
                <w:szCs w:val="18"/>
                <w:lang w:val="es-ES"/>
              </w:rPr>
            </w:pPr>
            <w:r w:rsidRPr="00D24701">
              <w:rPr>
                <w:rFonts w:ascii="Lucida Bright" w:hAnsi="Lucida Bright" w:cs="Calibri"/>
                <w:sz w:val="18"/>
                <w:szCs w:val="18"/>
                <w:lang w:val="es-ES"/>
              </w:rPr>
              <w:t>Ibiza</w:t>
            </w:r>
          </w:p>
        </w:tc>
        <w:tc>
          <w:tcPr>
            <w:tcW w:w="2264" w:type="pct"/>
            <w:tcBorders>
              <w:top w:val="nil"/>
              <w:left w:val="nil"/>
              <w:bottom w:val="single" w:sz="4" w:space="0" w:color="000000"/>
              <w:right w:val="single" w:sz="4" w:space="0" w:color="000000"/>
            </w:tcBorders>
            <w:shd w:val="clear" w:color="auto" w:fill="auto"/>
            <w:vAlign w:val="center"/>
            <w:hideMark/>
          </w:tcPr>
          <w:p w:rsidR="00D24701" w:rsidRPr="00D24701" w:rsidRDefault="00D24701" w:rsidP="00D24701">
            <w:pPr>
              <w:rPr>
                <w:rFonts w:ascii="Lucida Bright" w:hAnsi="Lucida Bright" w:cs="Calibri"/>
                <w:sz w:val="18"/>
                <w:szCs w:val="18"/>
                <w:lang w:val="es-ES"/>
              </w:rPr>
            </w:pPr>
            <w:r w:rsidRPr="00D24701">
              <w:rPr>
                <w:rFonts w:ascii="Lucida Bright" w:hAnsi="Lucida Bright" w:cs="Calibri"/>
                <w:sz w:val="18"/>
                <w:szCs w:val="18"/>
                <w:lang w:val="es-ES"/>
              </w:rPr>
              <w:t xml:space="preserve">Dique de </w:t>
            </w:r>
            <w:proofErr w:type="spellStart"/>
            <w:r w:rsidRPr="00D24701">
              <w:rPr>
                <w:rFonts w:ascii="Lucida Bright" w:hAnsi="Lucida Bright" w:cs="Calibri"/>
                <w:sz w:val="18"/>
                <w:szCs w:val="18"/>
                <w:lang w:val="es-ES"/>
              </w:rPr>
              <w:t>Botafoc</w:t>
            </w:r>
            <w:proofErr w:type="spellEnd"/>
          </w:p>
        </w:tc>
        <w:tc>
          <w:tcPr>
            <w:tcW w:w="987" w:type="pct"/>
            <w:tcBorders>
              <w:top w:val="nil"/>
              <w:left w:val="nil"/>
              <w:bottom w:val="single" w:sz="4" w:space="0" w:color="000000"/>
              <w:right w:val="nil"/>
            </w:tcBorders>
            <w:shd w:val="clear" w:color="000000" w:fill="FFFFFF"/>
            <w:noWrap/>
            <w:vAlign w:val="center"/>
            <w:hideMark/>
          </w:tcPr>
          <w:p w:rsidR="00D24701" w:rsidRPr="00D24701" w:rsidRDefault="00D24701" w:rsidP="00D24701">
            <w:pPr>
              <w:jc w:val="right"/>
              <w:rPr>
                <w:rFonts w:ascii="Lucida Bright" w:hAnsi="Lucida Bright" w:cs="Calibri"/>
                <w:color w:val="000000"/>
                <w:sz w:val="18"/>
                <w:szCs w:val="18"/>
                <w:lang w:val="es-ES"/>
              </w:rPr>
            </w:pPr>
            <w:r w:rsidRPr="00D24701">
              <w:rPr>
                <w:rFonts w:ascii="Lucida Bright" w:hAnsi="Lucida Bright" w:cs="Calibri"/>
                <w:color w:val="000000"/>
                <w:sz w:val="18"/>
                <w:szCs w:val="18"/>
                <w:lang w:val="es-ES"/>
              </w:rPr>
              <w:t>46.134.891,29</w:t>
            </w:r>
          </w:p>
        </w:tc>
        <w:tc>
          <w:tcPr>
            <w:tcW w:w="1105" w:type="pct"/>
            <w:tcBorders>
              <w:top w:val="nil"/>
              <w:left w:val="single" w:sz="4" w:space="0" w:color="auto"/>
              <w:bottom w:val="single" w:sz="4" w:space="0" w:color="auto"/>
              <w:right w:val="single" w:sz="4" w:space="0" w:color="auto"/>
            </w:tcBorders>
            <w:shd w:val="clear" w:color="000000" w:fill="FFFFFF"/>
            <w:noWrap/>
            <w:vAlign w:val="center"/>
            <w:hideMark/>
          </w:tcPr>
          <w:p w:rsidR="00D24701" w:rsidRPr="00D24701" w:rsidRDefault="00D24701" w:rsidP="00D24701">
            <w:pPr>
              <w:jc w:val="right"/>
              <w:rPr>
                <w:rFonts w:ascii="Lucida Bright" w:hAnsi="Lucida Bright" w:cs="Calibri"/>
                <w:color w:val="000000"/>
                <w:sz w:val="18"/>
                <w:szCs w:val="18"/>
                <w:lang w:val="es-ES"/>
              </w:rPr>
            </w:pPr>
            <w:r w:rsidRPr="00D24701">
              <w:rPr>
                <w:rFonts w:ascii="Lucida Bright" w:hAnsi="Lucida Bright" w:cs="Calibri"/>
                <w:color w:val="000000"/>
                <w:sz w:val="18"/>
                <w:szCs w:val="18"/>
                <w:lang w:val="es-ES"/>
              </w:rPr>
              <w:t>28.158.006,00</w:t>
            </w:r>
          </w:p>
        </w:tc>
      </w:tr>
      <w:tr w:rsidR="00D24701" w:rsidRPr="00D24701" w:rsidTr="00D24701">
        <w:trPr>
          <w:trHeight w:val="300"/>
        </w:trPr>
        <w:tc>
          <w:tcPr>
            <w:tcW w:w="644" w:type="pct"/>
            <w:tcBorders>
              <w:top w:val="nil"/>
              <w:left w:val="single" w:sz="4" w:space="0" w:color="000000"/>
              <w:bottom w:val="single" w:sz="4" w:space="0" w:color="000000"/>
              <w:right w:val="single" w:sz="4" w:space="0" w:color="000000"/>
            </w:tcBorders>
            <w:shd w:val="clear" w:color="auto" w:fill="auto"/>
            <w:vAlign w:val="bottom"/>
            <w:hideMark/>
          </w:tcPr>
          <w:p w:rsidR="00D24701" w:rsidRPr="00D24701" w:rsidRDefault="00D24701" w:rsidP="00D24701">
            <w:pPr>
              <w:rPr>
                <w:rFonts w:ascii="Lucida Bright" w:hAnsi="Lucida Bright" w:cs="Calibri"/>
                <w:color w:val="000000"/>
                <w:sz w:val="18"/>
                <w:szCs w:val="18"/>
                <w:lang w:val="es-ES"/>
              </w:rPr>
            </w:pPr>
            <w:r w:rsidRPr="00D24701">
              <w:rPr>
                <w:rFonts w:ascii="Lucida Bright" w:hAnsi="Lucida Bright" w:cs="Calibri"/>
                <w:color w:val="000000"/>
                <w:sz w:val="18"/>
                <w:szCs w:val="18"/>
                <w:lang w:val="es-ES"/>
              </w:rPr>
              <w:t> </w:t>
            </w:r>
          </w:p>
        </w:tc>
        <w:tc>
          <w:tcPr>
            <w:tcW w:w="2264" w:type="pct"/>
            <w:tcBorders>
              <w:top w:val="nil"/>
              <w:left w:val="nil"/>
              <w:bottom w:val="single" w:sz="4" w:space="0" w:color="000000"/>
              <w:right w:val="single" w:sz="4" w:space="0" w:color="000000"/>
            </w:tcBorders>
            <w:shd w:val="clear" w:color="auto" w:fill="auto"/>
            <w:vAlign w:val="center"/>
            <w:hideMark/>
          </w:tcPr>
          <w:p w:rsidR="00D24701" w:rsidRPr="00D24701" w:rsidRDefault="00D24701" w:rsidP="00D24701">
            <w:pPr>
              <w:rPr>
                <w:rFonts w:ascii="Lucida Bright" w:hAnsi="Lucida Bright" w:cs="Calibri"/>
                <w:sz w:val="18"/>
                <w:szCs w:val="18"/>
                <w:lang w:val="es-ES"/>
              </w:rPr>
            </w:pPr>
            <w:r w:rsidRPr="00D24701">
              <w:rPr>
                <w:rFonts w:ascii="Lucida Bright" w:hAnsi="Lucida Bright" w:cs="Calibri"/>
                <w:sz w:val="18"/>
                <w:szCs w:val="18"/>
                <w:lang w:val="es-ES"/>
              </w:rPr>
              <w:t>Edificio servicios  pesqueros</w:t>
            </w:r>
          </w:p>
        </w:tc>
        <w:tc>
          <w:tcPr>
            <w:tcW w:w="987" w:type="pct"/>
            <w:tcBorders>
              <w:top w:val="nil"/>
              <w:left w:val="nil"/>
              <w:bottom w:val="single" w:sz="4" w:space="0" w:color="000000"/>
              <w:right w:val="nil"/>
            </w:tcBorders>
            <w:shd w:val="clear" w:color="000000" w:fill="FFFFFF"/>
            <w:noWrap/>
            <w:vAlign w:val="center"/>
            <w:hideMark/>
          </w:tcPr>
          <w:p w:rsidR="00D24701" w:rsidRPr="00D24701" w:rsidRDefault="00D24701" w:rsidP="00D24701">
            <w:pPr>
              <w:jc w:val="right"/>
              <w:rPr>
                <w:rFonts w:ascii="Lucida Bright" w:hAnsi="Lucida Bright" w:cs="Calibri"/>
                <w:color w:val="000000"/>
                <w:sz w:val="18"/>
                <w:szCs w:val="18"/>
                <w:lang w:val="es-ES"/>
              </w:rPr>
            </w:pPr>
            <w:r w:rsidRPr="00D24701">
              <w:rPr>
                <w:rFonts w:ascii="Lucida Bright" w:hAnsi="Lucida Bright" w:cs="Calibri"/>
                <w:color w:val="000000"/>
                <w:sz w:val="18"/>
                <w:szCs w:val="18"/>
                <w:lang w:val="es-ES"/>
              </w:rPr>
              <w:t>1.134.991,33</w:t>
            </w:r>
          </w:p>
        </w:tc>
        <w:tc>
          <w:tcPr>
            <w:tcW w:w="1105" w:type="pct"/>
            <w:tcBorders>
              <w:top w:val="nil"/>
              <w:left w:val="single" w:sz="4" w:space="0" w:color="auto"/>
              <w:bottom w:val="single" w:sz="4" w:space="0" w:color="auto"/>
              <w:right w:val="single" w:sz="4" w:space="0" w:color="auto"/>
            </w:tcBorders>
            <w:shd w:val="clear" w:color="000000" w:fill="FFFFFF"/>
            <w:noWrap/>
            <w:vAlign w:val="center"/>
            <w:hideMark/>
          </w:tcPr>
          <w:p w:rsidR="00D24701" w:rsidRPr="00D24701" w:rsidRDefault="00D24701" w:rsidP="00D24701">
            <w:pPr>
              <w:jc w:val="right"/>
              <w:rPr>
                <w:rFonts w:ascii="Lucida Bright" w:hAnsi="Lucida Bright" w:cs="Calibri"/>
                <w:color w:val="000000"/>
                <w:sz w:val="18"/>
                <w:szCs w:val="18"/>
                <w:lang w:val="es-ES"/>
              </w:rPr>
            </w:pPr>
            <w:r w:rsidRPr="00D24701">
              <w:rPr>
                <w:rFonts w:ascii="Lucida Bright" w:hAnsi="Lucida Bright" w:cs="Calibri"/>
                <w:color w:val="000000"/>
                <w:sz w:val="18"/>
                <w:szCs w:val="18"/>
                <w:lang w:val="es-ES"/>
              </w:rPr>
              <w:t>458.217,97</w:t>
            </w:r>
          </w:p>
        </w:tc>
      </w:tr>
      <w:tr w:rsidR="00D24701" w:rsidRPr="00D24701" w:rsidTr="00D24701">
        <w:trPr>
          <w:trHeight w:val="300"/>
        </w:trPr>
        <w:tc>
          <w:tcPr>
            <w:tcW w:w="644" w:type="pct"/>
            <w:tcBorders>
              <w:top w:val="nil"/>
              <w:left w:val="single" w:sz="4" w:space="0" w:color="000000"/>
              <w:bottom w:val="nil"/>
              <w:right w:val="single" w:sz="4" w:space="0" w:color="000000"/>
            </w:tcBorders>
            <w:shd w:val="clear" w:color="auto" w:fill="auto"/>
            <w:vAlign w:val="center"/>
            <w:hideMark/>
          </w:tcPr>
          <w:p w:rsidR="00D24701" w:rsidRPr="00D24701" w:rsidRDefault="00D24701" w:rsidP="00D24701">
            <w:pPr>
              <w:rPr>
                <w:rFonts w:ascii="Lucida Bright" w:hAnsi="Lucida Bright" w:cs="Calibri"/>
                <w:sz w:val="18"/>
                <w:szCs w:val="18"/>
                <w:lang w:val="es-ES"/>
              </w:rPr>
            </w:pPr>
            <w:r w:rsidRPr="00D24701">
              <w:rPr>
                <w:rFonts w:ascii="Lucida Bright" w:hAnsi="Lucida Bright" w:cs="Calibri"/>
                <w:sz w:val="18"/>
                <w:szCs w:val="18"/>
                <w:lang w:val="es-ES"/>
              </w:rPr>
              <w:t>Mahón</w:t>
            </w:r>
          </w:p>
        </w:tc>
        <w:tc>
          <w:tcPr>
            <w:tcW w:w="2264" w:type="pct"/>
            <w:tcBorders>
              <w:top w:val="nil"/>
              <w:left w:val="nil"/>
              <w:bottom w:val="nil"/>
              <w:right w:val="single" w:sz="4" w:space="0" w:color="000000"/>
            </w:tcBorders>
            <w:shd w:val="clear" w:color="auto" w:fill="auto"/>
            <w:vAlign w:val="center"/>
            <w:hideMark/>
          </w:tcPr>
          <w:p w:rsidR="00D24701" w:rsidRPr="00D24701" w:rsidRDefault="00D24701" w:rsidP="00D24701">
            <w:pPr>
              <w:rPr>
                <w:rFonts w:ascii="Lucida Bright" w:hAnsi="Lucida Bright" w:cs="Calibri"/>
                <w:sz w:val="18"/>
                <w:szCs w:val="18"/>
                <w:lang w:val="es-ES"/>
              </w:rPr>
            </w:pPr>
            <w:r w:rsidRPr="00D24701">
              <w:rPr>
                <w:rFonts w:ascii="Lucida Bright" w:hAnsi="Lucida Bright" w:cs="Calibri"/>
                <w:sz w:val="18"/>
                <w:szCs w:val="18"/>
                <w:lang w:val="es-ES"/>
              </w:rPr>
              <w:t xml:space="preserve">Mejora muelles </w:t>
            </w:r>
            <w:proofErr w:type="spellStart"/>
            <w:r w:rsidRPr="00D24701">
              <w:rPr>
                <w:rFonts w:ascii="Lucida Bright" w:hAnsi="Lucida Bright" w:cs="Calibri"/>
                <w:sz w:val="18"/>
                <w:szCs w:val="18"/>
                <w:lang w:val="es-ES"/>
              </w:rPr>
              <w:t>Cos</w:t>
            </w:r>
            <w:proofErr w:type="spellEnd"/>
            <w:r w:rsidRPr="00D24701">
              <w:rPr>
                <w:rFonts w:ascii="Lucida Bright" w:hAnsi="Lucida Bright" w:cs="Calibri"/>
                <w:sz w:val="18"/>
                <w:szCs w:val="18"/>
                <w:lang w:val="es-ES"/>
              </w:rPr>
              <w:t xml:space="preserve"> </w:t>
            </w:r>
            <w:proofErr w:type="spellStart"/>
            <w:r w:rsidRPr="00D24701">
              <w:rPr>
                <w:rFonts w:ascii="Lucida Bright" w:hAnsi="Lucida Bright" w:cs="Calibri"/>
                <w:sz w:val="18"/>
                <w:szCs w:val="18"/>
                <w:lang w:val="es-ES"/>
              </w:rPr>
              <w:t>Nou</w:t>
            </w:r>
            <w:proofErr w:type="spellEnd"/>
          </w:p>
        </w:tc>
        <w:tc>
          <w:tcPr>
            <w:tcW w:w="987" w:type="pct"/>
            <w:tcBorders>
              <w:top w:val="nil"/>
              <w:left w:val="nil"/>
              <w:bottom w:val="nil"/>
              <w:right w:val="nil"/>
            </w:tcBorders>
            <w:shd w:val="clear" w:color="000000" w:fill="FFFFFF"/>
            <w:noWrap/>
            <w:vAlign w:val="center"/>
            <w:hideMark/>
          </w:tcPr>
          <w:p w:rsidR="00D24701" w:rsidRPr="00D24701" w:rsidRDefault="00D24701" w:rsidP="00D24701">
            <w:pPr>
              <w:jc w:val="right"/>
              <w:rPr>
                <w:rFonts w:ascii="Lucida Bright" w:hAnsi="Lucida Bright" w:cs="Calibri"/>
                <w:color w:val="000000"/>
                <w:sz w:val="18"/>
                <w:szCs w:val="18"/>
                <w:lang w:val="es-ES"/>
              </w:rPr>
            </w:pPr>
            <w:r w:rsidRPr="00D24701">
              <w:rPr>
                <w:rFonts w:ascii="Lucida Bright" w:hAnsi="Lucida Bright" w:cs="Calibri"/>
                <w:color w:val="000000"/>
                <w:sz w:val="18"/>
                <w:szCs w:val="18"/>
                <w:lang w:val="es-ES"/>
              </w:rPr>
              <w:t>17.445.568,58</w:t>
            </w:r>
          </w:p>
        </w:tc>
        <w:tc>
          <w:tcPr>
            <w:tcW w:w="1105" w:type="pct"/>
            <w:tcBorders>
              <w:top w:val="nil"/>
              <w:left w:val="single" w:sz="4" w:space="0" w:color="auto"/>
              <w:bottom w:val="nil"/>
              <w:right w:val="single" w:sz="4" w:space="0" w:color="auto"/>
            </w:tcBorders>
            <w:shd w:val="clear" w:color="000000" w:fill="FFFFFF"/>
            <w:noWrap/>
            <w:vAlign w:val="center"/>
            <w:hideMark/>
          </w:tcPr>
          <w:p w:rsidR="00D24701" w:rsidRPr="00D24701" w:rsidRDefault="00D24701" w:rsidP="00D24701">
            <w:pPr>
              <w:jc w:val="right"/>
              <w:rPr>
                <w:rFonts w:ascii="Lucida Bright" w:hAnsi="Lucida Bright" w:cs="Calibri"/>
                <w:color w:val="000000"/>
                <w:sz w:val="18"/>
                <w:szCs w:val="18"/>
                <w:lang w:val="es-ES"/>
              </w:rPr>
            </w:pPr>
            <w:r w:rsidRPr="00D24701">
              <w:rPr>
                <w:rFonts w:ascii="Lucida Bright" w:hAnsi="Lucida Bright" w:cs="Calibri"/>
                <w:color w:val="000000"/>
                <w:sz w:val="18"/>
                <w:szCs w:val="18"/>
                <w:lang w:val="es-ES"/>
              </w:rPr>
              <w:t>8.320.586,70</w:t>
            </w:r>
          </w:p>
        </w:tc>
      </w:tr>
      <w:tr w:rsidR="00D24701" w:rsidRPr="00D24701" w:rsidTr="00D24701">
        <w:trPr>
          <w:trHeight w:val="300"/>
        </w:trPr>
        <w:tc>
          <w:tcPr>
            <w:tcW w:w="644" w:type="pct"/>
            <w:tcBorders>
              <w:top w:val="single" w:sz="4" w:space="0" w:color="auto"/>
              <w:left w:val="single" w:sz="4" w:space="0" w:color="auto"/>
              <w:bottom w:val="single" w:sz="4" w:space="0" w:color="auto"/>
              <w:right w:val="single" w:sz="4" w:space="0" w:color="auto"/>
            </w:tcBorders>
            <w:shd w:val="clear" w:color="auto" w:fill="auto"/>
            <w:noWrap/>
            <w:hideMark/>
          </w:tcPr>
          <w:p w:rsidR="00D24701" w:rsidRPr="00D24701" w:rsidRDefault="00D24701" w:rsidP="00D24701">
            <w:pPr>
              <w:rPr>
                <w:rFonts w:ascii="Calibri" w:hAnsi="Calibri" w:cs="Calibri"/>
                <w:color w:val="000000"/>
                <w:sz w:val="22"/>
                <w:szCs w:val="22"/>
                <w:lang w:val="es-ES"/>
              </w:rPr>
            </w:pPr>
            <w:r w:rsidRPr="00D24701">
              <w:rPr>
                <w:rFonts w:ascii="Calibri" w:hAnsi="Calibri" w:cs="Calibri"/>
                <w:color w:val="000000"/>
                <w:sz w:val="22"/>
                <w:szCs w:val="22"/>
                <w:lang w:val="es-ES"/>
              </w:rPr>
              <w:t> </w:t>
            </w:r>
          </w:p>
        </w:tc>
        <w:tc>
          <w:tcPr>
            <w:tcW w:w="2264" w:type="pct"/>
            <w:tcBorders>
              <w:top w:val="single" w:sz="4" w:space="0" w:color="auto"/>
              <w:left w:val="nil"/>
              <w:bottom w:val="single" w:sz="4" w:space="0" w:color="auto"/>
              <w:right w:val="single" w:sz="4" w:space="0" w:color="auto"/>
            </w:tcBorders>
            <w:shd w:val="clear" w:color="auto" w:fill="auto"/>
            <w:noWrap/>
            <w:vAlign w:val="center"/>
            <w:hideMark/>
          </w:tcPr>
          <w:p w:rsidR="00D24701" w:rsidRPr="00D24701" w:rsidRDefault="00D24701" w:rsidP="00D24701">
            <w:pPr>
              <w:rPr>
                <w:rFonts w:ascii="Lucida Bright" w:hAnsi="Lucida Bright" w:cs="Calibri"/>
                <w:color w:val="000000"/>
                <w:sz w:val="18"/>
                <w:szCs w:val="18"/>
                <w:lang w:val="es-ES"/>
              </w:rPr>
            </w:pPr>
            <w:r w:rsidRPr="00D24701">
              <w:rPr>
                <w:rFonts w:ascii="Lucida Bright" w:hAnsi="Lucida Bright" w:cs="Calibri"/>
                <w:color w:val="000000"/>
                <w:sz w:val="18"/>
                <w:szCs w:val="18"/>
                <w:lang w:val="es-ES"/>
              </w:rPr>
              <w:t xml:space="preserve">Mejora eficiencia </w:t>
            </w:r>
            <w:r w:rsidR="00DD448C" w:rsidRPr="00D24701">
              <w:rPr>
                <w:rFonts w:ascii="Lucida Bright" w:hAnsi="Lucida Bright" w:cs="Calibri"/>
                <w:color w:val="000000"/>
                <w:sz w:val="18"/>
                <w:szCs w:val="18"/>
                <w:lang w:val="es-ES"/>
              </w:rPr>
              <w:t>energética</w:t>
            </w:r>
            <w:r w:rsidRPr="00D24701">
              <w:rPr>
                <w:rFonts w:ascii="Lucida Bright" w:hAnsi="Lucida Bright" w:cs="Calibri"/>
                <w:color w:val="000000"/>
                <w:sz w:val="18"/>
                <w:szCs w:val="18"/>
                <w:lang w:val="es-ES"/>
              </w:rPr>
              <w:t xml:space="preserve"> alumbrado</w:t>
            </w:r>
          </w:p>
        </w:tc>
        <w:tc>
          <w:tcPr>
            <w:tcW w:w="987" w:type="pct"/>
            <w:tcBorders>
              <w:top w:val="single" w:sz="4" w:space="0" w:color="auto"/>
              <w:left w:val="nil"/>
              <w:bottom w:val="single" w:sz="4" w:space="0" w:color="auto"/>
              <w:right w:val="single" w:sz="4" w:space="0" w:color="auto"/>
            </w:tcBorders>
            <w:shd w:val="clear" w:color="auto" w:fill="auto"/>
            <w:noWrap/>
            <w:vAlign w:val="center"/>
            <w:hideMark/>
          </w:tcPr>
          <w:p w:rsidR="00D24701" w:rsidRPr="00D24701" w:rsidRDefault="00D24701" w:rsidP="00D24701">
            <w:pPr>
              <w:jc w:val="right"/>
              <w:rPr>
                <w:rFonts w:ascii="Lucida Bright" w:hAnsi="Lucida Bright" w:cs="Calibri"/>
                <w:color w:val="000000"/>
                <w:sz w:val="18"/>
                <w:szCs w:val="18"/>
                <w:lang w:val="es-ES"/>
              </w:rPr>
            </w:pPr>
            <w:r w:rsidRPr="00D24701">
              <w:rPr>
                <w:rFonts w:ascii="Lucida Bright" w:hAnsi="Lucida Bright" w:cs="Calibri"/>
                <w:color w:val="000000"/>
                <w:sz w:val="18"/>
                <w:szCs w:val="18"/>
                <w:lang w:val="es-ES"/>
              </w:rPr>
              <w:t>1.147.272,29</w:t>
            </w:r>
          </w:p>
        </w:tc>
        <w:tc>
          <w:tcPr>
            <w:tcW w:w="1105" w:type="pct"/>
            <w:tcBorders>
              <w:top w:val="single" w:sz="4" w:space="0" w:color="auto"/>
              <w:left w:val="nil"/>
              <w:bottom w:val="single" w:sz="4" w:space="0" w:color="auto"/>
              <w:right w:val="single" w:sz="4" w:space="0" w:color="auto"/>
            </w:tcBorders>
            <w:shd w:val="clear" w:color="auto" w:fill="auto"/>
            <w:noWrap/>
            <w:vAlign w:val="center"/>
            <w:hideMark/>
          </w:tcPr>
          <w:p w:rsidR="00D24701" w:rsidRPr="00D24701" w:rsidRDefault="00D24701" w:rsidP="00D24701">
            <w:pPr>
              <w:jc w:val="right"/>
              <w:rPr>
                <w:rFonts w:ascii="Lucida Bright" w:hAnsi="Lucida Bright" w:cs="Calibri"/>
                <w:color w:val="000000"/>
                <w:sz w:val="18"/>
                <w:szCs w:val="18"/>
                <w:lang w:val="es-ES"/>
              </w:rPr>
            </w:pPr>
            <w:r w:rsidRPr="00D24701">
              <w:rPr>
                <w:rFonts w:ascii="Lucida Bright" w:hAnsi="Lucida Bright" w:cs="Calibri"/>
                <w:color w:val="000000"/>
                <w:sz w:val="18"/>
                <w:szCs w:val="18"/>
                <w:lang w:val="es-ES"/>
              </w:rPr>
              <w:t>180.244,85</w:t>
            </w:r>
          </w:p>
        </w:tc>
      </w:tr>
    </w:tbl>
    <w:p w:rsidR="007E1479" w:rsidRDefault="007E1479">
      <w:pPr>
        <w:tabs>
          <w:tab w:val="right" w:pos="8364"/>
        </w:tabs>
        <w:ind w:firstLine="540"/>
        <w:jc w:val="both"/>
        <w:rPr>
          <w:rFonts w:ascii="NewBaskerville" w:hAnsi="NewBaskerville"/>
          <w:bCs/>
        </w:rPr>
      </w:pPr>
    </w:p>
    <w:p w:rsidR="007E1479" w:rsidRPr="00075A9A" w:rsidRDefault="007E1479">
      <w:pPr>
        <w:tabs>
          <w:tab w:val="right" w:pos="8364"/>
        </w:tabs>
        <w:ind w:firstLine="540"/>
        <w:jc w:val="both"/>
        <w:rPr>
          <w:rFonts w:ascii="NewBaskerville" w:hAnsi="NewBaskerville"/>
          <w:bCs/>
        </w:rPr>
      </w:pPr>
    </w:p>
    <w:p w:rsidR="00D24701" w:rsidRDefault="00D24701">
      <w:pPr>
        <w:tabs>
          <w:tab w:val="right" w:pos="8364"/>
        </w:tabs>
        <w:ind w:firstLine="540"/>
        <w:jc w:val="both"/>
        <w:rPr>
          <w:rFonts w:ascii="NewBaskerville" w:hAnsi="NewBaskerville"/>
          <w:bCs/>
        </w:rPr>
      </w:pPr>
    </w:p>
    <w:p w:rsidR="00C363D3" w:rsidRDefault="00C363D3">
      <w:pPr>
        <w:tabs>
          <w:tab w:val="right" w:pos="8364"/>
        </w:tabs>
        <w:ind w:firstLine="540"/>
        <w:jc w:val="both"/>
        <w:rPr>
          <w:rFonts w:ascii="NewBaskerville" w:hAnsi="NewBaskerville"/>
          <w:bCs/>
        </w:rPr>
      </w:pPr>
    </w:p>
    <w:p w:rsidR="00094C6A" w:rsidRDefault="007F730A">
      <w:pPr>
        <w:tabs>
          <w:tab w:val="right" w:pos="8364"/>
        </w:tabs>
        <w:ind w:firstLine="540"/>
        <w:jc w:val="both"/>
        <w:rPr>
          <w:rFonts w:ascii="NewBaskerville" w:hAnsi="NewBaskerville"/>
          <w:bCs/>
        </w:rPr>
      </w:pPr>
      <w:r>
        <w:rPr>
          <w:rFonts w:ascii="NewBaskerville" w:hAnsi="NewBaskerville"/>
          <w:bCs/>
        </w:rPr>
        <w:t>B</w:t>
      </w:r>
      <w:r w:rsidR="00D24701">
        <w:rPr>
          <w:rFonts w:ascii="NewBaskerville" w:hAnsi="NewBaskerville"/>
          <w:bCs/>
        </w:rPr>
        <w:t>ajas y retiros</w:t>
      </w:r>
      <w:r w:rsidR="00DF1F7A">
        <w:rPr>
          <w:rFonts w:ascii="NewBaskerville" w:hAnsi="NewBaskerville"/>
          <w:bCs/>
        </w:rPr>
        <w:t>:</w:t>
      </w:r>
    </w:p>
    <w:p w:rsidR="00DF1F7A" w:rsidRDefault="00DF1F7A">
      <w:pPr>
        <w:tabs>
          <w:tab w:val="right" w:pos="8364"/>
        </w:tabs>
        <w:ind w:firstLine="540"/>
        <w:jc w:val="both"/>
        <w:rPr>
          <w:rFonts w:ascii="NewBaskerville" w:hAnsi="NewBaskerville"/>
          <w:bCs/>
        </w:rPr>
      </w:pPr>
    </w:p>
    <w:p w:rsidR="00730C10" w:rsidRDefault="00E56AB5">
      <w:pPr>
        <w:tabs>
          <w:tab w:val="right" w:pos="8364"/>
        </w:tabs>
        <w:ind w:firstLine="540"/>
        <w:jc w:val="both"/>
        <w:rPr>
          <w:rFonts w:ascii="NewBaskerville" w:hAnsi="NewBaskerville"/>
          <w:bCs/>
        </w:rPr>
      </w:pPr>
      <w:r>
        <w:rPr>
          <w:rFonts w:ascii="NewBaskerville" w:hAnsi="NewBaskerville"/>
          <w:bCs/>
        </w:rPr>
        <w:t>Durante el ejercicio 2023 se han producido bajas en el inmovilizado material debido a:</w:t>
      </w:r>
    </w:p>
    <w:p w:rsidR="00E56AB5" w:rsidRDefault="00E56AB5">
      <w:pPr>
        <w:tabs>
          <w:tab w:val="right" w:pos="8364"/>
        </w:tabs>
        <w:ind w:firstLine="540"/>
        <w:jc w:val="both"/>
        <w:rPr>
          <w:rFonts w:ascii="NewBaskerville" w:hAnsi="NewBaskerville"/>
          <w:bCs/>
        </w:rPr>
      </w:pPr>
    </w:p>
    <w:p w:rsidR="00E56AB5" w:rsidRDefault="00E56AB5" w:rsidP="00E56AB5">
      <w:pPr>
        <w:pStyle w:val="Prrafodelista"/>
        <w:numPr>
          <w:ilvl w:val="0"/>
          <w:numId w:val="6"/>
        </w:numPr>
        <w:tabs>
          <w:tab w:val="right" w:pos="8364"/>
        </w:tabs>
        <w:jc w:val="both"/>
        <w:rPr>
          <w:rFonts w:ascii="NewBaskerville" w:hAnsi="NewBaskerville"/>
          <w:bCs/>
        </w:rPr>
      </w:pPr>
      <w:r>
        <w:rPr>
          <w:rFonts w:ascii="NewBaskerville" w:hAnsi="NewBaskerville"/>
          <w:bCs/>
        </w:rPr>
        <w:t>Por pasar a situación de fuera de uso tras finalizar su vida útil, o por su antigüedad en el final de la misma.</w:t>
      </w:r>
    </w:p>
    <w:p w:rsidR="00E56AB5" w:rsidRDefault="00E56AB5" w:rsidP="00E56AB5">
      <w:pPr>
        <w:pStyle w:val="Prrafodelista"/>
        <w:numPr>
          <w:ilvl w:val="0"/>
          <w:numId w:val="6"/>
        </w:numPr>
        <w:tabs>
          <w:tab w:val="right" w:pos="8364"/>
        </w:tabs>
        <w:jc w:val="both"/>
        <w:rPr>
          <w:rFonts w:ascii="NewBaskerville" w:hAnsi="NewBaskerville"/>
          <w:bCs/>
        </w:rPr>
      </w:pPr>
      <w:r>
        <w:rPr>
          <w:rFonts w:ascii="NewBaskerville" w:hAnsi="NewBaskerville"/>
          <w:bCs/>
        </w:rPr>
        <w:t>Por su desaparición física constatada mediante inventario físico.</w:t>
      </w:r>
    </w:p>
    <w:p w:rsidR="00E56AB5" w:rsidRDefault="00E56AB5" w:rsidP="00E56AB5">
      <w:pPr>
        <w:pStyle w:val="Prrafodelista"/>
        <w:numPr>
          <w:ilvl w:val="0"/>
          <w:numId w:val="6"/>
        </w:numPr>
        <w:tabs>
          <w:tab w:val="right" w:pos="8364"/>
        </w:tabs>
        <w:jc w:val="both"/>
        <w:rPr>
          <w:rFonts w:ascii="NewBaskerville" w:hAnsi="NewBaskerville"/>
          <w:bCs/>
        </w:rPr>
      </w:pPr>
      <w:r>
        <w:rPr>
          <w:rFonts w:ascii="NewBaskerville" w:hAnsi="NewBaskerville"/>
          <w:bCs/>
        </w:rPr>
        <w:t xml:space="preserve">En el caso de inmovilizado en curso, </w:t>
      </w:r>
      <w:r w:rsidR="003E2475">
        <w:rPr>
          <w:rFonts w:ascii="NewBaskerville" w:hAnsi="NewBaskerville"/>
          <w:bCs/>
        </w:rPr>
        <w:t>por</w:t>
      </w:r>
      <w:r>
        <w:rPr>
          <w:rFonts w:ascii="NewBaskerville" w:hAnsi="NewBaskerville"/>
          <w:bCs/>
        </w:rPr>
        <w:t xml:space="preserve"> sufrir modificaciones el proyecto de invers</w:t>
      </w:r>
      <w:r w:rsidR="003E2475">
        <w:rPr>
          <w:rFonts w:ascii="NewBaskerville" w:hAnsi="NewBaskerville"/>
          <w:bCs/>
        </w:rPr>
        <w:t xml:space="preserve">ión y perder el ligamen directo entre la asistencia técnica y </w:t>
      </w:r>
      <w:r>
        <w:rPr>
          <w:rFonts w:ascii="NewBaskerville" w:hAnsi="NewBaskerville"/>
          <w:bCs/>
        </w:rPr>
        <w:t>la construcción del elemento de inmovilizado material.</w:t>
      </w:r>
    </w:p>
    <w:p w:rsidR="00E56AB5" w:rsidRDefault="00E56AB5" w:rsidP="00E56AB5">
      <w:pPr>
        <w:tabs>
          <w:tab w:val="right" w:pos="8364"/>
        </w:tabs>
        <w:jc w:val="both"/>
        <w:rPr>
          <w:rFonts w:ascii="NewBaskerville" w:hAnsi="NewBaskerville"/>
          <w:bCs/>
        </w:rPr>
      </w:pPr>
      <w:r w:rsidRPr="00E56AB5">
        <w:rPr>
          <w:rFonts w:ascii="NewBaskerville" w:hAnsi="NewBaskerville"/>
          <w:bCs/>
        </w:rPr>
        <w:t xml:space="preserve"> </w:t>
      </w:r>
    </w:p>
    <w:p w:rsidR="00E56AB5" w:rsidRDefault="00CA3107" w:rsidP="00E56AB5">
      <w:pPr>
        <w:tabs>
          <w:tab w:val="right" w:pos="8364"/>
        </w:tabs>
        <w:ind w:firstLine="567"/>
        <w:jc w:val="both"/>
        <w:rPr>
          <w:rFonts w:ascii="NewBaskerville" w:hAnsi="NewBaskerville"/>
          <w:bCs/>
        </w:rPr>
      </w:pPr>
      <w:r>
        <w:rPr>
          <w:rFonts w:ascii="NewBaskerville" w:hAnsi="NewBaskerville"/>
          <w:bCs/>
        </w:rPr>
        <w:t xml:space="preserve">En </w:t>
      </w:r>
      <w:r w:rsidR="003E2475">
        <w:rPr>
          <w:rFonts w:ascii="NewBaskerville" w:hAnsi="NewBaskerville"/>
          <w:bCs/>
        </w:rPr>
        <w:t>ningún</w:t>
      </w:r>
      <w:r>
        <w:rPr>
          <w:rFonts w:ascii="NewBaskerville" w:hAnsi="NewBaskerville"/>
          <w:bCs/>
        </w:rPr>
        <w:t xml:space="preserve"> caso</w:t>
      </w:r>
      <w:r w:rsidR="003E2475">
        <w:rPr>
          <w:rFonts w:ascii="NewBaskerville" w:hAnsi="NewBaskerville"/>
          <w:bCs/>
        </w:rPr>
        <w:t xml:space="preserve"> se esperaba obtener de este</w:t>
      </w:r>
      <w:r>
        <w:rPr>
          <w:rFonts w:ascii="NewBaskerville" w:hAnsi="NewBaskerville"/>
          <w:bCs/>
        </w:rPr>
        <w:t xml:space="preserve"> inmovilizado material beneficios o rendimientos económicos futuros.</w:t>
      </w:r>
    </w:p>
    <w:p w:rsidR="00CA3107" w:rsidRDefault="00CA3107" w:rsidP="00E56AB5">
      <w:pPr>
        <w:tabs>
          <w:tab w:val="right" w:pos="8364"/>
        </w:tabs>
        <w:ind w:firstLine="567"/>
        <w:jc w:val="both"/>
        <w:rPr>
          <w:rFonts w:ascii="NewBaskerville" w:hAnsi="NewBaskerville"/>
          <w:bCs/>
        </w:rPr>
      </w:pPr>
    </w:p>
    <w:p w:rsidR="00CA3107" w:rsidRPr="00E56AB5" w:rsidRDefault="00CA3107" w:rsidP="00E56AB5">
      <w:pPr>
        <w:tabs>
          <w:tab w:val="right" w:pos="8364"/>
        </w:tabs>
        <w:ind w:firstLine="567"/>
        <w:jc w:val="both"/>
        <w:rPr>
          <w:rFonts w:ascii="NewBaskerville" w:hAnsi="NewBaskerville"/>
          <w:bCs/>
        </w:rPr>
      </w:pPr>
      <w:r>
        <w:rPr>
          <w:rFonts w:ascii="NewBaskerville" w:hAnsi="NewBaskerville"/>
          <w:bCs/>
        </w:rPr>
        <w:t>El resultado por bajas ha sido:</w:t>
      </w:r>
    </w:p>
    <w:p w:rsidR="00E56AB5" w:rsidRDefault="00E56AB5" w:rsidP="00E56AB5">
      <w:pPr>
        <w:tabs>
          <w:tab w:val="right" w:pos="8364"/>
        </w:tabs>
        <w:jc w:val="both"/>
        <w:rPr>
          <w:rFonts w:ascii="NewBaskerville" w:hAnsi="NewBaskerville"/>
          <w:bCs/>
        </w:rPr>
      </w:pPr>
    </w:p>
    <w:tbl>
      <w:tblPr>
        <w:tblW w:w="8440" w:type="dxa"/>
        <w:tblInd w:w="70" w:type="dxa"/>
        <w:tblCellMar>
          <w:left w:w="70" w:type="dxa"/>
          <w:right w:w="70" w:type="dxa"/>
        </w:tblCellMar>
        <w:tblLook w:val="04A0" w:firstRow="1" w:lastRow="0" w:firstColumn="1" w:lastColumn="0" w:noHBand="0" w:noVBand="1"/>
      </w:tblPr>
      <w:tblGrid>
        <w:gridCol w:w="1040"/>
        <w:gridCol w:w="1200"/>
        <w:gridCol w:w="1600"/>
        <w:gridCol w:w="1200"/>
        <w:gridCol w:w="1200"/>
        <w:gridCol w:w="1000"/>
        <w:gridCol w:w="1200"/>
      </w:tblGrid>
      <w:tr w:rsidR="00CA3107" w:rsidRPr="00CA3107" w:rsidTr="00CA3107">
        <w:trPr>
          <w:trHeight w:val="300"/>
        </w:trPr>
        <w:tc>
          <w:tcPr>
            <w:tcW w:w="8440" w:type="dxa"/>
            <w:gridSpan w:val="7"/>
            <w:vMerge w:val="restart"/>
            <w:tcBorders>
              <w:top w:val="nil"/>
              <w:left w:val="nil"/>
              <w:bottom w:val="nil"/>
              <w:right w:val="nil"/>
            </w:tcBorders>
            <w:shd w:val="clear" w:color="000000" w:fill="FFFFFF"/>
            <w:vAlign w:val="center"/>
            <w:hideMark/>
          </w:tcPr>
          <w:p w:rsidR="00CA3107" w:rsidRPr="00CA3107" w:rsidRDefault="00CA3107" w:rsidP="00CA3107">
            <w:pPr>
              <w:rPr>
                <w:rFonts w:ascii="Lucida Bright" w:hAnsi="Lucida Bright" w:cs="Calibri"/>
                <w:b/>
                <w:bCs/>
                <w:sz w:val="18"/>
                <w:szCs w:val="18"/>
                <w:lang w:val="es-ES"/>
              </w:rPr>
            </w:pPr>
            <w:r w:rsidRPr="00CA3107">
              <w:rPr>
                <w:rFonts w:ascii="Lucida Bright" w:hAnsi="Lucida Bright" w:cs="Calibri"/>
                <w:b/>
                <w:bCs/>
                <w:sz w:val="18"/>
                <w:szCs w:val="18"/>
                <w:lang w:val="es-ES"/>
              </w:rPr>
              <w:t xml:space="preserve">CUADRO: RESULTADO POR ENAJENACIONES Y BAJAS DEL INMOVILIZADO MATERIAL Y DEL ACTIVO NO CORRIENTE MANTENIDO PARA LA VENTA 2023 </w:t>
            </w:r>
            <w:r w:rsidRPr="00CA3107">
              <w:rPr>
                <w:rFonts w:ascii="Lucida Bright" w:hAnsi="Lucida Bright" w:cs="Calibri"/>
                <w:sz w:val="14"/>
                <w:szCs w:val="14"/>
                <w:lang w:val="es-ES"/>
              </w:rPr>
              <w:t>(en euros)</w:t>
            </w:r>
          </w:p>
        </w:tc>
      </w:tr>
      <w:tr w:rsidR="00CA3107" w:rsidRPr="00CA3107" w:rsidTr="00CA3107">
        <w:trPr>
          <w:trHeight w:val="300"/>
        </w:trPr>
        <w:tc>
          <w:tcPr>
            <w:tcW w:w="8440" w:type="dxa"/>
            <w:gridSpan w:val="7"/>
            <w:vMerge/>
            <w:tcBorders>
              <w:top w:val="nil"/>
              <w:left w:val="nil"/>
              <w:bottom w:val="nil"/>
              <w:right w:val="nil"/>
            </w:tcBorders>
            <w:vAlign w:val="center"/>
            <w:hideMark/>
          </w:tcPr>
          <w:p w:rsidR="00CA3107" w:rsidRPr="00CA3107" w:rsidRDefault="00CA3107" w:rsidP="00CA3107">
            <w:pPr>
              <w:rPr>
                <w:rFonts w:ascii="Lucida Bright" w:hAnsi="Lucida Bright" w:cs="Calibri"/>
                <w:b/>
                <w:bCs/>
                <w:sz w:val="18"/>
                <w:szCs w:val="18"/>
                <w:lang w:val="es-ES"/>
              </w:rPr>
            </w:pPr>
          </w:p>
        </w:tc>
      </w:tr>
      <w:tr w:rsidR="00CA3107" w:rsidRPr="00CA3107" w:rsidTr="00CA3107">
        <w:trPr>
          <w:trHeight w:val="720"/>
        </w:trPr>
        <w:tc>
          <w:tcPr>
            <w:tcW w:w="1040"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CA3107" w:rsidRPr="00CA3107" w:rsidRDefault="00CA3107" w:rsidP="00CA3107">
            <w:pPr>
              <w:jc w:val="center"/>
              <w:rPr>
                <w:rFonts w:ascii="Lucida Bright" w:hAnsi="Lucida Bright" w:cs="Calibri"/>
                <w:b/>
                <w:bCs/>
                <w:sz w:val="14"/>
                <w:szCs w:val="14"/>
                <w:lang w:val="es-ES"/>
              </w:rPr>
            </w:pPr>
            <w:r w:rsidRPr="00CA3107">
              <w:rPr>
                <w:rFonts w:ascii="Lucida Bright" w:hAnsi="Lucida Bright" w:cs="Calibri"/>
                <w:b/>
                <w:bCs/>
                <w:sz w:val="14"/>
                <w:szCs w:val="14"/>
                <w:lang w:val="es-ES"/>
              </w:rPr>
              <w:t>Fecha</w:t>
            </w:r>
          </w:p>
        </w:tc>
        <w:tc>
          <w:tcPr>
            <w:tcW w:w="1200" w:type="dxa"/>
            <w:tcBorders>
              <w:top w:val="single" w:sz="4" w:space="0" w:color="auto"/>
              <w:left w:val="nil"/>
              <w:bottom w:val="single" w:sz="4" w:space="0" w:color="auto"/>
              <w:right w:val="single" w:sz="4" w:space="0" w:color="auto"/>
            </w:tcBorders>
            <w:shd w:val="clear" w:color="000000" w:fill="CCFFCC"/>
            <w:vAlign w:val="center"/>
            <w:hideMark/>
          </w:tcPr>
          <w:p w:rsidR="00CA3107" w:rsidRPr="00CA3107" w:rsidRDefault="00CA3107" w:rsidP="00CA3107">
            <w:pPr>
              <w:jc w:val="center"/>
              <w:rPr>
                <w:rFonts w:ascii="Lucida Bright" w:hAnsi="Lucida Bright" w:cs="Calibri"/>
                <w:b/>
                <w:bCs/>
                <w:sz w:val="14"/>
                <w:szCs w:val="14"/>
                <w:lang w:val="es-ES"/>
              </w:rPr>
            </w:pPr>
            <w:r w:rsidRPr="00CA3107">
              <w:rPr>
                <w:rFonts w:ascii="Lucida Bright" w:hAnsi="Lucida Bright" w:cs="Calibri"/>
                <w:b/>
                <w:bCs/>
                <w:sz w:val="14"/>
                <w:szCs w:val="14"/>
                <w:lang w:val="es-ES"/>
              </w:rPr>
              <w:t>Operación</w:t>
            </w:r>
            <w:r w:rsidRPr="00CA3107">
              <w:rPr>
                <w:rFonts w:ascii="Lucida Bright" w:hAnsi="Lucida Bright" w:cs="Calibri"/>
                <w:b/>
                <w:bCs/>
                <w:sz w:val="14"/>
                <w:szCs w:val="14"/>
                <w:lang w:val="es-ES"/>
              </w:rPr>
              <w:br/>
              <w:t xml:space="preserve">(Venta, retiro, </w:t>
            </w:r>
            <w:proofErr w:type="spellStart"/>
            <w:r w:rsidRPr="00CA3107">
              <w:rPr>
                <w:rFonts w:ascii="Lucida Bright" w:hAnsi="Lucida Bright" w:cs="Calibri"/>
                <w:b/>
                <w:bCs/>
                <w:sz w:val="14"/>
                <w:szCs w:val="14"/>
                <w:lang w:val="es-ES"/>
              </w:rPr>
              <w:t>etc</w:t>
            </w:r>
            <w:proofErr w:type="spellEnd"/>
            <w:r w:rsidRPr="00CA3107">
              <w:rPr>
                <w:rFonts w:ascii="Lucida Bright" w:hAnsi="Lucida Bright" w:cs="Calibri"/>
                <w:b/>
                <w:bCs/>
                <w:sz w:val="14"/>
                <w:szCs w:val="14"/>
                <w:lang w:val="es-ES"/>
              </w:rPr>
              <w:t>)</w:t>
            </w:r>
          </w:p>
        </w:tc>
        <w:tc>
          <w:tcPr>
            <w:tcW w:w="1600" w:type="dxa"/>
            <w:tcBorders>
              <w:top w:val="single" w:sz="4" w:space="0" w:color="auto"/>
              <w:left w:val="nil"/>
              <w:bottom w:val="single" w:sz="4" w:space="0" w:color="auto"/>
              <w:right w:val="nil"/>
            </w:tcBorders>
            <w:shd w:val="clear" w:color="000000" w:fill="CCFFCC"/>
            <w:vAlign w:val="center"/>
            <w:hideMark/>
          </w:tcPr>
          <w:p w:rsidR="00CA3107" w:rsidRPr="00CA3107" w:rsidRDefault="00CA3107" w:rsidP="00CA3107">
            <w:pPr>
              <w:jc w:val="center"/>
              <w:rPr>
                <w:rFonts w:ascii="Lucida Bright" w:hAnsi="Lucida Bright" w:cs="Calibri"/>
                <w:b/>
                <w:bCs/>
                <w:sz w:val="14"/>
                <w:szCs w:val="14"/>
                <w:lang w:val="es-ES"/>
              </w:rPr>
            </w:pPr>
            <w:r w:rsidRPr="00CA3107">
              <w:rPr>
                <w:rFonts w:ascii="Lucida Bright" w:hAnsi="Lucida Bright" w:cs="Calibri"/>
                <w:b/>
                <w:bCs/>
                <w:sz w:val="14"/>
                <w:szCs w:val="14"/>
                <w:lang w:val="es-ES"/>
              </w:rPr>
              <w:t>Descripción/Grupo funcional del activo</w:t>
            </w:r>
          </w:p>
        </w:tc>
        <w:tc>
          <w:tcPr>
            <w:tcW w:w="1200"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CA3107" w:rsidRPr="00CA3107" w:rsidRDefault="00CA3107" w:rsidP="00CA3107">
            <w:pPr>
              <w:jc w:val="center"/>
              <w:rPr>
                <w:rFonts w:ascii="Lucida Bright" w:hAnsi="Lucida Bright" w:cs="Calibri"/>
                <w:b/>
                <w:bCs/>
                <w:sz w:val="14"/>
                <w:szCs w:val="14"/>
                <w:lang w:val="es-ES"/>
              </w:rPr>
            </w:pPr>
            <w:r w:rsidRPr="00CA3107">
              <w:rPr>
                <w:rFonts w:ascii="Lucida Bright" w:hAnsi="Lucida Bright" w:cs="Calibri"/>
                <w:b/>
                <w:bCs/>
                <w:sz w:val="14"/>
                <w:szCs w:val="14"/>
                <w:lang w:val="es-ES"/>
              </w:rPr>
              <w:t>Valor</w:t>
            </w:r>
            <w:r w:rsidRPr="00CA3107">
              <w:rPr>
                <w:rFonts w:ascii="Lucida Bright" w:hAnsi="Lucida Bright" w:cs="Calibri"/>
                <w:b/>
                <w:bCs/>
                <w:sz w:val="14"/>
                <w:szCs w:val="14"/>
                <w:lang w:val="es-ES"/>
              </w:rPr>
              <w:br/>
              <w:t>contable</w:t>
            </w:r>
            <w:r w:rsidRPr="00CA3107">
              <w:rPr>
                <w:rFonts w:ascii="Lucida Bright" w:hAnsi="Lucida Bright" w:cs="Calibri"/>
                <w:b/>
                <w:bCs/>
                <w:sz w:val="14"/>
                <w:szCs w:val="14"/>
                <w:lang w:val="es-ES"/>
              </w:rPr>
              <w:br/>
              <w:t>bruto</w:t>
            </w:r>
          </w:p>
        </w:tc>
        <w:tc>
          <w:tcPr>
            <w:tcW w:w="1200" w:type="dxa"/>
            <w:tcBorders>
              <w:top w:val="single" w:sz="4" w:space="0" w:color="auto"/>
              <w:left w:val="nil"/>
              <w:bottom w:val="single" w:sz="4" w:space="0" w:color="auto"/>
              <w:right w:val="single" w:sz="4" w:space="0" w:color="auto"/>
            </w:tcBorders>
            <w:shd w:val="clear" w:color="000000" w:fill="CCFFCC"/>
            <w:vAlign w:val="center"/>
            <w:hideMark/>
          </w:tcPr>
          <w:p w:rsidR="00CA3107" w:rsidRPr="00CA3107" w:rsidRDefault="00CA3107" w:rsidP="00CA3107">
            <w:pPr>
              <w:jc w:val="center"/>
              <w:rPr>
                <w:rFonts w:ascii="Lucida Bright" w:hAnsi="Lucida Bright" w:cs="Calibri"/>
                <w:b/>
                <w:bCs/>
                <w:sz w:val="14"/>
                <w:szCs w:val="14"/>
                <w:lang w:val="es-ES"/>
              </w:rPr>
            </w:pPr>
            <w:r w:rsidRPr="00CA3107">
              <w:rPr>
                <w:rFonts w:ascii="Lucida Bright" w:hAnsi="Lucida Bright" w:cs="Calibri"/>
                <w:b/>
                <w:bCs/>
                <w:sz w:val="14"/>
                <w:szCs w:val="14"/>
                <w:lang w:val="es-ES"/>
              </w:rPr>
              <w:t>Amortización</w:t>
            </w:r>
            <w:r w:rsidRPr="00CA3107">
              <w:rPr>
                <w:rFonts w:ascii="Lucida Bright" w:hAnsi="Lucida Bright" w:cs="Calibri"/>
                <w:b/>
                <w:bCs/>
                <w:sz w:val="14"/>
                <w:szCs w:val="14"/>
                <w:lang w:val="es-ES"/>
              </w:rPr>
              <w:br/>
              <w:t>acumulada/</w:t>
            </w:r>
            <w:r w:rsidRPr="00CA3107">
              <w:rPr>
                <w:rFonts w:ascii="Lucida Bright" w:hAnsi="Lucida Bright" w:cs="Calibri"/>
                <w:b/>
                <w:bCs/>
                <w:sz w:val="14"/>
                <w:szCs w:val="14"/>
                <w:lang w:val="es-ES"/>
              </w:rPr>
              <w:br/>
              <w:t>Deterioro de valor aplicado</w:t>
            </w:r>
          </w:p>
        </w:tc>
        <w:tc>
          <w:tcPr>
            <w:tcW w:w="1000" w:type="dxa"/>
            <w:tcBorders>
              <w:top w:val="single" w:sz="4" w:space="0" w:color="auto"/>
              <w:left w:val="nil"/>
              <w:bottom w:val="single" w:sz="4" w:space="0" w:color="auto"/>
              <w:right w:val="nil"/>
            </w:tcBorders>
            <w:shd w:val="clear" w:color="000000" w:fill="CCFFCC"/>
            <w:vAlign w:val="center"/>
            <w:hideMark/>
          </w:tcPr>
          <w:p w:rsidR="00CA3107" w:rsidRPr="00CA3107" w:rsidRDefault="00CA3107" w:rsidP="00CA3107">
            <w:pPr>
              <w:jc w:val="center"/>
              <w:rPr>
                <w:rFonts w:ascii="Lucida Bright" w:hAnsi="Lucida Bright" w:cs="Calibri"/>
                <w:b/>
                <w:bCs/>
                <w:sz w:val="14"/>
                <w:szCs w:val="14"/>
                <w:lang w:val="es-ES"/>
              </w:rPr>
            </w:pPr>
            <w:r w:rsidRPr="00CA3107">
              <w:rPr>
                <w:rFonts w:ascii="Lucida Bright" w:hAnsi="Lucida Bright" w:cs="Calibri"/>
                <w:b/>
                <w:bCs/>
                <w:sz w:val="14"/>
                <w:szCs w:val="14"/>
                <w:lang w:val="es-ES"/>
              </w:rPr>
              <w:t>Precio de</w:t>
            </w:r>
            <w:r w:rsidRPr="00CA3107">
              <w:rPr>
                <w:rFonts w:ascii="Lucida Bright" w:hAnsi="Lucida Bright" w:cs="Calibri"/>
                <w:b/>
                <w:bCs/>
                <w:sz w:val="14"/>
                <w:szCs w:val="14"/>
                <w:lang w:val="es-ES"/>
              </w:rPr>
              <w:br/>
              <w:t>venta</w:t>
            </w:r>
          </w:p>
        </w:tc>
        <w:tc>
          <w:tcPr>
            <w:tcW w:w="1200"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CA3107" w:rsidRPr="00CA3107" w:rsidRDefault="00CA3107" w:rsidP="00CA3107">
            <w:pPr>
              <w:jc w:val="center"/>
              <w:rPr>
                <w:rFonts w:ascii="Lucida Bright" w:hAnsi="Lucida Bright" w:cs="Calibri"/>
                <w:b/>
                <w:bCs/>
                <w:sz w:val="14"/>
                <w:szCs w:val="14"/>
                <w:lang w:val="es-ES"/>
              </w:rPr>
            </w:pPr>
            <w:r w:rsidRPr="00CA3107">
              <w:rPr>
                <w:rFonts w:ascii="Lucida Bright" w:hAnsi="Lucida Bright" w:cs="Calibri"/>
                <w:b/>
                <w:bCs/>
                <w:sz w:val="14"/>
                <w:szCs w:val="14"/>
                <w:lang w:val="es-ES"/>
              </w:rPr>
              <w:t>Resultado de</w:t>
            </w:r>
            <w:r w:rsidRPr="00CA3107">
              <w:rPr>
                <w:rFonts w:ascii="Lucida Bright" w:hAnsi="Lucida Bright" w:cs="Calibri"/>
                <w:b/>
                <w:bCs/>
                <w:sz w:val="14"/>
                <w:szCs w:val="14"/>
                <w:lang w:val="es-ES"/>
              </w:rPr>
              <w:br/>
              <w:t>la operación</w:t>
            </w:r>
          </w:p>
        </w:tc>
      </w:tr>
      <w:tr w:rsidR="00CA3107" w:rsidRPr="00CA3107" w:rsidTr="00CA3107">
        <w:trPr>
          <w:trHeight w:val="300"/>
        </w:trPr>
        <w:tc>
          <w:tcPr>
            <w:tcW w:w="2240"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CA3107" w:rsidRPr="00CA3107" w:rsidRDefault="00CA3107" w:rsidP="00CA3107">
            <w:pPr>
              <w:rPr>
                <w:rFonts w:ascii="Lucida Bright" w:hAnsi="Lucida Bright" w:cs="Calibri"/>
                <w:b/>
                <w:bCs/>
                <w:sz w:val="14"/>
                <w:szCs w:val="14"/>
                <w:lang w:val="es-ES"/>
              </w:rPr>
            </w:pPr>
            <w:r w:rsidRPr="00CA3107">
              <w:rPr>
                <w:rFonts w:ascii="Lucida Bright" w:hAnsi="Lucida Bright" w:cs="Calibri"/>
                <w:b/>
                <w:bCs/>
                <w:sz w:val="14"/>
                <w:szCs w:val="14"/>
                <w:lang w:val="es-ES"/>
              </w:rPr>
              <w:t>Inmovilizado material</w:t>
            </w:r>
          </w:p>
        </w:tc>
        <w:tc>
          <w:tcPr>
            <w:tcW w:w="1600" w:type="dxa"/>
            <w:tcBorders>
              <w:top w:val="single" w:sz="4" w:space="0" w:color="auto"/>
              <w:left w:val="nil"/>
              <w:bottom w:val="nil"/>
              <w:right w:val="nil"/>
            </w:tcBorders>
            <w:shd w:val="clear" w:color="000000" w:fill="FFFFFF"/>
            <w:noWrap/>
            <w:vAlign w:val="bottom"/>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single" w:sz="4" w:space="0" w:color="auto"/>
              <w:left w:val="nil"/>
              <w:bottom w:val="nil"/>
              <w:right w:val="nil"/>
            </w:tcBorders>
            <w:shd w:val="clear" w:color="000000" w:fill="FFFFFF"/>
            <w:noWrap/>
            <w:vAlign w:val="bottom"/>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single" w:sz="4" w:space="0" w:color="auto"/>
              <w:left w:val="nil"/>
              <w:bottom w:val="nil"/>
              <w:right w:val="nil"/>
            </w:tcBorders>
            <w:shd w:val="clear" w:color="000000" w:fill="FFFFFF"/>
            <w:noWrap/>
            <w:vAlign w:val="bottom"/>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000" w:type="dxa"/>
            <w:tcBorders>
              <w:top w:val="single" w:sz="4" w:space="0" w:color="auto"/>
              <w:left w:val="nil"/>
              <w:bottom w:val="nil"/>
              <w:right w:val="nil"/>
            </w:tcBorders>
            <w:shd w:val="clear" w:color="000000" w:fill="FFFFFF"/>
            <w:noWrap/>
            <w:vAlign w:val="bottom"/>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single" w:sz="4" w:space="0" w:color="auto"/>
              <w:left w:val="nil"/>
              <w:bottom w:val="nil"/>
              <w:right w:val="single" w:sz="4" w:space="0" w:color="auto"/>
            </w:tcBorders>
            <w:shd w:val="clear" w:color="000000" w:fill="FFFFFF"/>
            <w:noWrap/>
            <w:vAlign w:val="bottom"/>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r>
      <w:tr w:rsidR="00CA3107" w:rsidRPr="00CA3107" w:rsidTr="00CA3107">
        <w:trPr>
          <w:trHeight w:val="30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04/05/2023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Material diverso</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35.568,26 </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(35.568,26) </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0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04/05/2023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600" w:type="dxa"/>
            <w:tcBorders>
              <w:top w:val="nil"/>
              <w:left w:val="nil"/>
              <w:bottom w:val="single" w:sz="4" w:space="0" w:color="auto"/>
              <w:right w:val="single" w:sz="4" w:space="0" w:color="auto"/>
            </w:tcBorders>
            <w:shd w:val="clear" w:color="000000" w:fill="FFFFFF"/>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Equipo informático</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229.120,44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(229.120,44) </w:t>
            </w:r>
          </w:p>
        </w:tc>
        <w:tc>
          <w:tcPr>
            <w:tcW w:w="10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03/10/2023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600"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Instalaciones de ayudas visuales</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4.485,56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(4.485,56) </w:t>
            </w:r>
          </w:p>
        </w:tc>
        <w:tc>
          <w:tcPr>
            <w:tcW w:w="10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42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03/10/2023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600"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xml:space="preserve">Instalaciones de gestión y </w:t>
            </w:r>
            <w:proofErr w:type="spellStart"/>
            <w:r w:rsidRPr="00CA3107">
              <w:rPr>
                <w:rFonts w:ascii="Lucida Bright" w:hAnsi="Lucida Bright" w:cs="Calibri"/>
                <w:sz w:val="14"/>
                <w:szCs w:val="14"/>
                <w:lang w:val="es-ES"/>
              </w:rPr>
              <w:t>explotac</w:t>
            </w:r>
            <w:proofErr w:type="spellEnd"/>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18.653,71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(18.653,71) </w:t>
            </w:r>
          </w:p>
        </w:tc>
        <w:tc>
          <w:tcPr>
            <w:tcW w:w="10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03/10/2023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600"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Defensa y elementos de amarre</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14.300,00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(14.300,00) </w:t>
            </w:r>
          </w:p>
        </w:tc>
        <w:tc>
          <w:tcPr>
            <w:tcW w:w="10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0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03/10/2023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600"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Pantanales flotantes</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56.765,76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(56.765,76) </w:t>
            </w:r>
          </w:p>
        </w:tc>
        <w:tc>
          <w:tcPr>
            <w:tcW w:w="10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03/10/2023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600"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Estaciones marítimas, naves y lonja</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127.783,85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(76.978,33) </w:t>
            </w:r>
          </w:p>
        </w:tc>
        <w:tc>
          <w:tcPr>
            <w:tcW w:w="10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(50.805,52) </w:t>
            </w:r>
          </w:p>
        </w:tc>
      </w:tr>
      <w:tr w:rsidR="00CA3107" w:rsidRPr="00CA3107" w:rsidTr="00CA3107">
        <w:trPr>
          <w:trHeight w:val="3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03/10/2023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600"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Módulos y pequeñas construcciones</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21.312,61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(21.312,61) </w:t>
            </w:r>
          </w:p>
        </w:tc>
        <w:tc>
          <w:tcPr>
            <w:tcW w:w="10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03/10/2023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600"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xml:space="preserve">Instalaciones, conducciones y </w:t>
            </w:r>
            <w:proofErr w:type="spellStart"/>
            <w:r w:rsidRPr="00CA3107">
              <w:rPr>
                <w:rFonts w:ascii="Lucida Bright" w:hAnsi="Lucida Bright" w:cs="Calibri"/>
                <w:sz w:val="14"/>
                <w:szCs w:val="14"/>
                <w:lang w:val="es-ES"/>
              </w:rPr>
              <w:t>alumb</w:t>
            </w:r>
            <w:proofErr w:type="spellEnd"/>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11.118,72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(11.118,72) </w:t>
            </w:r>
          </w:p>
        </w:tc>
        <w:tc>
          <w:tcPr>
            <w:tcW w:w="10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03/10/2023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600"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Caminos, zonas circulación y aparca</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54.021,55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(54.021,55) </w:t>
            </w:r>
          </w:p>
        </w:tc>
        <w:tc>
          <w:tcPr>
            <w:tcW w:w="10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0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03/10/2023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600"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Grúas automóviles</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7.213,95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(7.213,95) </w:t>
            </w:r>
          </w:p>
        </w:tc>
        <w:tc>
          <w:tcPr>
            <w:tcW w:w="10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03/10/2023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600"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Equipo auxiliar y equipos buzos</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3.696,22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(3.696,22) </w:t>
            </w:r>
          </w:p>
        </w:tc>
        <w:tc>
          <w:tcPr>
            <w:tcW w:w="10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03/10/2023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600"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Embarcaciones de servicio</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1.803,00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(1.803,00) </w:t>
            </w:r>
          </w:p>
        </w:tc>
        <w:tc>
          <w:tcPr>
            <w:tcW w:w="10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03/10/2023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600"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xml:space="preserve">E.Com. d </w:t>
            </w:r>
            <w:proofErr w:type="spellStart"/>
            <w:r w:rsidRPr="00CA3107">
              <w:rPr>
                <w:rFonts w:ascii="Lucida Bright" w:hAnsi="Lucida Bright" w:cs="Calibri"/>
                <w:sz w:val="14"/>
                <w:szCs w:val="14"/>
                <w:lang w:val="es-ES"/>
              </w:rPr>
              <w:t>sop</w:t>
            </w:r>
            <w:proofErr w:type="spellEnd"/>
            <w:r w:rsidRPr="00CA3107">
              <w:rPr>
                <w:rFonts w:ascii="Lucida Bright" w:hAnsi="Lucida Bright" w:cs="Calibri"/>
                <w:sz w:val="14"/>
                <w:szCs w:val="14"/>
                <w:lang w:val="es-ES"/>
              </w:rPr>
              <w:t xml:space="preserve">. </w:t>
            </w:r>
            <w:proofErr w:type="spellStart"/>
            <w:proofErr w:type="gramStart"/>
            <w:r w:rsidRPr="00CA3107">
              <w:rPr>
                <w:rFonts w:ascii="Lucida Bright" w:hAnsi="Lucida Bright" w:cs="Calibri"/>
                <w:sz w:val="14"/>
                <w:szCs w:val="14"/>
                <w:lang w:val="es-ES"/>
              </w:rPr>
              <w:t>flot</w:t>
            </w:r>
            <w:proofErr w:type="spellEnd"/>
            <w:proofErr w:type="gramEnd"/>
            <w:r w:rsidRPr="00CA3107">
              <w:rPr>
                <w:rFonts w:ascii="Lucida Bright" w:hAnsi="Lucida Bright" w:cs="Calibri"/>
                <w:sz w:val="14"/>
                <w:szCs w:val="14"/>
                <w:lang w:val="es-ES"/>
              </w:rPr>
              <w:t xml:space="preserve">. d </w:t>
            </w:r>
            <w:proofErr w:type="spellStart"/>
            <w:r w:rsidRPr="00CA3107">
              <w:rPr>
                <w:rFonts w:ascii="Lucida Bright" w:hAnsi="Lucida Bright" w:cs="Calibri"/>
                <w:sz w:val="14"/>
                <w:szCs w:val="14"/>
                <w:lang w:val="es-ES"/>
              </w:rPr>
              <w:t>ayud</w:t>
            </w:r>
            <w:proofErr w:type="spellEnd"/>
            <w:r w:rsidRPr="00CA3107">
              <w:rPr>
                <w:rFonts w:ascii="Lucida Bright" w:hAnsi="Lucida Bright" w:cs="Calibri"/>
                <w:sz w:val="14"/>
                <w:szCs w:val="14"/>
                <w:lang w:val="es-ES"/>
              </w:rPr>
              <w:t xml:space="preserve"> a navega</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109.546,65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(109.546,65) </w:t>
            </w:r>
          </w:p>
        </w:tc>
        <w:tc>
          <w:tcPr>
            <w:tcW w:w="10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0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03/10/2023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600"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Equipo de Taller</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1.314,90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(1.314,90) </w:t>
            </w:r>
          </w:p>
        </w:tc>
        <w:tc>
          <w:tcPr>
            <w:tcW w:w="10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0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03/10/2023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600"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Mobiliario y enseres</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4.031,92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(4.031,92) </w:t>
            </w:r>
          </w:p>
        </w:tc>
        <w:tc>
          <w:tcPr>
            <w:tcW w:w="10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0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03/10/2023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600"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Material diverso</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804.752,15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(804.752,15) </w:t>
            </w:r>
          </w:p>
        </w:tc>
        <w:tc>
          <w:tcPr>
            <w:tcW w:w="10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06/10/2023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600"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Instalaciones de ayudas visuales</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75.569,24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(75.569,24) </w:t>
            </w:r>
          </w:p>
        </w:tc>
        <w:tc>
          <w:tcPr>
            <w:tcW w:w="10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06/10/2023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600"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xml:space="preserve">Instalaciones de ayudas </w:t>
            </w:r>
            <w:proofErr w:type="spellStart"/>
            <w:r w:rsidRPr="00CA3107">
              <w:rPr>
                <w:rFonts w:ascii="Lucida Bright" w:hAnsi="Lucida Bright" w:cs="Calibri"/>
                <w:sz w:val="14"/>
                <w:szCs w:val="14"/>
                <w:lang w:val="es-ES"/>
              </w:rPr>
              <w:t>radioeléctr</w:t>
            </w:r>
            <w:proofErr w:type="spellEnd"/>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3.572,80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(3.572,80) </w:t>
            </w:r>
          </w:p>
        </w:tc>
        <w:tc>
          <w:tcPr>
            <w:tcW w:w="10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bl>
    <w:p w:rsidR="00E56AB5" w:rsidRPr="00E56AB5" w:rsidRDefault="00E56AB5" w:rsidP="00E56AB5">
      <w:pPr>
        <w:tabs>
          <w:tab w:val="right" w:pos="8364"/>
        </w:tabs>
        <w:jc w:val="both"/>
        <w:rPr>
          <w:rFonts w:ascii="NewBaskerville" w:hAnsi="NewBaskerville"/>
          <w:bCs/>
        </w:rPr>
      </w:pPr>
    </w:p>
    <w:tbl>
      <w:tblPr>
        <w:tblW w:w="8440" w:type="dxa"/>
        <w:tblInd w:w="65" w:type="dxa"/>
        <w:tblCellMar>
          <w:left w:w="70" w:type="dxa"/>
          <w:right w:w="70" w:type="dxa"/>
        </w:tblCellMar>
        <w:tblLook w:val="04A0" w:firstRow="1" w:lastRow="0" w:firstColumn="1" w:lastColumn="0" w:noHBand="0" w:noVBand="1"/>
      </w:tblPr>
      <w:tblGrid>
        <w:gridCol w:w="1040"/>
        <w:gridCol w:w="1200"/>
        <w:gridCol w:w="1459"/>
        <w:gridCol w:w="1200"/>
        <w:gridCol w:w="1200"/>
        <w:gridCol w:w="1141"/>
        <w:gridCol w:w="1200"/>
      </w:tblGrid>
      <w:tr w:rsidR="00CA3107" w:rsidRPr="00CA3107" w:rsidTr="00CA3107">
        <w:trPr>
          <w:trHeight w:val="360"/>
        </w:trPr>
        <w:tc>
          <w:tcPr>
            <w:tcW w:w="1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06/10/2023</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xml:space="preserve">Instalaciones de gestión y </w:t>
            </w:r>
            <w:proofErr w:type="spellStart"/>
            <w:r w:rsidRPr="00CA3107">
              <w:rPr>
                <w:rFonts w:ascii="Lucida Bright" w:hAnsi="Lucida Bright" w:cs="Calibri"/>
                <w:sz w:val="14"/>
                <w:szCs w:val="14"/>
                <w:lang w:val="es-ES"/>
              </w:rPr>
              <w:t>explotac</w:t>
            </w:r>
            <w:proofErr w:type="spellEnd"/>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373.350,65 </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(373.350,65) </w:t>
            </w:r>
          </w:p>
        </w:tc>
        <w:tc>
          <w:tcPr>
            <w:tcW w:w="1141" w:type="dxa"/>
            <w:tcBorders>
              <w:top w:val="single" w:sz="4" w:space="0" w:color="auto"/>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06/10/2023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459"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Defensa y elementos de amarre</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161,55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(161,55) </w:t>
            </w:r>
          </w:p>
        </w:tc>
        <w:tc>
          <w:tcPr>
            <w:tcW w:w="1141"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06/10/2023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459"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Estaciones marítimas, naves y lonja</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34.659,24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(19.722,28) </w:t>
            </w:r>
          </w:p>
        </w:tc>
        <w:tc>
          <w:tcPr>
            <w:tcW w:w="1141"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(14.936,96) </w:t>
            </w:r>
          </w:p>
        </w:tc>
      </w:tr>
      <w:tr w:rsidR="00CA3107" w:rsidRPr="00CA3107" w:rsidTr="00CA3107">
        <w:trPr>
          <w:trHeight w:val="72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06/10/2023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459"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xml:space="preserve">Almacenes, </w:t>
            </w:r>
            <w:proofErr w:type="spellStart"/>
            <w:r w:rsidRPr="00CA3107">
              <w:rPr>
                <w:rFonts w:ascii="Lucida Bright" w:hAnsi="Lucida Bright" w:cs="Calibri"/>
                <w:sz w:val="14"/>
                <w:szCs w:val="14"/>
                <w:lang w:val="es-ES"/>
              </w:rPr>
              <w:t>talleres,casetas</w:t>
            </w:r>
            <w:proofErr w:type="spellEnd"/>
            <w:r w:rsidRPr="00CA3107">
              <w:rPr>
                <w:rFonts w:ascii="Lucida Bright" w:hAnsi="Lucida Bright" w:cs="Calibri"/>
                <w:sz w:val="14"/>
                <w:szCs w:val="14"/>
                <w:lang w:val="es-ES"/>
              </w:rPr>
              <w:t xml:space="preserve"> de  pesca armadores y similares</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91.128,88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(59.525,79) </w:t>
            </w:r>
          </w:p>
        </w:tc>
        <w:tc>
          <w:tcPr>
            <w:tcW w:w="1141"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(31.603,09) </w:t>
            </w:r>
          </w:p>
        </w:tc>
      </w:tr>
      <w:tr w:rsidR="00CA3107" w:rsidRPr="00CA3107" w:rsidTr="00CA3107">
        <w:trPr>
          <w:trHeight w:val="495"/>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06/10/2023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459"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Viviendas, garajes, oficinas y otros edificios</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1.409,32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(1.409,32) </w:t>
            </w:r>
          </w:p>
        </w:tc>
        <w:tc>
          <w:tcPr>
            <w:tcW w:w="1141"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06/10/2023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459"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Elementos fijos de soporte de ayuda</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14.442,32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(10.565,50) </w:t>
            </w:r>
          </w:p>
        </w:tc>
        <w:tc>
          <w:tcPr>
            <w:tcW w:w="1141"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(3.876,82) </w:t>
            </w:r>
          </w:p>
        </w:tc>
      </w:tr>
      <w:tr w:rsidR="00CA3107" w:rsidRPr="00CA3107" w:rsidTr="00CA3107">
        <w:trPr>
          <w:trHeight w:val="45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06/10/2023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459"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xml:space="preserve">Instalaciones, conducciones y </w:t>
            </w:r>
            <w:proofErr w:type="spellStart"/>
            <w:r w:rsidRPr="00CA3107">
              <w:rPr>
                <w:rFonts w:ascii="Lucida Bright" w:hAnsi="Lucida Bright" w:cs="Calibri"/>
                <w:sz w:val="14"/>
                <w:szCs w:val="14"/>
                <w:lang w:val="es-ES"/>
              </w:rPr>
              <w:t>alumb</w:t>
            </w:r>
            <w:proofErr w:type="spellEnd"/>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286.636,30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(285.026,18) </w:t>
            </w:r>
          </w:p>
        </w:tc>
        <w:tc>
          <w:tcPr>
            <w:tcW w:w="1141"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(1.610,12) </w:t>
            </w:r>
          </w:p>
        </w:tc>
      </w:tr>
      <w:tr w:rsidR="00CA3107" w:rsidRPr="00CA3107" w:rsidTr="00CA3107">
        <w:trPr>
          <w:trHeight w:val="30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06/10/2023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459"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Otras instalaciones</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25.902,92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(20.837,20) </w:t>
            </w:r>
          </w:p>
        </w:tc>
        <w:tc>
          <w:tcPr>
            <w:tcW w:w="1141"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(5.065,72) </w:t>
            </w:r>
          </w:p>
        </w:tc>
      </w:tr>
      <w:tr w:rsidR="00CA3107" w:rsidRPr="00CA3107" w:rsidTr="00CA3107">
        <w:trPr>
          <w:trHeight w:val="30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06/10/2023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459"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Grúas automóviles</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39.172,47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(39.172,47) </w:t>
            </w:r>
          </w:p>
        </w:tc>
        <w:tc>
          <w:tcPr>
            <w:tcW w:w="1141"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06/10/2023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459"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Carretillas, tractores, remolques</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2.153,22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(2.153,22) </w:t>
            </w:r>
          </w:p>
        </w:tc>
        <w:tc>
          <w:tcPr>
            <w:tcW w:w="1141"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06/10/2023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459"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Equipo auxiliar y equipos buzos</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11.434,89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(11.434,89) </w:t>
            </w:r>
          </w:p>
        </w:tc>
        <w:tc>
          <w:tcPr>
            <w:tcW w:w="1141"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06/10/2023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459"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xml:space="preserve">E.Com. d </w:t>
            </w:r>
            <w:proofErr w:type="spellStart"/>
            <w:r w:rsidRPr="00CA3107">
              <w:rPr>
                <w:rFonts w:ascii="Lucida Bright" w:hAnsi="Lucida Bright" w:cs="Calibri"/>
                <w:sz w:val="14"/>
                <w:szCs w:val="14"/>
                <w:lang w:val="es-ES"/>
              </w:rPr>
              <w:t>sop</w:t>
            </w:r>
            <w:proofErr w:type="spellEnd"/>
            <w:r w:rsidRPr="00CA3107">
              <w:rPr>
                <w:rFonts w:ascii="Lucida Bright" w:hAnsi="Lucida Bright" w:cs="Calibri"/>
                <w:sz w:val="14"/>
                <w:szCs w:val="14"/>
                <w:lang w:val="es-ES"/>
              </w:rPr>
              <w:t xml:space="preserve">. </w:t>
            </w:r>
            <w:proofErr w:type="spellStart"/>
            <w:proofErr w:type="gramStart"/>
            <w:r w:rsidRPr="00CA3107">
              <w:rPr>
                <w:rFonts w:ascii="Lucida Bright" w:hAnsi="Lucida Bright" w:cs="Calibri"/>
                <w:sz w:val="14"/>
                <w:szCs w:val="14"/>
                <w:lang w:val="es-ES"/>
              </w:rPr>
              <w:t>flot</w:t>
            </w:r>
            <w:proofErr w:type="spellEnd"/>
            <w:proofErr w:type="gramEnd"/>
            <w:r w:rsidRPr="00CA3107">
              <w:rPr>
                <w:rFonts w:ascii="Lucida Bright" w:hAnsi="Lucida Bright" w:cs="Calibri"/>
                <w:sz w:val="14"/>
                <w:szCs w:val="14"/>
                <w:lang w:val="es-ES"/>
              </w:rPr>
              <w:t xml:space="preserve">. d </w:t>
            </w:r>
            <w:proofErr w:type="spellStart"/>
            <w:r w:rsidRPr="00CA3107">
              <w:rPr>
                <w:rFonts w:ascii="Lucida Bright" w:hAnsi="Lucida Bright" w:cs="Calibri"/>
                <w:sz w:val="14"/>
                <w:szCs w:val="14"/>
                <w:lang w:val="es-ES"/>
              </w:rPr>
              <w:t>ayud</w:t>
            </w:r>
            <w:proofErr w:type="spellEnd"/>
            <w:r w:rsidRPr="00CA3107">
              <w:rPr>
                <w:rFonts w:ascii="Lucida Bright" w:hAnsi="Lucida Bright" w:cs="Calibri"/>
                <w:sz w:val="14"/>
                <w:szCs w:val="14"/>
                <w:lang w:val="es-ES"/>
              </w:rPr>
              <w:t xml:space="preserve"> a navega</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23.984,18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(23.984,18) </w:t>
            </w:r>
          </w:p>
        </w:tc>
        <w:tc>
          <w:tcPr>
            <w:tcW w:w="1141"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0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06/10/2023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459"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Equipo de Taller</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13.594,30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(12.700,05) </w:t>
            </w:r>
          </w:p>
        </w:tc>
        <w:tc>
          <w:tcPr>
            <w:tcW w:w="1141"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(894,25) </w:t>
            </w:r>
          </w:p>
        </w:tc>
      </w:tr>
      <w:tr w:rsidR="00CA3107" w:rsidRPr="00CA3107" w:rsidTr="00CA3107">
        <w:trPr>
          <w:trHeight w:val="30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06/10/2023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459"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Mobiliario y enseres</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135.969,55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(135.969,55) </w:t>
            </w:r>
          </w:p>
        </w:tc>
        <w:tc>
          <w:tcPr>
            <w:tcW w:w="1141"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0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06/10/2023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459" w:type="dxa"/>
            <w:tcBorders>
              <w:top w:val="nil"/>
              <w:left w:val="nil"/>
              <w:bottom w:val="single" w:sz="4" w:space="0" w:color="auto"/>
              <w:right w:val="single" w:sz="4" w:space="0" w:color="auto"/>
            </w:tcBorders>
            <w:shd w:val="clear" w:color="auto" w:fill="auto"/>
            <w:vAlign w:val="bottom"/>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Material diverso</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1.078.239,52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(1.078.239,52) </w:t>
            </w:r>
          </w:p>
        </w:tc>
        <w:tc>
          <w:tcPr>
            <w:tcW w:w="1141"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10/10/2023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459"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xml:space="preserve">Instalaciones de gestión y </w:t>
            </w:r>
            <w:proofErr w:type="spellStart"/>
            <w:r w:rsidRPr="00CA3107">
              <w:rPr>
                <w:rFonts w:ascii="Lucida Bright" w:hAnsi="Lucida Bright" w:cs="Calibri"/>
                <w:sz w:val="14"/>
                <w:szCs w:val="14"/>
                <w:lang w:val="es-ES"/>
              </w:rPr>
              <w:t>explotac</w:t>
            </w:r>
            <w:proofErr w:type="spellEnd"/>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14.509,63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(14.509,63) </w:t>
            </w:r>
          </w:p>
        </w:tc>
        <w:tc>
          <w:tcPr>
            <w:tcW w:w="1141"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10/10/2023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459"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xml:space="preserve">Muelles de hormigón armado y </w:t>
            </w:r>
            <w:proofErr w:type="spellStart"/>
            <w:r w:rsidRPr="00CA3107">
              <w:rPr>
                <w:rFonts w:ascii="Lucida Bright" w:hAnsi="Lucida Bright" w:cs="Calibri"/>
                <w:sz w:val="14"/>
                <w:szCs w:val="14"/>
                <w:lang w:val="es-ES"/>
              </w:rPr>
              <w:t>metali</w:t>
            </w:r>
            <w:proofErr w:type="spellEnd"/>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13.590,13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(11.740,26) </w:t>
            </w:r>
          </w:p>
        </w:tc>
        <w:tc>
          <w:tcPr>
            <w:tcW w:w="1141"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(1.849,87) </w:t>
            </w:r>
          </w:p>
        </w:tc>
      </w:tr>
      <w:tr w:rsidR="00CA3107" w:rsidRPr="00CA3107" w:rsidTr="00CA3107">
        <w:trPr>
          <w:trHeight w:val="3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10/10/2023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459"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xml:space="preserve">Instalaciones, conducciones y </w:t>
            </w:r>
            <w:proofErr w:type="spellStart"/>
            <w:r w:rsidRPr="00CA3107">
              <w:rPr>
                <w:rFonts w:ascii="Lucida Bright" w:hAnsi="Lucida Bright" w:cs="Calibri"/>
                <w:sz w:val="14"/>
                <w:szCs w:val="14"/>
                <w:lang w:val="es-ES"/>
              </w:rPr>
              <w:t>alumb</w:t>
            </w:r>
            <w:proofErr w:type="spellEnd"/>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44.912,59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(44.912,59) </w:t>
            </w:r>
          </w:p>
        </w:tc>
        <w:tc>
          <w:tcPr>
            <w:tcW w:w="1141"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10/10/2023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459"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Caminos, zonas circulación y aparca</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5.282,62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(5.282,62) </w:t>
            </w:r>
          </w:p>
        </w:tc>
        <w:tc>
          <w:tcPr>
            <w:tcW w:w="1141"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0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10/10/2023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459" w:type="dxa"/>
            <w:tcBorders>
              <w:top w:val="nil"/>
              <w:left w:val="nil"/>
              <w:bottom w:val="single" w:sz="4" w:space="0" w:color="auto"/>
              <w:right w:val="single" w:sz="4" w:space="0" w:color="auto"/>
            </w:tcBorders>
            <w:shd w:val="clear" w:color="auto" w:fill="auto"/>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Material diverso</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138.397,09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(138.397,09) </w:t>
            </w:r>
          </w:p>
        </w:tc>
        <w:tc>
          <w:tcPr>
            <w:tcW w:w="1141"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 </w:t>
            </w:r>
          </w:p>
        </w:tc>
      </w:tr>
      <w:tr w:rsidR="00CA3107" w:rsidRPr="00CA3107" w:rsidTr="00CA3107">
        <w:trPr>
          <w:trHeight w:val="360"/>
        </w:trPr>
        <w:tc>
          <w:tcPr>
            <w:tcW w:w="1040" w:type="dxa"/>
            <w:tcBorders>
              <w:top w:val="nil"/>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31/12/2023</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Baja</w:t>
            </w:r>
          </w:p>
        </w:tc>
        <w:tc>
          <w:tcPr>
            <w:tcW w:w="1459" w:type="dxa"/>
            <w:tcBorders>
              <w:top w:val="nil"/>
              <w:left w:val="nil"/>
              <w:bottom w:val="single" w:sz="4" w:space="0" w:color="auto"/>
              <w:right w:val="single" w:sz="4" w:space="0" w:color="auto"/>
            </w:tcBorders>
            <w:shd w:val="clear" w:color="000000" w:fill="FFFFFF"/>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Estudios y asistencias técnicas en curso</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237.041,42 </w:t>
            </w:r>
          </w:p>
        </w:tc>
        <w:tc>
          <w:tcPr>
            <w:tcW w:w="1200"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141" w:type="dxa"/>
            <w:tcBorders>
              <w:top w:val="nil"/>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sz w:val="14"/>
                <w:szCs w:val="14"/>
                <w:lang w:val="es-ES"/>
              </w:rPr>
            </w:pPr>
            <w:r w:rsidRPr="00CA3107">
              <w:rPr>
                <w:rFonts w:ascii="Lucida Bright" w:hAnsi="Lucida Bright" w:cs="Calibri"/>
                <w:sz w:val="14"/>
                <w:szCs w:val="14"/>
                <w:lang w:val="es-ES"/>
              </w:rPr>
              <w:t xml:space="preserve">(237.041,42) </w:t>
            </w:r>
          </w:p>
        </w:tc>
      </w:tr>
      <w:tr w:rsidR="00CA3107" w:rsidRPr="00CA3107" w:rsidTr="00CA3107">
        <w:trPr>
          <w:trHeight w:val="300"/>
        </w:trPr>
        <w:tc>
          <w:tcPr>
            <w:tcW w:w="369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A3107" w:rsidRPr="00CA3107" w:rsidRDefault="00CA3107" w:rsidP="00CA3107">
            <w:pPr>
              <w:jc w:val="center"/>
              <w:rPr>
                <w:rFonts w:ascii="Lucida Bright" w:hAnsi="Lucida Bright" w:cs="Calibri"/>
                <w:b/>
                <w:bCs/>
                <w:sz w:val="14"/>
                <w:szCs w:val="14"/>
                <w:lang w:val="es-ES"/>
              </w:rPr>
            </w:pPr>
            <w:r w:rsidRPr="00CA3107">
              <w:rPr>
                <w:rFonts w:ascii="Lucida Bright" w:hAnsi="Lucida Bright" w:cs="Calibri"/>
                <w:b/>
                <w:bCs/>
                <w:sz w:val="14"/>
                <w:szCs w:val="14"/>
                <w:lang w:val="es-ES"/>
              </w:rPr>
              <w:t>Subtotal inmovilizado material</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b/>
                <w:bCs/>
                <w:sz w:val="14"/>
                <w:szCs w:val="14"/>
                <w:lang w:val="es-ES"/>
              </w:rPr>
            </w:pPr>
            <w:r w:rsidRPr="00CA3107">
              <w:rPr>
                <w:rFonts w:ascii="Lucida Bright" w:hAnsi="Lucida Bright" w:cs="Calibri"/>
                <w:b/>
                <w:bCs/>
                <w:sz w:val="14"/>
                <w:szCs w:val="14"/>
                <w:lang w:val="es-ES"/>
              </w:rPr>
              <w:t xml:space="preserve">4.170.604,08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b/>
                <w:bCs/>
                <w:sz w:val="14"/>
                <w:szCs w:val="14"/>
                <w:lang w:val="es-ES"/>
              </w:rPr>
            </w:pPr>
            <w:r w:rsidRPr="00CA3107">
              <w:rPr>
                <w:rFonts w:ascii="Lucida Bright" w:hAnsi="Lucida Bright" w:cs="Calibri"/>
                <w:b/>
                <w:bCs/>
                <w:sz w:val="14"/>
                <w:szCs w:val="14"/>
                <w:lang w:val="es-ES"/>
              </w:rPr>
              <w:t xml:space="preserve">(3.822.920,31) </w:t>
            </w:r>
          </w:p>
        </w:tc>
        <w:tc>
          <w:tcPr>
            <w:tcW w:w="1141"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b/>
                <w:bCs/>
                <w:sz w:val="14"/>
                <w:szCs w:val="14"/>
                <w:lang w:val="es-ES"/>
              </w:rPr>
            </w:pPr>
            <w:r w:rsidRPr="00CA3107">
              <w:rPr>
                <w:rFonts w:ascii="Lucida Bright" w:hAnsi="Lucida Bright" w:cs="Calibri"/>
                <w:b/>
                <w:bCs/>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b/>
                <w:bCs/>
                <w:sz w:val="14"/>
                <w:szCs w:val="14"/>
                <w:lang w:val="es-ES"/>
              </w:rPr>
            </w:pPr>
            <w:r w:rsidRPr="00CA3107">
              <w:rPr>
                <w:rFonts w:ascii="Lucida Bright" w:hAnsi="Lucida Bright" w:cs="Calibri"/>
                <w:b/>
                <w:bCs/>
                <w:sz w:val="14"/>
                <w:szCs w:val="14"/>
                <w:lang w:val="es-ES"/>
              </w:rPr>
              <w:t xml:space="preserve">(347.683,77) </w:t>
            </w:r>
          </w:p>
        </w:tc>
      </w:tr>
      <w:tr w:rsidR="00CA3107" w:rsidRPr="00CA3107" w:rsidTr="00CA3107">
        <w:trPr>
          <w:trHeight w:val="300"/>
        </w:trPr>
        <w:tc>
          <w:tcPr>
            <w:tcW w:w="3699" w:type="dxa"/>
            <w:gridSpan w:val="3"/>
            <w:tcBorders>
              <w:top w:val="nil"/>
              <w:left w:val="single" w:sz="4" w:space="0" w:color="auto"/>
              <w:bottom w:val="nil"/>
              <w:right w:val="nil"/>
            </w:tcBorders>
            <w:shd w:val="clear" w:color="000000" w:fill="FFFFFF"/>
            <w:noWrap/>
            <w:vAlign w:val="bottom"/>
            <w:hideMark/>
          </w:tcPr>
          <w:p w:rsidR="00CA3107" w:rsidRPr="00CA3107" w:rsidRDefault="00CA3107" w:rsidP="00CA3107">
            <w:pPr>
              <w:rPr>
                <w:rFonts w:ascii="Lucida Bright" w:hAnsi="Lucida Bright" w:cs="Calibri"/>
                <w:b/>
                <w:bCs/>
                <w:sz w:val="14"/>
                <w:szCs w:val="14"/>
                <w:lang w:val="es-ES"/>
              </w:rPr>
            </w:pPr>
            <w:r w:rsidRPr="00CA3107">
              <w:rPr>
                <w:rFonts w:ascii="Lucida Bright" w:hAnsi="Lucida Bright" w:cs="Calibri"/>
                <w:b/>
                <w:bCs/>
                <w:sz w:val="14"/>
                <w:szCs w:val="14"/>
                <w:lang w:val="es-ES"/>
              </w:rPr>
              <w:t>Activos no corrientes mantenidos para la venta</w:t>
            </w:r>
          </w:p>
        </w:tc>
        <w:tc>
          <w:tcPr>
            <w:tcW w:w="1200" w:type="dxa"/>
            <w:tcBorders>
              <w:top w:val="nil"/>
              <w:left w:val="nil"/>
              <w:bottom w:val="nil"/>
              <w:right w:val="nil"/>
            </w:tcBorders>
            <w:shd w:val="clear" w:color="000000" w:fill="FFFFFF"/>
            <w:noWrap/>
            <w:vAlign w:val="bottom"/>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nil"/>
              <w:right w:val="nil"/>
            </w:tcBorders>
            <w:shd w:val="clear" w:color="000000" w:fill="FFFFFF"/>
            <w:noWrap/>
            <w:vAlign w:val="bottom"/>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141" w:type="dxa"/>
            <w:tcBorders>
              <w:top w:val="nil"/>
              <w:left w:val="nil"/>
              <w:bottom w:val="nil"/>
              <w:right w:val="nil"/>
            </w:tcBorders>
            <w:shd w:val="clear" w:color="000000" w:fill="FFFFFF"/>
            <w:noWrap/>
            <w:vAlign w:val="bottom"/>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nil"/>
              <w:right w:val="single" w:sz="4" w:space="0" w:color="auto"/>
            </w:tcBorders>
            <w:shd w:val="clear" w:color="000000" w:fill="FFFFFF"/>
            <w:noWrap/>
            <w:vAlign w:val="bottom"/>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r>
      <w:tr w:rsidR="00CA3107" w:rsidRPr="00CA3107" w:rsidTr="00CA3107">
        <w:trPr>
          <w:trHeight w:val="300"/>
        </w:trPr>
        <w:tc>
          <w:tcPr>
            <w:tcW w:w="1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459" w:type="dxa"/>
            <w:tcBorders>
              <w:top w:val="single" w:sz="4" w:space="0" w:color="auto"/>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141" w:type="dxa"/>
            <w:tcBorders>
              <w:top w:val="single" w:sz="4" w:space="0" w:color="auto"/>
              <w:left w:val="nil"/>
              <w:bottom w:val="single" w:sz="4" w:space="0" w:color="auto"/>
              <w:right w:val="single" w:sz="4" w:space="0" w:color="auto"/>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r>
      <w:tr w:rsidR="00CA3107" w:rsidRPr="00CA3107" w:rsidTr="00CA3107">
        <w:trPr>
          <w:trHeight w:val="300"/>
        </w:trPr>
        <w:tc>
          <w:tcPr>
            <w:tcW w:w="609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A3107" w:rsidRPr="00CA3107" w:rsidRDefault="00CA3107" w:rsidP="00CA3107">
            <w:pPr>
              <w:rPr>
                <w:rFonts w:ascii="Lucida Bright" w:hAnsi="Lucida Bright" w:cs="Calibri"/>
                <w:b/>
                <w:bCs/>
                <w:sz w:val="14"/>
                <w:szCs w:val="14"/>
                <w:lang w:val="es-ES"/>
              </w:rPr>
            </w:pPr>
            <w:r w:rsidRPr="00CA3107">
              <w:rPr>
                <w:rFonts w:ascii="Lucida Bright" w:hAnsi="Lucida Bright" w:cs="Calibri"/>
                <w:b/>
                <w:bCs/>
                <w:sz w:val="14"/>
                <w:szCs w:val="14"/>
                <w:lang w:val="es-ES"/>
              </w:rPr>
              <w:t>Subtotal activos no corrientes mantenidos para la venta</w:t>
            </w:r>
          </w:p>
        </w:tc>
        <w:tc>
          <w:tcPr>
            <w:tcW w:w="1141"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b/>
                <w:bCs/>
                <w:sz w:val="14"/>
                <w:szCs w:val="14"/>
                <w:lang w:val="es-ES"/>
              </w:rPr>
            </w:pPr>
            <w:r w:rsidRPr="00CA3107">
              <w:rPr>
                <w:rFonts w:ascii="Lucida Bright" w:hAnsi="Lucida Bright" w:cs="Calibri"/>
                <w:b/>
                <w:bCs/>
                <w:sz w:val="14"/>
                <w:szCs w:val="14"/>
                <w:lang w:val="es-ES"/>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b/>
                <w:bCs/>
                <w:sz w:val="14"/>
                <w:szCs w:val="14"/>
                <w:lang w:val="es-ES"/>
              </w:rPr>
            </w:pPr>
            <w:r w:rsidRPr="00CA3107">
              <w:rPr>
                <w:rFonts w:ascii="Lucida Bright" w:hAnsi="Lucida Bright" w:cs="Calibri"/>
                <w:b/>
                <w:bCs/>
                <w:sz w:val="14"/>
                <w:szCs w:val="14"/>
                <w:lang w:val="es-ES"/>
              </w:rPr>
              <w:t xml:space="preserve">- </w:t>
            </w:r>
          </w:p>
        </w:tc>
      </w:tr>
      <w:tr w:rsidR="00CA3107" w:rsidRPr="00CA3107" w:rsidTr="00CA3107">
        <w:trPr>
          <w:trHeight w:val="300"/>
        </w:trPr>
        <w:tc>
          <w:tcPr>
            <w:tcW w:w="1040" w:type="dxa"/>
            <w:tcBorders>
              <w:top w:val="nil"/>
              <w:left w:val="nil"/>
              <w:bottom w:val="nil"/>
              <w:right w:val="nil"/>
            </w:tcBorders>
            <w:shd w:val="clear" w:color="000000" w:fill="FFFFFF"/>
            <w:noWrap/>
            <w:vAlign w:val="center"/>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nil"/>
              <w:right w:val="nil"/>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459" w:type="dxa"/>
            <w:tcBorders>
              <w:top w:val="nil"/>
              <w:left w:val="nil"/>
              <w:bottom w:val="nil"/>
              <w:right w:val="nil"/>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nil"/>
              <w:right w:val="nil"/>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nil"/>
              <w:right w:val="nil"/>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141" w:type="dxa"/>
            <w:tcBorders>
              <w:top w:val="nil"/>
              <w:left w:val="nil"/>
              <w:bottom w:val="nil"/>
              <w:right w:val="nil"/>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nil"/>
              <w:right w:val="nil"/>
            </w:tcBorders>
            <w:shd w:val="clear" w:color="000000" w:fill="FFFFFF"/>
            <w:noWrap/>
            <w:vAlign w:val="center"/>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r>
      <w:tr w:rsidR="00CA3107" w:rsidRPr="00CA3107" w:rsidTr="00CA3107">
        <w:trPr>
          <w:trHeight w:val="30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3107" w:rsidRPr="00CA3107" w:rsidRDefault="00CA3107" w:rsidP="00CA3107">
            <w:pPr>
              <w:jc w:val="center"/>
              <w:rPr>
                <w:rFonts w:ascii="Lucida Bright" w:hAnsi="Lucida Bright" w:cs="Calibri"/>
                <w:b/>
                <w:bCs/>
                <w:sz w:val="14"/>
                <w:szCs w:val="14"/>
                <w:lang w:val="es-ES"/>
              </w:rPr>
            </w:pPr>
            <w:r w:rsidRPr="00CA3107">
              <w:rPr>
                <w:rFonts w:ascii="Lucida Bright" w:hAnsi="Lucida Bright" w:cs="Calibri"/>
                <w:b/>
                <w:bCs/>
                <w:sz w:val="14"/>
                <w:szCs w:val="14"/>
                <w:lang w:val="es-ES"/>
              </w:rPr>
              <w:t>TOTAL</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CA3107" w:rsidRPr="00CA3107" w:rsidRDefault="00CA3107" w:rsidP="00CA3107">
            <w:pPr>
              <w:rPr>
                <w:rFonts w:ascii="Lucida Bright" w:hAnsi="Lucida Bright" w:cs="Calibri"/>
                <w:b/>
                <w:bCs/>
                <w:sz w:val="14"/>
                <w:szCs w:val="14"/>
                <w:lang w:val="es-ES"/>
              </w:rPr>
            </w:pPr>
            <w:r w:rsidRPr="00CA3107">
              <w:rPr>
                <w:rFonts w:ascii="Lucida Bright" w:hAnsi="Lucida Bright" w:cs="Calibri"/>
                <w:b/>
                <w:bCs/>
                <w:sz w:val="14"/>
                <w:szCs w:val="14"/>
                <w:lang w:val="es-ES"/>
              </w:rPr>
              <w:t> </w:t>
            </w:r>
          </w:p>
        </w:tc>
        <w:tc>
          <w:tcPr>
            <w:tcW w:w="1459" w:type="dxa"/>
            <w:tcBorders>
              <w:top w:val="single" w:sz="4" w:space="0" w:color="auto"/>
              <w:left w:val="nil"/>
              <w:bottom w:val="single" w:sz="4" w:space="0" w:color="auto"/>
              <w:right w:val="single" w:sz="4" w:space="0" w:color="auto"/>
            </w:tcBorders>
            <w:shd w:val="clear" w:color="auto" w:fill="auto"/>
            <w:noWrap/>
            <w:vAlign w:val="center"/>
            <w:hideMark/>
          </w:tcPr>
          <w:p w:rsidR="00CA3107" w:rsidRPr="00CA3107" w:rsidRDefault="00CA3107" w:rsidP="00CA3107">
            <w:pPr>
              <w:rPr>
                <w:rFonts w:ascii="Lucida Bright" w:hAnsi="Lucida Bright" w:cs="Calibri"/>
                <w:b/>
                <w:bCs/>
                <w:sz w:val="14"/>
                <w:szCs w:val="14"/>
                <w:lang w:val="es-ES"/>
              </w:rPr>
            </w:pPr>
            <w:r w:rsidRPr="00CA3107">
              <w:rPr>
                <w:rFonts w:ascii="Lucida Bright" w:hAnsi="Lucida Bright" w:cs="Calibri"/>
                <w:b/>
                <w:bCs/>
                <w:sz w:val="14"/>
                <w:szCs w:val="14"/>
                <w:lang w:val="es-ES"/>
              </w:rPr>
              <w:t>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b/>
                <w:bCs/>
                <w:sz w:val="14"/>
                <w:szCs w:val="14"/>
                <w:lang w:val="es-ES"/>
              </w:rPr>
            </w:pPr>
            <w:r w:rsidRPr="00CA3107">
              <w:rPr>
                <w:rFonts w:ascii="Lucida Bright" w:hAnsi="Lucida Bright" w:cs="Calibri"/>
                <w:b/>
                <w:bCs/>
                <w:sz w:val="14"/>
                <w:szCs w:val="14"/>
                <w:lang w:val="es-ES"/>
              </w:rPr>
              <w:t xml:space="preserve">4.170.604,08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b/>
                <w:bCs/>
                <w:sz w:val="14"/>
                <w:szCs w:val="14"/>
                <w:lang w:val="es-ES"/>
              </w:rPr>
            </w:pPr>
            <w:r w:rsidRPr="00CA3107">
              <w:rPr>
                <w:rFonts w:ascii="Lucida Bright" w:hAnsi="Lucida Bright" w:cs="Calibri"/>
                <w:b/>
                <w:bCs/>
                <w:sz w:val="14"/>
                <w:szCs w:val="14"/>
                <w:lang w:val="es-ES"/>
              </w:rPr>
              <w:t xml:space="preserve">(3.822.920,31) </w:t>
            </w:r>
          </w:p>
        </w:tc>
        <w:tc>
          <w:tcPr>
            <w:tcW w:w="1141" w:type="dxa"/>
            <w:tcBorders>
              <w:top w:val="single" w:sz="4" w:space="0" w:color="auto"/>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b/>
                <w:bCs/>
                <w:sz w:val="14"/>
                <w:szCs w:val="14"/>
                <w:lang w:val="es-ES"/>
              </w:rPr>
            </w:pPr>
            <w:r w:rsidRPr="00CA3107">
              <w:rPr>
                <w:rFonts w:ascii="Lucida Bright" w:hAnsi="Lucida Bright" w:cs="Calibri"/>
                <w:b/>
                <w:bCs/>
                <w:sz w:val="14"/>
                <w:szCs w:val="14"/>
                <w:lang w:val="es-ES"/>
              </w:rPr>
              <w:t xml:space="preserve">-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b/>
                <w:bCs/>
                <w:sz w:val="14"/>
                <w:szCs w:val="14"/>
                <w:lang w:val="es-ES"/>
              </w:rPr>
            </w:pPr>
            <w:r w:rsidRPr="00CA3107">
              <w:rPr>
                <w:rFonts w:ascii="Lucida Bright" w:hAnsi="Lucida Bright" w:cs="Calibri"/>
                <w:b/>
                <w:bCs/>
                <w:sz w:val="14"/>
                <w:szCs w:val="14"/>
                <w:lang w:val="es-ES"/>
              </w:rPr>
              <w:t xml:space="preserve">(347.683,77) </w:t>
            </w:r>
          </w:p>
        </w:tc>
      </w:tr>
      <w:tr w:rsidR="00CA3107" w:rsidRPr="00CA3107" w:rsidTr="00CA3107">
        <w:trPr>
          <w:trHeight w:val="300"/>
        </w:trPr>
        <w:tc>
          <w:tcPr>
            <w:tcW w:w="1040" w:type="dxa"/>
            <w:tcBorders>
              <w:top w:val="nil"/>
              <w:left w:val="nil"/>
              <w:bottom w:val="nil"/>
              <w:right w:val="nil"/>
            </w:tcBorders>
            <w:shd w:val="clear" w:color="000000" w:fill="FFFFFF"/>
            <w:noWrap/>
            <w:vAlign w:val="bottom"/>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nil"/>
              <w:right w:val="nil"/>
            </w:tcBorders>
            <w:shd w:val="clear" w:color="000000" w:fill="FFFFFF"/>
            <w:noWrap/>
            <w:vAlign w:val="bottom"/>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 </w:t>
            </w:r>
          </w:p>
        </w:tc>
        <w:tc>
          <w:tcPr>
            <w:tcW w:w="1459" w:type="dxa"/>
            <w:tcBorders>
              <w:top w:val="nil"/>
              <w:left w:val="nil"/>
              <w:bottom w:val="nil"/>
              <w:right w:val="nil"/>
            </w:tcBorders>
            <w:shd w:val="clear" w:color="000000" w:fill="FFFFFF"/>
            <w:noWrap/>
            <w:vAlign w:val="bottom"/>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nil"/>
              <w:right w:val="nil"/>
            </w:tcBorders>
            <w:shd w:val="clear" w:color="000000" w:fill="FFFFFF"/>
            <w:noWrap/>
            <w:vAlign w:val="bottom"/>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nil"/>
              <w:right w:val="nil"/>
            </w:tcBorders>
            <w:shd w:val="clear" w:color="000000" w:fill="FFFFFF"/>
            <w:noWrap/>
            <w:vAlign w:val="bottom"/>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141" w:type="dxa"/>
            <w:tcBorders>
              <w:top w:val="nil"/>
              <w:left w:val="nil"/>
              <w:bottom w:val="nil"/>
              <w:right w:val="nil"/>
            </w:tcBorders>
            <w:shd w:val="clear" w:color="000000" w:fill="FFFFFF"/>
            <w:noWrap/>
            <w:vAlign w:val="bottom"/>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nil"/>
              <w:right w:val="nil"/>
            </w:tcBorders>
            <w:shd w:val="clear" w:color="000000" w:fill="FFFFFF"/>
            <w:noWrap/>
            <w:vAlign w:val="bottom"/>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 </w:t>
            </w:r>
          </w:p>
        </w:tc>
      </w:tr>
      <w:tr w:rsidR="00CA3107" w:rsidRPr="00CA3107" w:rsidTr="00CA3107">
        <w:trPr>
          <w:trHeight w:val="300"/>
        </w:trPr>
        <w:tc>
          <w:tcPr>
            <w:tcW w:w="1040" w:type="dxa"/>
            <w:tcBorders>
              <w:top w:val="nil"/>
              <w:left w:val="nil"/>
              <w:bottom w:val="nil"/>
              <w:right w:val="nil"/>
            </w:tcBorders>
            <w:shd w:val="clear" w:color="000000" w:fill="FFFFFF"/>
            <w:noWrap/>
            <w:vAlign w:val="bottom"/>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nil"/>
              <w:right w:val="nil"/>
            </w:tcBorders>
            <w:shd w:val="clear" w:color="000000" w:fill="FFFFFF"/>
            <w:noWrap/>
            <w:vAlign w:val="bottom"/>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 </w:t>
            </w:r>
          </w:p>
        </w:tc>
        <w:tc>
          <w:tcPr>
            <w:tcW w:w="1459" w:type="dxa"/>
            <w:tcBorders>
              <w:top w:val="nil"/>
              <w:left w:val="nil"/>
              <w:bottom w:val="nil"/>
              <w:right w:val="nil"/>
            </w:tcBorders>
            <w:shd w:val="clear" w:color="000000" w:fill="FFFFFF"/>
            <w:noWrap/>
            <w:vAlign w:val="bottom"/>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nil"/>
              <w:right w:val="nil"/>
            </w:tcBorders>
            <w:shd w:val="clear" w:color="000000" w:fill="FFFFFF"/>
            <w:noWrap/>
            <w:vAlign w:val="bottom"/>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single" w:sz="4" w:space="0" w:color="auto"/>
              <w:left w:val="single" w:sz="4" w:space="0" w:color="auto"/>
              <w:bottom w:val="single" w:sz="4" w:space="0" w:color="auto"/>
              <w:right w:val="nil"/>
            </w:tcBorders>
            <w:shd w:val="clear" w:color="000000" w:fill="FFFFFF"/>
            <w:noWrap/>
            <w:vAlign w:val="bottom"/>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b/>
                <w:bCs/>
                <w:sz w:val="14"/>
                <w:szCs w:val="14"/>
                <w:lang w:val="es-ES"/>
              </w:rPr>
            </w:pPr>
            <w:r w:rsidRPr="00CA3107">
              <w:rPr>
                <w:rFonts w:ascii="Lucida Bright" w:hAnsi="Lucida Bright" w:cs="Calibri"/>
                <w:b/>
                <w:bCs/>
                <w:sz w:val="14"/>
                <w:szCs w:val="14"/>
                <w:lang w:val="es-ES"/>
              </w:rPr>
              <w:t xml:space="preserve">Total Beneficios </w:t>
            </w:r>
          </w:p>
        </w:tc>
        <w:tc>
          <w:tcPr>
            <w:tcW w:w="1200" w:type="dxa"/>
            <w:tcBorders>
              <w:top w:val="single" w:sz="4" w:space="0" w:color="auto"/>
              <w:left w:val="nil"/>
              <w:bottom w:val="nil"/>
              <w:right w:val="single" w:sz="4" w:space="0" w:color="auto"/>
            </w:tcBorders>
            <w:shd w:val="clear" w:color="auto" w:fill="auto"/>
            <w:noWrap/>
            <w:vAlign w:val="center"/>
            <w:hideMark/>
          </w:tcPr>
          <w:p w:rsidR="00CA3107" w:rsidRPr="00CA3107" w:rsidRDefault="00CA3107" w:rsidP="00CA3107">
            <w:pPr>
              <w:rPr>
                <w:rFonts w:ascii="Lucida Bright" w:hAnsi="Lucida Bright" w:cs="Calibri"/>
                <w:b/>
                <w:bCs/>
                <w:sz w:val="14"/>
                <w:szCs w:val="14"/>
                <w:lang w:val="es-ES"/>
              </w:rPr>
            </w:pPr>
            <w:r w:rsidRPr="00CA3107">
              <w:rPr>
                <w:rFonts w:ascii="Lucida Bright" w:hAnsi="Lucida Bright" w:cs="Calibri"/>
                <w:b/>
                <w:bCs/>
                <w:sz w:val="14"/>
                <w:szCs w:val="14"/>
                <w:lang w:val="es-ES"/>
              </w:rPr>
              <w:t> </w:t>
            </w:r>
          </w:p>
        </w:tc>
      </w:tr>
      <w:tr w:rsidR="00CA3107" w:rsidRPr="00CA3107" w:rsidTr="00CA3107">
        <w:trPr>
          <w:trHeight w:val="300"/>
        </w:trPr>
        <w:tc>
          <w:tcPr>
            <w:tcW w:w="1040" w:type="dxa"/>
            <w:tcBorders>
              <w:top w:val="nil"/>
              <w:left w:val="nil"/>
              <w:bottom w:val="nil"/>
              <w:right w:val="nil"/>
            </w:tcBorders>
            <w:shd w:val="clear" w:color="000000" w:fill="FFFFFF"/>
            <w:noWrap/>
            <w:vAlign w:val="bottom"/>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nil"/>
              <w:right w:val="nil"/>
            </w:tcBorders>
            <w:shd w:val="clear" w:color="000000" w:fill="FFFFFF"/>
            <w:noWrap/>
            <w:vAlign w:val="bottom"/>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 </w:t>
            </w:r>
          </w:p>
        </w:tc>
        <w:tc>
          <w:tcPr>
            <w:tcW w:w="1459" w:type="dxa"/>
            <w:tcBorders>
              <w:top w:val="nil"/>
              <w:left w:val="nil"/>
              <w:bottom w:val="nil"/>
              <w:right w:val="nil"/>
            </w:tcBorders>
            <w:shd w:val="clear" w:color="000000" w:fill="FFFFFF"/>
            <w:noWrap/>
            <w:vAlign w:val="bottom"/>
            <w:hideMark/>
          </w:tcPr>
          <w:p w:rsidR="00CA3107" w:rsidRPr="00CA3107" w:rsidRDefault="00CA3107" w:rsidP="00CA3107">
            <w:pPr>
              <w:jc w:val="cente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nil"/>
              <w:bottom w:val="nil"/>
              <w:right w:val="nil"/>
            </w:tcBorders>
            <w:shd w:val="clear" w:color="000000" w:fill="FFFFFF"/>
            <w:noWrap/>
            <w:vAlign w:val="bottom"/>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200" w:type="dxa"/>
            <w:tcBorders>
              <w:top w:val="nil"/>
              <w:left w:val="single" w:sz="4" w:space="0" w:color="auto"/>
              <w:bottom w:val="single" w:sz="4" w:space="0" w:color="auto"/>
              <w:right w:val="nil"/>
            </w:tcBorders>
            <w:shd w:val="clear" w:color="000000" w:fill="FFFFFF"/>
            <w:noWrap/>
            <w:vAlign w:val="bottom"/>
            <w:hideMark/>
          </w:tcPr>
          <w:p w:rsidR="00CA3107" w:rsidRPr="00CA3107" w:rsidRDefault="00CA3107" w:rsidP="00CA3107">
            <w:pPr>
              <w:rPr>
                <w:rFonts w:ascii="Lucida Bright" w:hAnsi="Lucida Bright" w:cs="Calibri"/>
                <w:sz w:val="14"/>
                <w:szCs w:val="14"/>
                <w:lang w:val="es-ES"/>
              </w:rPr>
            </w:pPr>
            <w:r w:rsidRPr="00CA3107">
              <w:rPr>
                <w:rFonts w:ascii="Lucida Bright" w:hAnsi="Lucida Bright" w:cs="Calibri"/>
                <w:sz w:val="14"/>
                <w:szCs w:val="14"/>
                <w:lang w:val="es-ES"/>
              </w:rPr>
              <w:t> </w:t>
            </w:r>
          </w:p>
        </w:tc>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b/>
                <w:bCs/>
                <w:sz w:val="14"/>
                <w:szCs w:val="14"/>
                <w:lang w:val="es-ES"/>
              </w:rPr>
            </w:pPr>
            <w:r w:rsidRPr="00CA3107">
              <w:rPr>
                <w:rFonts w:ascii="Lucida Bright" w:hAnsi="Lucida Bright" w:cs="Calibri"/>
                <w:b/>
                <w:bCs/>
                <w:sz w:val="14"/>
                <w:szCs w:val="14"/>
                <w:lang w:val="es-ES"/>
              </w:rPr>
              <w:t xml:space="preserve">Total Pérdidas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CA3107" w:rsidRPr="00CA3107" w:rsidRDefault="00CA3107" w:rsidP="00CA3107">
            <w:pPr>
              <w:jc w:val="right"/>
              <w:rPr>
                <w:rFonts w:ascii="Lucida Bright" w:hAnsi="Lucida Bright" w:cs="Calibri"/>
                <w:b/>
                <w:bCs/>
                <w:sz w:val="14"/>
                <w:szCs w:val="14"/>
                <w:lang w:val="es-ES"/>
              </w:rPr>
            </w:pPr>
            <w:r w:rsidRPr="00CA3107">
              <w:rPr>
                <w:rFonts w:ascii="Lucida Bright" w:hAnsi="Lucida Bright" w:cs="Calibri"/>
                <w:b/>
                <w:bCs/>
                <w:sz w:val="14"/>
                <w:szCs w:val="14"/>
                <w:lang w:val="es-ES"/>
              </w:rPr>
              <w:t xml:space="preserve">(347.683,77) </w:t>
            </w:r>
          </w:p>
        </w:tc>
      </w:tr>
    </w:tbl>
    <w:p w:rsidR="00730C10" w:rsidRPr="007E1479" w:rsidRDefault="00730C10" w:rsidP="008E6B9A">
      <w:pPr>
        <w:tabs>
          <w:tab w:val="right" w:pos="8364"/>
        </w:tabs>
        <w:jc w:val="both"/>
        <w:rPr>
          <w:rFonts w:ascii="NewBaskerville" w:hAnsi="NewBaskerville"/>
          <w:bCs/>
        </w:rPr>
      </w:pPr>
    </w:p>
    <w:p w:rsidR="007E1479" w:rsidRDefault="007E1479">
      <w:pPr>
        <w:tabs>
          <w:tab w:val="right" w:pos="8364"/>
        </w:tabs>
        <w:ind w:firstLine="540"/>
        <w:jc w:val="both"/>
        <w:rPr>
          <w:bCs/>
        </w:rPr>
      </w:pPr>
    </w:p>
    <w:p w:rsidR="007E1479" w:rsidRDefault="007E1479">
      <w:pPr>
        <w:tabs>
          <w:tab w:val="right" w:pos="8364"/>
        </w:tabs>
        <w:ind w:firstLine="540"/>
        <w:jc w:val="both"/>
        <w:rPr>
          <w:bCs/>
        </w:rPr>
      </w:pPr>
    </w:p>
    <w:p w:rsidR="000B4249" w:rsidRDefault="000B4249" w:rsidP="00187A36">
      <w:pPr>
        <w:tabs>
          <w:tab w:val="right" w:pos="8364"/>
        </w:tabs>
        <w:jc w:val="both"/>
        <w:rPr>
          <w:bCs/>
        </w:rPr>
        <w:sectPr w:rsidR="000B4249" w:rsidSect="00790C4F">
          <w:pgSz w:w="11907" w:h="16840" w:code="9"/>
          <w:pgMar w:top="1701" w:right="1418" w:bottom="1701" w:left="1985" w:header="567" w:footer="720" w:gutter="0"/>
          <w:cols w:space="720"/>
          <w:docGrid w:linePitch="272"/>
        </w:sectPr>
      </w:pPr>
    </w:p>
    <w:p w:rsidR="002C4355" w:rsidRPr="00E73E9C" w:rsidRDefault="00F706A9" w:rsidP="00997D65">
      <w:pPr>
        <w:pStyle w:val="ListParagraph1"/>
        <w:ind w:left="0"/>
        <w:rPr>
          <w:rFonts w:ascii="NewBaskerville" w:hAnsi="NewBaskerville"/>
          <w:b/>
          <w:bCs/>
          <w:sz w:val="24"/>
          <w:szCs w:val="24"/>
        </w:rPr>
      </w:pPr>
      <w:r w:rsidRPr="00E73E9C">
        <w:rPr>
          <w:rFonts w:ascii="NewBaskerville" w:hAnsi="NewBaskerville"/>
          <w:b/>
          <w:bCs/>
          <w:sz w:val="24"/>
          <w:szCs w:val="24"/>
        </w:rPr>
        <w:lastRenderedPageBreak/>
        <w:t>7</w:t>
      </w:r>
      <w:r w:rsidR="00F348FE" w:rsidRPr="00E73E9C">
        <w:rPr>
          <w:rFonts w:ascii="NewBaskerville" w:hAnsi="NewBaskerville"/>
          <w:b/>
          <w:bCs/>
          <w:sz w:val="24"/>
          <w:szCs w:val="24"/>
        </w:rPr>
        <w:t xml:space="preserve">. </w:t>
      </w:r>
      <w:r w:rsidR="002C4355" w:rsidRPr="00E73E9C">
        <w:rPr>
          <w:rFonts w:ascii="NewBaskerville" w:hAnsi="NewBaskerville"/>
          <w:b/>
          <w:bCs/>
          <w:sz w:val="24"/>
          <w:szCs w:val="24"/>
        </w:rPr>
        <w:t>Inversiones inmobiliarias</w:t>
      </w:r>
    </w:p>
    <w:p w:rsidR="008323F0" w:rsidRDefault="008323F0" w:rsidP="008323F0">
      <w:pPr>
        <w:ind w:right="35"/>
        <w:rPr>
          <w:rFonts w:ascii="Lucida Bright" w:eastAsia="Lucida Bright" w:hAnsi="Lucida Bright" w:cs="Lucida Bright"/>
          <w:b/>
          <w:bCs/>
          <w:color w:val="000000"/>
          <w:sz w:val="14"/>
        </w:rPr>
      </w:pPr>
    </w:p>
    <w:tbl>
      <w:tblPr>
        <w:tblpPr w:leftFromText="141" w:rightFromText="141" w:vertAnchor="text" w:horzAnchor="margin" w:tblpXSpec="center" w:tblpY="-52"/>
        <w:tblW w:w="5060" w:type="pct"/>
        <w:tblCellMar>
          <w:left w:w="70" w:type="dxa"/>
          <w:right w:w="70" w:type="dxa"/>
        </w:tblCellMar>
        <w:tblLook w:val="04A0" w:firstRow="1" w:lastRow="0" w:firstColumn="1" w:lastColumn="0" w:noHBand="0" w:noVBand="1"/>
      </w:tblPr>
      <w:tblGrid>
        <w:gridCol w:w="3055"/>
        <w:gridCol w:w="208"/>
        <w:gridCol w:w="1212"/>
        <w:gridCol w:w="1098"/>
        <w:gridCol w:w="987"/>
        <w:gridCol w:w="961"/>
        <w:gridCol w:w="917"/>
        <w:gridCol w:w="1293"/>
        <w:gridCol w:w="1029"/>
        <w:gridCol w:w="872"/>
        <w:gridCol w:w="898"/>
        <w:gridCol w:w="1212"/>
      </w:tblGrid>
      <w:tr w:rsidR="00FE2D1C" w:rsidRPr="00FE2D1C" w:rsidTr="00FE2D1C">
        <w:trPr>
          <w:trHeight w:val="300"/>
        </w:trPr>
        <w:tc>
          <w:tcPr>
            <w:tcW w:w="2387" w:type="pct"/>
            <w:gridSpan w:val="5"/>
            <w:tcBorders>
              <w:top w:val="nil"/>
              <w:left w:val="nil"/>
              <w:bottom w:val="single" w:sz="4" w:space="0" w:color="auto"/>
              <w:right w:val="nil"/>
            </w:tcBorders>
            <w:shd w:val="clear" w:color="auto" w:fill="auto"/>
            <w:noWrap/>
            <w:vAlign w:val="bottom"/>
            <w:hideMark/>
          </w:tcPr>
          <w:p w:rsidR="00FE2D1C" w:rsidRPr="00FE2D1C" w:rsidRDefault="00FE2D1C" w:rsidP="00FE2D1C">
            <w:pPr>
              <w:rPr>
                <w:rFonts w:ascii="Lucida Bright" w:hAnsi="Lucida Bright" w:cs="Calibri"/>
                <w:b/>
                <w:bCs/>
                <w:sz w:val="18"/>
                <w:szCs w:val="18"/>
                <w:lang w:val="es-ES"/>
              </w:rPr>
            </w:pPr>
            <w:r w:rsidRPr="00FE2D1C">
              <w:rPr>
                <w:rFonts w:ascii="Lucida Bright" w:hAnsi="Lucida Bright" w:cs="Calibri"/>
                <w:b/>
                <w:bCs/>
                <w:sz w:val="18"/>
                <w:szCs w:val="18"/>
                <w:lang w:val="es-ES"/>
              </w:rPr>
              <w:t>CUADRO: INVERSIONES INMOBILIARIAS 2023</w:t>
            </w:r>
          </w:p>
        </w:tc>
        <w:tc>
          <w:tcPr>
            <w:tcW w:w="350" w:type="pct"/>
            <w:tcBorders>
              <w:top w:val="nil"/>
              <w:left w:val="nil"/>
              <w:bottom w:val="nil"/>
              <w:right w:val="nil"/>
            </w:tcBorders>
            <w:shd w:val="clear" w:color="000000" w:fill="FFFFFF"/>
            <w:noWrap/>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34" w:type="pct"/>
            <w:tcBorders>
              <w:top w:val="nil"/>
              <w:left w:val="nil"/>
              <w:bottom w:val="nil"/>
              <w:right w:val="nil"/>
            </w:tcBorders>
            <w:shd w:val="clear" w:color="000000" w:fill="FFFFFF"/>
            <w:noWrap/>
            <w:vAlign w:val="bottom"/>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(en euros)</w:t>
            </w:r>
          </w:p>
        </w:tc>
        <w:tc>
          <w:tcPr>
            <w:tcW w:w="470" w:type="pct"/>
            <w:tcBorders>
              <w:top w:val="nil"/>
              <w:left w:val="nil"/>
              <w:bottom w:val="nil"/>
              <w:right w:val="nil"/>
            </w:tcBorders>
            <w:shd w:val="clear" w:color="000000" w:fill="FFFFFF"/>
            <w:noWrap/>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74" w:type="pct"/>
            <w:tcBorders>
              <w:top w:val="nil"/>
              <w:left w:val="nil"/>
              <w:bottom w:val="nil"/>
              <w:right w:val="nil"/>
            </w:tcBorders>
            <w:shd w:val="clear" w:color="000000" w:fill="FFFFFF"/>
            <w:noWrap/>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17" w:type="pct"/>
            <w:tcBorders>
              <w:top w:val="nil"/>
              <w:left w:val="nil"/>
              <w:bottom w:val="nil"/>
              <w:right w:val="nil"/>
            </w:tcBorders>
            <w:shd w:val="clear" w:color="000000" w:fill="FFFFFF"/>
            <w:noWrap/>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27" w:type="pct"/>
            <w:tcBorders>
              <w:top w:val="nil"/>
              <w:left w:val="nil"/>
              <w:bottom w:val="nil"/>
              <w:right w:val="nil"/>
            </w:tcBorders>
            <w:shd w:val="clear" w:color="000000" w:fill="FFFFFF"/>
            <w:noWrap/>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41" w:type="pct"/>
            <w:tcBorders>
              <w:top w:val="nil"/>
              <w:left w:val="nil"/>
              <w:bottom w:val="nil"/>
              <w:right w:val="nil"/>
            </w:tcBorders>
            <w:shd w:val="clear" w:color="000000" w:fill="FFFFFF"/>
            <w:noWrap/>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r>
      <w:tr w:rsidR="00FE2D1C" w:rsidRPr="00FE2D1C" w:rsidTr="00FE2D1C">
        <w:trPr>
          <w:trHeight w:val="900"/>
        </w:trPr>
        <w:tc>
          <w:tcPr>
            <w:tcW w:w="1111" w:type="pct"/>
            <w:tcBorders>
              <w:top w:val="nil"/>
              <w:left w:val="single" w:sz="4" w:space="0" w:color="auto"/>
              <w:bottom w:val="single" w:sz="4" w:space="0" w:color="auto"/>
              <w:right w:val="nil"/>
            </w:tcBorders>
            <w:shd w:val="clear" w:color="000000" w:fill="CCFFCC"/>
            <w:noWrap/>
            <w:vAlign w:val="center"/>
            <w:hideMark/>
          </w:tcPr>
          <w:p w:rsidR="00FE2D1C" w:rsidRPr="00FE2D1C" w:rsidRDefault="00FE2D1C" w:rsidP="00FE2D1C">
            <w:pPr>
              <w:jc w:val="center"/>
              <w:rPr>
                <w:rFonts w:ascii="Lucida Bright" w:hAnsi="Lucida Bright" w:cs="Calibri"/>
                <w:b/>
                <w:bCs/>
                <w:sz w:val="14"/>
                <w:szCs w:val="14"/>
                <w:lang w:val="es-ES"/>
              </w:rPr>
            </w:pPr>
            <w:r w:rsidRPr="00FE2D1C">
              <w:rPr>
                <w:rFonts w:ascii="Lucida Bright" w:hAnsi="Lucida Bright" w:cs="Calibri"/>
                <w:b/>
                <w:bCs/>
                <w:sz w:val="14"/>
                <w:szCs w:val="14"/>
                <w:lang w:val="es-ES"/>
              </w:rPr>
              <w:t>CONCEPTO</w:t>
            </w:r>
          </w:p>
        </w:tc>
        <w:tc>
          <w:tcPr>
            <w:tcW w:w="76" w:type="pct"/>
            <w:tcBorders>
              <w:top w:val="nil"/>
              <w:left w:val="nil"/>
              <w:bottom w:val="single" w:sz="4" w:space="0" w:color="auto"/>
              <w:right w:val="single" w:sz="4" w:space="0" w:color="auto"/>
            </w:tcBorders>
            <w:shd w:val="clear" w:color="000000" w:fill="CCFFCC"/>
            <w:noWrap/>
            <w:vAlign w:val="bottom"/>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41" w:type="pct"/>
            <w:tcBorders>
              <w:top w:val="nil"/>
              <w:left w:val="nil"/>
              <w:bottom w:val="nil"/>
              <w:right w:val="single" w:sz="4" w:space="0" w:color="auto"/>
            </w:tcBorders>
            <w:shd w:val="clear" w:color="000000" w:fill="CCFFCC"/>
            <w:vAlign w:val="center"/>
            <w:hideMark/>
          </w:tcPr>
          <w:p w:rsidR="00FE2D1C" w:rsidRPr="00FE2D1C" w:rsidRDefault="00FE2D1C" w:rsidP="00FE2D1C">
            <w:pPr>
              <w:jc w:val="center"/>
              <w:rPr>
                <w:rFonts w:ascii="Lucida Bright" w:hAnsi="Lucida Bright" w:cs="Calibri"/>
                <w:sz w:val="14"/>
                <w:szCs w:val="14"/>
                <w:lang w:val="es-ES"/>
              </w:rPr>
            </w:pPr>
            <w:r w:rsidRPr="00FE2D1C">
              <w:rPr>
                <w:rFonts w:ascii="Lucida Bright" w:hAnsi="Lucida Bright" w:cs="Calibri"/>
                <w:sz w:val="14"/>
                <w:szCs w:val="14"/>
                <w:lang w:val="es-ES"/>
              </w:rPr>
              <w:t>Saldo a</w:t>
            </w:r>
            <w:r w:rsidRPr="00FE2D1C">
              <w:rPr>
                <w:rFonts w:ascii="Lucida Bright" w:hAnsi="Lucida Bright" w:cs="Calibri"/>
                <w:sz w:val="14"/>
                <w:szCs w:val="14"/>
                <w:lang w:val="es-ES"/>
              </w:rPr>
              <w:br/>
              <w:t>31-12-22</w:t>
            </w:r>
          </w:p>
        </w:tc>
        <w:tc>
          <w:tcPr>
            <w:tcW w:w="400" w:type="pct"/>
            <w:tcBorders>
              <w:top w:val="nil"/>
              <w:left w:val="nil"/>
              <w:bottom w:val="single" w:sz="4" w:space="0" w:color="auto"/>
              <w:right w:val="single" w:sz="4" w:space="0" w:color="auto"/>
            </w:tcBorders>
            <w:shd w:val="clear" w:color="000000" w:fill="CCFFCC"/>
            <w:vAlign w:val="center"/>
            <w:hideMark/>
          </w:tcPr>
          <w:p w:rsidR="00FE2D1C" w:rsidRPr="00FE2D1C" w:rsidRDefault="00FE2D1C" w:rsidP="00FE2D1C">
            <w:pPr>
              <w:jc w:val="center"/>
              <w:rPr>
                <w:rFonts w:ascii="Lucida Bright" w:hAnsi="Lucida Bright" w:cs="Calibri"/>
                <w:sz w:val="14"/>
                <w:szCs w:val="14"/>
                <w:lang w:val="es-ES"/>
              </w:rPr>
            </w:pPr>
            <w:r w:rsidRPr="00FE2D1C">
              <w:rPr>
                <w:rFonts w:ascii="Lucida Bright" w:hAnsi="Lucida Bright" w:cs="Calibri"/>
                <w:sz w:val="14"/>
                <w:szCs w:val="14"/>
                <w:lang w:val="es-ES"/>
              </w:rPr>
              <w:t>Adquisiciones (+)</w:t>
            </w:r>
          </w:p>
        </w:tc>
        <w:tc>
          <w:tcPr>
            <w:tcW w:w="359" w:type="pct"/>
            <w:tcBorders>
              <w:top w:val="nil"/>
              <w:left w:val="nil"/>
              <w:bottom w:val="single" w:sz="4" w:space="0" w:color="auto"/>
              <w:right w:val="single" w:sz="4" w:space="0" w:color="auto"/>
            </w:tcBorders>
            <w:shd w:val="clear" w:color="000000" w:fill="CCFFCC"/>
            <w:vAlign w:val="center"/>
            <w:hideMark/>
          </w:tcPr>
          <w:p w:rsidR="00FE2D1C" w:rsidRPr="00FE2D1C" w:rsidRDefault="00FE2D1C" w:rsidP="00FE2D1C">
            <w:pPr>
              <w:jc w:val="center"/>
              <w:rPr>
                <w:rFonts w:ascii="Lucida Bright" w:hAnsi="Lucida Bright" w:cs="Calibri"/>
                <w:sz w:val="14"/>
                <w:szCs w:val="14"/>
                <w:lang w:val="es-ES"/>
              </w:rPr>
            </w:pPr>
            <w:r w:rsidRPr="00FE2D1C">
              <w:rPr>
                <w:rFonts w:ascii="Lucida Bright" w:hAnsi="Lucida Bright" w:cs="Calibri"/>
                <w:sz w:val="14"/>
                <w:szCs w:val="14"/>
                <w:lang w:val="es-ES"/>
              </w:rPr>
              <w:t>Concesiones revertidas, donaciones y legados (+)</w:t>
            </w:r>
          </w:p>
        </w:tc>
        <w:tc>
          <w:tcPr>
            <w:tcW w:w="350" w:type="pct"/>
            <w:tcBorders>
              <w:top w:val="single" w:sz="4" w:space="0" w:color="auto"/>
              <w:left w:val="nil"/>
              <w:bottom w:val="single" w:sz="4" w:space="0" w:color="auto"/>
              <w:right w:val="single" w:sz="4" w:space="0" w:color="auto"/>
            </w:tcBorders>
            <w:shd w:val="clear" w:color="000000" w:fill="CCFFCC"/>
            <w:vAlign w:val="center"/>
            <w:hideMark/>
          </w:tcPr>
          <w:p w:rsidR="00FE2D1C" w:rsidRPr="00FE2D1C" w:rsidRDefault="00FE2D1C" w:rsidP="00FE2D1C">
            <w:pPr>
              <w:jc w:val="center"/>
              <w:rPr>
                <w:rFonts w:ascii="Lucida Bright" w:hAnsi="Lucida Bright" w:cs="Calibri"/>
                <w:sz w:val="14"/>
                <w:szCs w:val="14"/>
                <w:lang w:val="es-ES"/>
              </w:rPr>
            </w:pPr>
            <w:r w:rsidRPr="00FE2D1C">
              <w:rPr>
                <w:rFonts w:ascii="Lucida Bright" w:hAnsi="Lucida Bright" w:cs="Calibri"/>
                <w:sz w:val="14"/>
                <w:szCs w:val="14"/>
                <w:lang w:val="es-ES"/>
              </w:rPr>
              <w:t>Rescate anticipado de concesiones (+)</w:t>
            </w:r>
          </w:p>
        </w:tc>
        <w:tc>
          <w:tcPr>
            <w:tcW w:w="334" w:type="pct"/>
            <w:tcBorders>
              <w:top w:val="single" w:sz="4" w:space="0" w:color="auto"/>
              <w:left w:val="nil"/>
              <w:bottom w:val="single" w:sz="4" w:space="0" w:color="auto"/>
              <w:right w:val="single" w:sz="4" w:space="0" w:color="auto"/>
            </w:tcBorders>
            <w:shd w:val="clear" w:color="000000" w:fill="CCFFCC"/>
            <w:vAlign w:val="center"/>
            <w:hideMark/>
          </w:tcPr>
          <w:p w:rsidR="00FE2D1C" w:rsidRPr="00FE2D1C" w:rsidRDefault="00FE2D1C" w:rsidP="00FE2D1C">
            <w:pPr>
              <w:jc w:val="center"/>
              <w:rPr>
                <w:rFonts w:ascii="Lucida Bright" w:hAnsi="Lucida Bright" w:cs="Calibri"/>
                <w:sz w:val="14"/>
                <w:szCs w:val="14"/>
                <w:lang w:val="es-ES"/>
              </w:rPr>
            </w:pPr>
            <w:r w:rsidRPr="00FE2D1C">
              <w:rPr>
                <w:rFonts w:ascii="Lucida Bright" w:hAnsi="Lucida Bright" w:cs="Calibri"/>
                <w:sz w:val="14"/>
                <w:szCs w:val="14"/>
                <w:lang w:val="es-ES"/>
              </w:rPr>
              <w:t>Ventas, retiros y bajas (-)</w:t>
            </w:r>
          </w:p>
        </w:tc>
        <w:tc>
          <w:tcPr>
            <w:tcW w:w="470" w:type="pct"/>
            <w:tcBorders>
              <w:top w:val="single" w:sz="4" w:space="0" w:color="auto"/>
              <w:left w:val="nil"/>
              <w:bottom w:val="nil"/>
              <w:right w:val="single" w:sz="4" w:space="0" w:color="auto"/>
            </w:tcBorders>
            <w:shd w:val="clear" w:color="000000" w:fill="CCFFCC"/>
            <w:vAlign w:val="center"/>
            <w:hideMark/>
          </w:tcPr>
          <w:p w:rsidR="00FE2D1C" w:rsidRPr="00FE2D1C" w:rsidRDefault="00FE2D1C" w:rsidP="00FE2D1C">
            <w:pPr>
              <w:jc w:val="center"/>
              <w:rPr>
                <w:rFonts w:ascii="Lucida Bright" w:hAnsi="Lucida Bright" w:cs="Calibri"/>
                <w:sz w:val="14"/>
                <w:szCs w:val="14"/>
                <w:lang w:val="es-ES"/>
              </w:rPr>
            </w:pPr>
            <w:r w:rsidRPr="00FE2D1C">
              <w:rPr>
                <w:rFonts w:ascii="Lucida Bright" w:hAnsi="Lucida Bright" w:cs="Calibri"/>
                <w:sz w:val="14"/>
                <w:szCs w:val="14"/>
                <w:lang w:val="es-ES"/>
              </w:rPr>
              <w:t>Reclasificaciones (+/-)</w:t>
            </w:r>
          </w:p>
        </w:tc>
        <w:tc>
          <w:tcPr>
            <w:tcW w:w="374" w:type="pct"/>
            <w:tcBorders>
              <w:top w:val="single" w:sz="4" w:space="0" w:color="auto"/>
              <w:left w:val="nil"/>
              <w:bottom w:val="nil"/>
              <w:right w:val="single" w:sz="4" w:space="0" w:color="auto"/>
            </w:tcBorders>
            <w:shd w:val="clear" w:color="000000" w:fill="CCFFCC"/>
            <w:vAlign w:val="center"/>
            <w:hideMark/>
          </w:tcPr>
          <w:p w:rsidR="00FE2D1C" w:rsidRPr="00FE2D1C" w:rsidRDefault="00FE2D1C" w:rsidP="00FE2D1C">
            <w:pPr>
              <w:jc w:val="center"/>
              <w:rPr>
                <w:rFonts w:ascii="Lucida Bright" w:hAnsi="Lucida Bright" w:cs="Calibri"/>
                <w:sz w:val="14"/>
                <w:szCs w:val="14"/>
                <w:lang w:val="es-ES"/>
              </w:rPr>
            </w:pPr>
            <w:r w:rsidRPr="00FE2D1C">
              <w:rPr>
                <w:rFonts w:ascii="Lucida Bright" w:hAnsi="Lucida Bright" w:cs="Calibri"/>
                <w:sz w:val="14"/>
                <w:szCs w:val="14"/>
                <w:lang w:val="es-ES"/>
              </w:rPr>
              <w:t>Traspaso a/de inmovilizado material (+/-)</w:t>
            </w:r>
          </w:p>
        </w:tc>
        <w:tc>
          <w:tcPr>
            <w:tcW w:w="317" w:type="pct"/>
            <w:tcBorders>
              <w:top w:val="single" w:sz="4" w:space="0" w:color="auto"/>
              <w:left w:val="nil"/>
              <w:bottom w:val="nil"/>
              <w:right w:val="single" w:sz="4" w:space="0" w:color="auto"/>
            </w:tcBorders>
            <w:shd w:val="clear" w:color="000000" w:fill="CCFFCC"/>
            <w:vAlign w:val="center"/>
            <w:hideMark/>
          </w:tcPr>
          <w:p w:rsidR="00FE2D1C" w:rsidRPr="00FE2D1C" w:rsidRDefault="00FE2D1C" w:rsidP="00FE2D1C">
            <w:pPr>
              <w:jc w:val="center"/>
              <w:rPr>
                <w:rFonts w:ascii="Lucida Bright" w:hAnsi="Lucida Bright" w:cs="Calibri"/>
                <w:sz w:val="14"/>
                <w:szCs w:val="14"/>
                <w:lang w:val="es-ES"/>
              </w:rPr>
            </w:pPr>
            <w:r w:rsidRPr="00FE2D1C">
              <w:rPr>
                <w:rFonts w:ascii="Lucida Bright" w:hAnsi="Lucida Bright" w:cs="Calibri"/>
                <w:sz w:val="14"/>
                <w:szCs w:val="14"/>
                <w:lang w:val="es-ES"/>
              </w:rPr>
              <w:t>Traspaso a activo no corriente mantenido para la venta (-)</w:t>
            </w:r>
          </w:p>
        </w:tc>
        <w:tc>
          <w:tcPr>
            <w:tcW w:w="327" w:type="pct"/>
            <w:tcBorders>
              <w:top w:val="single" w:sz="4" w:space="0" w:color="auto"/>
              <w:left w:val="nil"/>
              <w:bottom w:val="nil"/>
              <w:right w:val="single" w:sz="4" w:space="0" w:color="auto"/>
            </w:tcBorders>
            <w:shd w:val="clear" w:color="000000" w:fill="CCFFCC"/>
            <w:vAlign w:val="center"/>
            <w:hideMark/>
          </w:tcPr>
          <w:p w:rsidR="00FE2D1C" w:rsidRPr="00FE2D1C" w:rsidRDefault="00FE2D1C" w:rsidP="00FE2D1C">
            <w:pPr>
              <w:jc w:val="center"/>
              <w:rPr>
                <w:rFonts w:ascii="Lucida Bright" w:hAnsi="Lucida Bright" w:cs="Calibri"/>
                <w:sz w:val="14"/>
                <w:szCs w:val="14"/>
                <w:lang w:val="es-ES"/>
              </w:rPr>
            </w:pPr>
            <w:proofErr w:type="spellStart"/>
            <w:r w:rsidRPr="00FE2D1C">
              <w:rPr>
                <w:rFonts w:ascii="Lucida Bright" w:hAnsi="Lucida Bright" w:cs="Calibri"/>
                <w:sz w:val="14"/>
                <w:szCs w:val="14"/>
                <w:lang w:val="es-ES"/>
              </w:rPr>
              <w:t>Transf</w:t>
            </w:r>
            <w:proofErr w:type="spellEnd"/>
            <w:r w:rsidRPr="00FE2D1C">
              <w:rPr>
                <w:rFonts w:ascii="Lucida Bright" w:hAnsi="Lucida Bright" w:cs="Calibri"/>
                <w:sz w:val="14"/>
                <w:szCs w:val="14"/>
                <w:lang w:val="es-ES"/>
              </w:rPr>
              <w:t xml:space="preserve">. </w:t>
            </w:r>
            <w:proofErr w:type="gramStart"/>
            <w:r w:rsidRPr="00FE2D1C">
              <w:rPr>
                <w:rFonts w:ascii="Lucida Bright" w:hAnsi="Lucida Bright" w:cs="Calibri"/>
                <w:sz w:val="14"/>
                <w:szCs w:val="14"/>
                <w:lang w:val="es-ES"/>
              </w:rPr>
              <w:t>a</w:t>
            </w:r>
            <w:proofErr w:type="gramEnd"/>
            <w:r w:rsidRPr="00FE2D1C">
              <w:rPr>
                <w:rFonts w:ascii="Lucida Bright" w:hAnsi="Lucida Bright" w:cs="Calibri"/>
                <w:sz w:val="14"/>
                <w:szCs w:val="14"/>
                <w:lang w:val="es-ES"/>
              </w:rPr>
              <w:t xml:space="preserve"> otros </w:t>
            </w:r>
            <w:proofErr w:type="spellStart"/>
            <w:r w:rsidRPr="00FE2D1C">
              <w:rPr>
                <w:rFonts w:ascii="Lucida Bright" w:hAnsi="Lucida Bright" w:cs="Calibri"/>
                <w:sz w:val="14"/>
                <w:szCs w:val="14"/>
                <w:lang w:val="es-ES"/>
              </w:rPr>
              <w:t>Org</w:t>
            </w:r>
            <w:proofErr w:type="spellEnd"/>
            <w:r w:rsidRPr="00FE2D1C">
              <w:rPr>
                <w:rFonts w:ascii="Lucida Bright" w:hAnsi="Lucida Bright" w:cs="Calibri"/>
                <w:sz w:val="14"/>
                <w:szCs w:val="14"/>
                <w:lang w:val="es-ES"/>
              </w:rPr>
              <w:t xml:space="preserve">. </w:t>
            </w:r>
            <w:proofErr w:type="spellStart"/>
            <w:r w:rsidRPr="00FE2D1C">
              <w:rPr>
                <w:rFonts w:ascii="Lucida Bright" w:hAnsi="Lucida Bright" w:cs="Calibri"/>
                <w:sz w:val="14"/>
                <w:szCs w:val="14"/>
                <w:lang w:val="es-ES"/>
              </w:rPr>
              <w:t>Públ</w:t>
            </w:r>
            <w:proofErr w:type="spellEnd"/>
            <w:r w:rsidRPr="00FE2D1C">
              <w:rPr>
                <w:rFonts w:ascii="Lucida Bright" w:hAnsi="Lucida Bright" w:cs="Calibri"/>
                <w:sz w:val="14"/>
                <w:szCs w:val="14"/>
                <w:lang w:val="es-ES"/>
              </w:rPr>
              <w:t>. y Ajustes contra patrimonio (+/-)</w:t>
            </w:r>
          </w:p>
        </w:tc>
        <w:tc>
          <w:tcPr>
            <w:tcW w:w="441" w:type="pct"/>
            <w:tcBorders>
              <w:top w:val="single" w:sz="4" w:space="0" w:color="auto"/>
              <w:left w:val="nil"/>
              <w:bottom w:val="nil"/>
              <w:right w:val="single" w:sz="4" w:space="0" w:color="auto"/>
            </w:tcBorders>
            <w:shd w:val="clear" w:color="000000" w:fill="CCFFCC"/>
            <w:vAlign w:val="center"/>
            <w:hideMark/>
          </w:tcPr>
          <w:p w:rsidR="00FE2D1C" w:rsidRPr="00FE2D1C" w:rsidRDefault="00FE2D1C" w:rsidP="00FE2D1C">
            <w:pPr>
              <w:jc w:val="center"/>
              <w:rPr>
                <w:rFonts w:ascii="Lucida Bright" w:hAnsi="Lucida Bright" w:cs="Calibri"/>
                <w:sz w:val="14"/>
                <w:szCs w:val="14"/>
                <w:lang w:val="es-ES"/>
              </w:rPr>
            </w:pPr>
            <w:r w:rsidRPr="00FE2D1C">
              <w:rPr>
                <w:rFonts w:ascii="Lucida Bright" w:hAnsi="Lucida Bright" w:cs="Calibri"/>
                <w:sz w:val="14"/>
                <w:szCs w:val="14"/>
                <w:lang w:val="es-ES"/>
              </w:rPr>
              <w:t>Saldo a</w:t>
            </w:r>
            <w:r w:rsidRPr="00FE2D1C">
              <w:rPr>
                <w:rFonts w:ascii="Lucida Bright" w:hAnsi="Lucida Bright" w:cs="Calibri"/>
                <w:sz w:val="14"/>
                <w:szCs w:val="14"/>
                <w:lang w:val="es-ES"/>
              </w:rPr>
              <w:br/>
              <w:t>31-12-23</w:t>
            </w:r>
          </w:p>
        </w:tc>
      </w:tr>
      <w:tr w:rsidR="00FE2D1C" w:rsidRPr="00FE2D1C" w:rsidTr="00FE2D1C">
        <w:trPr>
          <w:trHeight w:val="210"/>
        </w:trPr>
        <w:tc>
          <w:tcPr>
            <w:tcW w:w="118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b/>
                <w:bCs/>
                <w:sz w:val="14"/>
                <w:szCs w:val="14"/>
                <w:lang w:val="es-ES"/>
              </w:rPr>
            </w:pPr>
            <w:r w:rsidRPr="00FE2D1C">
              <w:rPr>
                <w:rFonts w:ascii="Lucida Bright" w:hAnsi="Lucida Bright" w:cs="Calibri"/>
                <w:b/>
                <w:bCs/>
                <w:sz w:val="14"/>
                <w:szCs w:val="14"/>
                <w:lang w:val="es-ES"/>
              </w:rPr>
              <w:t xml:space="preserve"> a) Terrenos</w:t>
            </w:r>
          </w:p>
        </w:tc>
        <w:tc>
          <w:tcPr>
            <w:tcW w:w="441" w:type="pct"/>
            <w:tcBorders>
              <w:top w:val="single" w:sz="4" w:space="0" w:color="auto"/>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64.033.614,39 </w:t>
            </w:r>
          </w:p>
        </w:tc>
        <w:tc>
          <w:tcPr>
            <w:tcW w:w="40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b/>
                <w:bCs/>
                <w:sz w:val="14"/>
                <w:szCs w:val="14"/>
                <w:lang w:val="es-ES"/>
              </w:rPr>
            </w:pPr>
            <w:r w:rsidRPr="00FE2D1C">
              <w:rPr>
                <w:rFonts w:ascii="Lucida Bright" w:hAnsi="Lucida Bright" w:cs="Calibri"/>
                <w:b/>
                <w:bCs/>
                <w:sz w:val="14"/>
                <w:szCs w:val="14"/>
                <w:lang w:val="es-ES"/>
              </w:rPr>
              <w:t> </w:t>
            </w:r>
          </w:p>
        </w:tc>
        <w:tc>
          <w:tcPr>
            <w:tcW w:w="359"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b/>
                <w:bCs/>
                <w:sz w:val="14"/>
                <w:szCs w:val="14"/>
                <w:lang w:val="es-ES"/>
              </w:rPr>
            </w:pPr>
            <w:r w:rsidRPr="00FE2D1C">
              <w:rPr>
                <w:rFonts w:ascii="Lucida Bright" w:hAnsi="Lucida Bright" w:cs="Calibri"/>
                <w:b/>
                <w:bCs/>
                <w:sz w:val="14"/>
                <w:szCs w:val="14"/>
                <w:lang w:val="es-ES"/>
              </w:rPr>
              <w:t> </w:t>
            </w:r>
          </w:p>
        </w:tc>
        <w:tc>
          <w:tcPr>
            <w:tcW w:w="35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b/>
                <w:bCs/>
                <w:sz w:val="14"/>
                <w:szCs w:val="14"/>
                <w:lang w:val="es-ES"/>
              </w:rPr>
            </w:pPr>
            <w:r w:rsidRPr="00FE2D1C">
              <w:rPr>
                <w:rFonts w:ascii="Lucida Bright" w:hAnsi="Lucida Bright" w:cs="Calibri"/>
                <w:b/>
                <w:bCs/>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b/>
                <w:bCs/>
                <w:sz w:val="14"/>
                <w:szCs w:val="14"/>
                <w:lang w:val="es-ES"/>
              </w:rPr>
            </w:pPr>
            <w:r w:rsidRPr="00FE2D1C">
              <w:rPr>
                <w:rFonts w:ascii="Lucida Bright" w:hAnsi="Lucida Bright" w:cs="Calibri"/>
                <w:b/>
                <w:bCs/>
                <w:sz w:val="14"/>
                <w:szCs w:val="14"/>
                <w:lang w:val="es-ES"/>
              </w:rPr>
              <w:t> </w:t>
            </w:r>
          </w:p>
        </w:tc>
        <w:tc>
          <w:tcPr>
            <w:tcW w:w="470" w:type="pct"/>
            <w:tcBorders>
              <w:top w:val="single" w:sz="4" w:space="0" w:color="auto"/>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b/>
                <w:bCs/>
                <w:sz w:val="14"/>
                <w:szCs w:val="14"/>
                <w:lang w:val="es-ES"/>
              </w:rPr>
            </w:pPr>
            <w:r w:rsidRPr="00FE2D1C">
              <w:rPr>
                <w:rFonts w:ascii="Lucida Bright" w:hAnsi="Lucida Bright" w:cs="Calibri"/>
                <w:b/>
                <w:bCs/>
                <w:sz w:val="14"/>
                <w:szCs w:val="14"/>
                <w:lang w:val="es-ES"/>
              </w:rPr>
              <w:t> </w:t>
            </w:r>
          </w:p>
        </w:tc>
        <w:tc>
          <w:tcPr>
            <w:tcW w:w="374" w:type="pct"/>
            <w:tcBorders>
              <w:top w:val="single" w:sz="4" w:space="0" w:color="auto"/>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b/>
                <w:bCs/>
                <w:sz w:val="14"/>
                <w:szCs w:val="14"/>
                <w:lang w:val="es-ES"/>
              </w:rPr>
            </w:pPr>
            <w:r w:rsidRPr="00FE2D1C">
              <w:rPr>
                <w:rFonts w:ascii="Lucida Bright" w:hAnsi="Lucida Bright" w:cs="Calibri"/>
                <w:b/>
                <w:bCs/>
                <w:sz w:val="14"/>
                <w:szCs w:val="14"/>
                <w:lang w:val="es-ES"/>
              </w:rPr>
              <w:t> </w:t>
            </w:r>
          </w:p>
        </w:tc>
        <w:tc>
          <w:tcPr>
            <w:tcW w:w="317" w:type="pct"/>
            <w:tcBorders>
              <w:top w:val="single" w:sz="4" w:space="0" w:color="auto"/>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b/>
                <w:bCs/>
                <w:sz w:val="14"/>
                <w:szCs w:val="14"/>
                <w:lang w:val="es-ES"/>
              </w:rPr>
            </w:pPr>
            <w:r w:rsidRPr="00FE2D1C">
              <w:rPr>
                <w:rFonts w:ascii="Lucida Bright" w:hAnsi="Lucida Bright" w:cs="Calibri"/>
                <w:b/>
                <w:bCs/>
                <w:sz w:val="14"/>
                <w:szCs w:val="14"/>
                <w:lang w:val="es-ES"/>
              </w:rPr>
              <w:t> </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b/>
                <w:bCs/>
                <w:sz w:val="14"/>
                <w:szCs w:val="14"/>
                <w:lang w:val="es-ES"/>
              </w:rPr>
            </w:pPr>
            <w:r w:rsidRPr="00FE2D1C">
              <w:rPr>
                <w:rFonts w:ascii="Lucida Bright" w:hAnsi="Lucida Bright" w:cs="Calibri"/>
                <w:b/>
                <w:bCs/>
                <w:sz w:val="14"/>
                <w:szCs w:val="14"/>
                <w:lang w:val="es-ES"/>
              </w:rPr>
              <w:t> </w:t>
            </w:r>
          </w:p>
        </w:tc>
        <w:tc>
          <w:tcPr>
            <w:tcW w:w="441" w:type="pct"/>
            <w:tcBorders>
              <w:top w:val="single" w:sz="4" w:space="0" w:color="auto"/>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64.033.614,39 </w:t>
            </w:r>
          </w:p>
        </w:tc>
      </w:tr>
      <w:tr w:rsidR="00FE2D1C" w:rsidRPr="00FE2D1C" w:rsidTr="00FE2D1C">
        <w:trPr>
          <w:trHeight w:val="210"/>
        </w:trPr>
        <w:tc>
          <w:tcPr>
            <w:tcW w:w="118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b/>
                <w:bCs/>
                <w:sz w:val="14"/>
                <w:szCs w:val="14"/>
                <w:lang w:val="es-ES"/>
              </w:rPr>
            </w:pPr>
            <w:r w:rsidRPr="00FE2D1C">
              <w:rPr>
                <w:rFonts w:ascii="Lucida Bright" w:hAnsi="Lucida Bright" w:cs="Calibri"/>
                <w:b/>
                <w:bCs/>
                <w:sz w:val="14"/>
                <w:szCs w:val="14"/>
                <w:lang w:val="es-ES"/>
              </w:rPr>
              <w:t xml:space="preserve"> b) Construcciones</w:t>
            </w:r>
          </w:p>
        </w:tc>
        <w:tc>
          <w:tcPr>
            <w:tcW w:w="44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51.269.822,38 </w:t>
            </w:r>
          </w:p>
        </w:tc>
        <w:tc>
          <w:tcPr>
            <w:tcW w:w="40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151.756,91 </w:t>
            </w:r>
          </w:p>
        </w:tc>
        <w:tc>
          <w:tcPr>
            <w:tcW w:w="359"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 </w:t>
            </w:r>
          </w:p>
        </w:tc>
        <w:tc>
          <w:tcPr>
            <w:tcW w:w="35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 </w:t>
            </w:r>
          </w:p>
        </w:tc>
        <w:tc>
          <w:tcPr>
            <w:tcW w:w="33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(91.671,62) </w:t>
            </w:r>
          </w:p>
        </w:tc>
        <w:tc>
          <w:tcPr>
            <w:tcW w:w="47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(1,98) </w:t>
            </w:r>
          </w:p>
        </w:tc>
        <w:tc>
          <w:tcPr>
            <w:tcW w:w="37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448.967,27 </w:t>
            </w:r>
          </w:p>
        </w:tc>
        <w:tc>
          <w:tcPr>
            <w:tcW w:w="317"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 </w:t>
            </w:r>
          </w:p>
        </w:tc>
        <w:tc>
          <w:tcPr>
            <w:tcW w:w="327"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 </w:t>
            </w:r>
          </w:p>
        </w:tc>
        <w:tc>
          <w:tcPr>
            <w:tcW w:w="44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51.778.872,96 </w:t>
            </w:r>
          </w:p>
        </w:tc>
      </w:tr>
      <w:tr w:rsidR="00FE2D1C" w:rsidRPr="00FE2D1C" w:rsidTr="00FE2D1C">
        <w:trPr>
          <w:trHeight w:val="210"/>
        </w:trPr>
        <w:tc>
          <w:tcPr>
            <w:tcW w:w="118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xml:space="preserve">      Accesos marítimos</w:t>
            </w:r>
          </w:p>
        </w:tc>
        <w:tc>
          <w:tcPr>
            <w:tcW w:w="44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0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9"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7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7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17"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27"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b/>
                <w:bCs/>
                <w:sz w:val="14"/>
                <w:szCs w:val="14"/>
                <w:lang w:val="es-ES"/>
              </w:rPr>
            </w:pPr>
            <w:r w:rsidRPr="00FE2D1C">
              <w:rPr>
                <w:rFonts w:ascii="Lucida Bright" w:hAnsi="Lucida Bright" w:cs="Calibri"/>
                <w:b/>
                <w:bCs/>
                <w:sz w:val="14"/>
                <w:szCs w:val="14"/>
                <w:lang w:val="es-ES"/>
              </w:rPr>
              <w:t> </w:t>
            </w:r>
          </w:p>
        </w:tc>
      </w:tr>
      <w:tr w:rsidR="00FE2D1C" w:rsidRPr="00FE2D1C" w:rsidTr="00FE2D1C">
        <w:trPr>
          <w:trHeight w:val="210"/>
        </w:trPr>
        <w:tc>
          <w:tcPr>
            <w:tcW w:w="118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xml:space="preserve">      Obras de abrigo y defensa</w:t>
            </w:r>
          </w:p>
        </w:tc>
        <w:tc>
          <w:tcPr>
            <w:tcW w:w="44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0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9"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7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7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17"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27"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b/>
                <w:bCs/>
                <w:sz w:val="14"/>
                <w:szCs w:val="14"/>
                <w:lang w:val="es-ES"/>
              </w:rPr>
            </w:pPr>
            <w:r w:rsidRPr="00FE2D1C">
              <w:rPr>
                <w:rFonts w:ascii="Lucida Bright" w:hAnsi="Lucida Bright" w:cs="Calibri"/>
                <w:b/>
                <w:bCs/>
                <w:sz w:val="14"/>
                <w:szCs w:val="14"/>
                <w:lang w:val="es-ES"/>
              </w:rPr>
              <w:t> </w:t>
            </w:r>
          </w:p>
        </w:tc>
      </w:tr>
      <w:tr w:rsidR="00FE2D1C" w:rsidRPr="00FE2D1C" w:rsidTr="00FE2D1C">
        <w:trPr>
          <w:trHeight w:val="210"/>
        </w:trPr>
        <w:tc>
          <w:tcPr>
            <w:tcW w:w="118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xml:space="preserve">      Obras de atraque</w:t>
            </w:r>
          </w:p>
        </w:tc>
        <w:tc>
          <w:tcPr>
            <w:tcW w:w="44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1.871.584,52 </w:t>
            </w:r>
          </w:p>
        </w:tc>
        <w:tc>
          <w:tcPr>
            <w:tcW w:w="40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9"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7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7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17"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27"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1.871.584,52 </w:t>
            </w:r>
          </w:p>
        </w:tc>
      </w:tr>
      <w:tr w:rsidR="00FE2D1C" w:rsidRPr="00FE2D1C" w:rsidTr="00FE2D1C">
        <w:trPr>
          <w:trHeight w:val="210"/>
        </w:trPr>
        <w:tc>
          <w:tcPr>
            <w:tcW w:w="118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xml:space="preserve">      Instalaciones para reparación de barcos</w:t>
            </w:r>
          </w:p>
        </w:tc>
        <w:tc>
          <w:tcPr>
            <w:tcW w:w="44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1.578.464,86 </w:t>
            </w:r>
          </w:p>
        </w:tc>
        <w:tc>
          <w:tcPr>
            <w:tcW w:w="40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9"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7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(1,98) </w:t>
            </w:r>
          </w:p>
        </w:tc>
        <w:tc>
          <w:tcPr>
            <w:tcW w:w="37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17"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27"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1.578.462,88 </w:t>
            </w:r>
          </w:p>
        </w:tc>
      </w:tr>
      <w:tr w:rsidR="00FE2D1C" w:rsidRPr="00FE2D1C" w:rsidTr="00FE2D1C">
        <w:trPr>
          <w:trHeight w:val="210"/>
        </w:trPr>
        <w:tc>
          <w:tcPr>
            <w:tcW w:w="118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xml:space="preserve">      Edificaciones</w:t>
            </w:r>
          </w:p>
        </w:tc>
        <w:tc>
          <w:tcPr>
            <w:tcW w:w="44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20.354.692,37 </w:t>
            </w:r>
          </w:p>
        </w:tc>
        <w:tc>
          <w:tcPr>
            <w:tcW w:w="40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151.756,91 </w:t>
            </w:r>
          </w:p>
        </w:tc>
        <w:tc>
          <w:tcPr>
            <w:tcW w:w="359"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(91.671,62) </w:t>
            </w:r>
          </w:p>
        </w:tc>
        <w:tc>
          <w:tcPr>
            <w:tcW w:w="47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7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448.967,27 </w:t>
            </w:r>
          </w:p>
        </w:tc>
        <w:tc>
          <w:tcPr>
            <w:tcW w:w="317"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27"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20.863.744,93 </w:t>
            </w:r>
          </w:p>
        </w:tc>
      </w:tr>
      <w:tr w:rsidR="00FE2D1C" w:rsidRPr="00FE2D1C" w:rsidTr="00FE2D1C">
        <w:trPr>
          <w:trHeight w:val="210"/>
        </w:trPr>
        <w:tc>
          <w:tcPr>
            <w:tcW w:w="118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xml:space="preserve">      Instalaciones generales</w:t>
            </w:r>
          </w:p>
        </w:tc>
        <w:tc>
          <w:tcPr>
            <w:tcW w:w="44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876.476,18 </w:t>
            </w:r>
          </w:p>
        </w:tc>
        <w:tc>
          <w:tcPr>
            <w:tcW w:w="40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9"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7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7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17"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27"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876.476,18 </w:t>
            </w:r>
          </w:p>
        </w:tc>
      </w:tr>
      <w:tr w:rsidR="00FE2D1C" w:rsidRPr="00FE2D1C" w:rsidTr="00FE2D1C">
        <w:trPr>
          <w:trHeight w:val="210"/>
        </w:trPr>
        <w:tc>
          <w:tcPr>
            <w:tcW w:w="118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xml:space="preserve">      Pavimentos, calzadas y vías de circulación</w:t>
            </w:r>
          </w:p>
        </w:tc>
        <w:tc>
          <w:tcPr>
            <w:tcW w:w="44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26.588.604,45 </w:t>
            </w:r>
          </w:p>
        </w:tc>
        <w:tc>
          <w:tcPr>
            <w:tcW w:w="40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9"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3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7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7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17"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27"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26.588.604,45 </w:t>
            </w:r>
          </w:p>
        </w:tc>
      </w:tr>
      <w:tr w:rsidR="00FE2D1C" w:rsidRPr="00FE2D1C" w:rsidTr="00FE2D1C">
        <w:trPr>
          <w:trHeight w:val="210"/>
        </w:trPr>
        <w:tc>
          <w:tcPr>
            <w:tcW w:w="1111" w:type="pct"/>
            <w:tcBorders>
              <w:top w:val="nil"/>
              <w:left w:val="single" w:sz="4" w:space="0" w:color="auto"/>
              <w:bottom w:val="single" w:sz="4" w:space="0" w:color="auto"/>
              <w:right w:val="single" w:sz="4" w:space="0" w:color="auto"/>
            </w:tcBorders>
            <w:shd w:val="clear" w:color="000000" w:fill="FFFFFF"/>
            <w:noWrap/>
            <w:vAlign w:val="center"/>
            <w:hideMark/>
          </w:tcPr>
          <w:p w:rsidR="00FE2D1C" w:rsidRPr="00FE2D1C" w:rsidRDefault="00FE2D1C" w:rsidP="00FE2D1C">
            <w:pPr>
              <w:jc w:val="center"/>
              <w:rPr>
                <w:rFonts w:ascii="Lucida Bright" w:hAnsi="Lucida Bright" w:cs="Calibri"/>
                <w:b/>
                <w:bCs/>
                <w:sz w:val="14"/>
                <w:szCs w:val="14"/>
                <w:lang w:val="es-ES"/>
              </w:rPr>
            </w:pPr>
            <w:r w:rsidRPr="00FE2D1C">
              <w:rPr>
                <w:rFonts w:ascii="Lucida Bright" w:hAnsi="Lucida Bright" w:cs="Calibri"/>
                <w:b/>
                <w:bCs/>
                <w:sz w:val="14"/>
                <w:szCs w:val="14"/>
                <w:lang w:val="es-ES"/>
              </w:rPr>
              <w:t>TOTAL</w:t>
            </w:r>
          </w:p>
        </w:tc>
        <w:tc>
          <w:tcPr>
            <w:tcW w:w="7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b/>
                <w:bCs/>
                <w:sz w:val="14"/>
                <w:szCs w:val="14"/>
                <w:lang w:val="es-ES"/>
              </w:rPr>
            </w:pPr>
            <w:r w:rsidRPr="00FE2D1C">
              <w:rPr>
                <w:rFonts w:ascii="Lucida Bright" w:hAnsi="Lucida Bright" w:cs="Calibri"/>
                <w:b/>
                <w:bCs/>
                <w:sz w:val="14"/>
                <w:szCs w:val="14"/>
                <w:lang w:val="es-ES"/>
              </w:rPr>
              <w:t> </w:t>
            </w:r>
          </w:p>
        </w:tc>
        <w:tc>
          <w:tcPr>
            <w:tcW w:w="44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115.303.436,77 </w:t>
            </w:r>
          </w:p>
        </w:tc>
        <w:tc>
          <w:tcPr>
            <w:tcW w:w="40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151.756,91 </w:t>
            </w:r>
          </w:p>
        </w:tc>
        <w:tc>
          <w:tcPr>
            <w:tcW w:w="359"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 </w:t>
            </w:r>
          </w:p>
        </w:tc>
        <w:tc>
          <w:tcPr>
            <w:tcW w:w="35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 </w:t>
            </w:r>
          </w:p>
        </w:tc>
        <w:tc>
          <w:tcPr>
            <w:tcW w:w="33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(91.671,62) </w:t>
            </w:r>
          </w:p>
        </w:tc>
        <w:tc>
          <w:tcPr>
            <w:tcW w:w="470"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(1,98) </w:t>
            </w:r>
          </w:p>
        </w:tc>
        <w:tc>
          <w:tcPr>
            <w:tcW w:w="37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448.967,27 </w:t>
            </w:r>
          </w:p>
        </w:tc>
        <w:tc>
          <w:tcPr>
            <w:tcW w:w="317"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 </w:t>
            </w:r>
          </w:p>
        </w:tc>
        <w:tc>
          <w:tcPr>
            <w:tcW w:w="327"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 </w:t>
            </w:r>
          </w:p>
        </w:tc>
        <w:tc>
          <w:tcPr>
            <w:tcW w:w="44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115.812.487,35 </w:t>
            </w:r>
          </w:p>
        </w:tc>
      </w:tr>
    </w:tbl>
    <w:p w:rsidR="00FE2D1C" w:rsidRDefault="00FE2D1C" w:rsidP="008323F0">
      <w:pPr>
        <w:ind w:right="35"/>
        <w:rPr>
          <w:rFonts w:ascii="Lucida Bright" w:eastAsia="Lucida Bright" w:hAnsi="Lucida Bright" w:cs="Lucida Bright"/>
          <w:b/>
          <w:bCs/>
          <w:color w:val="000000"/>
          <w:sz w:val="14"/>
        </w:rPr>
      </w:pPr>
    </w:p>
    <w:tbl>
      <w:tblPr>
        <w:tblW w:w="5037" w:type="pct"/>
        <w:tblCellMar>
          <w:left w:w="70" w:type="dxa"/>
          <w:right w:w="70" w:type="dxa"/>
        </w:tblCellMar>
        <w:tblLook w:val="04A0" w:firstRow="1" w:lastRow="0" w:firstColumn="1" w:lastColumn="0" w:noHBand="0" w:noVBand="1"/>
      </w:tblPr>
      <w:tblGrid>
        <w:gridCol w:w="2919"/>
        <w:gridCol w:w="259"/>
        <w:gridCol w:w="1726"/>
        <w:gridCol w:w="1379"/>
        <w:gridCol w:w="1267"/>
        <w:gridCol w:w="1734"/>
        <w:gridCol w:w="1220"/>
        <w:gridCol w:w="974"/>
        <w:gridCol w:w="974"/>
        <w:gridCol w:w="1226"/>
      </w:tblGrid>
      <w:tr w:rsidR="00FE2D1C" w:rsidRPr="00FE2D1C" w:rsidTr="003A3F89">
        <w:trPr>
          <w:trHeight w:val="300"/>
        </w:trPr>
        <w:tc>
          <w:tcPr>
            <w:tcW w:w="3840" w:type="pct"/>
            <w:gridSpan w:val="7"/>
            <w:tcBorders>
              <w:top w:val="nil"/>
              <w:left w:val="nil"/>
              <w:bottom w:val="single" w:sz="4" w:space="0" w:color="auto"/>
              <w:right w:val="nil"/>
            </w:tcBorders>
            <w:shd w:val="clear" w:color="auto" w:fill="auto"/>
            <w:noWrap/>
            <w:vAlign w:val="bottom"/>
            <w:hideMark/>
          </w:tcPr>
          <w:p w:rsidR="00FE2D1C" w:rsidRPr="00FE2D1C" w:rsidRDefault="00FE2D1C" w:rsidP="00FE2D1C">
            <w:pPr>
              <w:rPr>
                <w:rFonts w:ascii="Lucida Bright" w:hAnsi="Lucida Bright" w:cs="Calibri"/>
                <w:b/>
                <w:bCs/>
                <w:sz w:val="18"/>
                <w:szCs w:val="18"/>
                <w:lang w:val="es-ES"/>
              </w:rPr>
            </w:pPr>
            <w:r w:rsidRPr="00FE2D1C">
              <w:rPr>
                <w:rFonts w:ascii="Lucida Bright" w:hAnsi="Lucida Bright" w:cs="Calibri"/>
                <w:b/>
                <w:bCs/>
                <w:sz w:val="18"/>
                <w:szCs w:val="18"/>
                <w:lang w:val="es-ES"/>
              </w:rPr>
              <w:t>CUADRO: AMORTIZACIÓN ACUMULADA DE LAS INVERSIONES INMOBILIARIAS 2023</w:t>
            </w:r>
          </w:p>
        </w:tc>
        <w:tc>
          <w:tcPr>
            <w:tcW w:w="356" w:type="pct"/>
            <w:tcBorders>
              <w:top w:val="nil"/>
              <w:left w:val="nil"/>
              <w:bottom w:val="nil"/>
              <w:right w:val="nil"/>
            </w:tcBorders>
            <w:shd w:val="clear" w:color="000000" w:fill="FFFFFF"/>
            <w:noWrap/>
            <w:vAlign w:val="bottom"/>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(en euros)</w:t>
            </w:r>
          </w:p>
        </w:tc>
        <w:tc>
          <w:tcPr>
            <w:tcW w:w="356" w:type="pct"/>
            <w:tcBorders>
              <w:top w:val="nil"/>
              <w:left w:val="nil"/>
              <w:bottom w:val="nil"/>
              <w:right w:val="nil"/>
            </w:tcBorders>
            <w:shd w:val="clear" w:color="000000" w:fill="FFFFFF"/>
            <w:noWrap/>
            <w:hideMark/>
          </w:tcPr>
          <w:p w:rsidR="00FE2D1C" w:rsidRPr="00FE2D1C" w:rsidRDefault="00FE2D1C" w:rsidP="00FE2D1C">
            <w:pPr>
              <w:rPr>
                <w:rFonts w:ascii="Lucida Bright" w:hAnsi="Lucida Bright" w:cs="Calibri"/>
                <w:sz w:val="18"/>
                <w:szCs w:val="18"/>
                <w:lang w:val="es-ES"/>
              </w:rPr>
            </w:pPr>
            <w:r w:rsidRPr="00FE2D1C">
              <w:rPr>
                <w:rFonts w:ascii="Lucida Bright" w:hAnsi="Lucida Bright" w:cs="Calibri"/>
                <w:sz w:val="18"/>
                <w:szCs w:val="18"/>
                <w:lang w:val="es-ES"/>
              </w:rPr>
              <w:t> </w:t>
            </w:r>
          </w:p>
        </w:tc>
        <w:tc>
          <w:tcPr>
            <w:tcW w:w="448" w:type="pct"/>
            <w:tcBorders>
              <w:top w:val="nil"/>
              <w:left w:val="nil"/>
              <w:bottom w:val="nil"/>
              <w:right w:val="nil"/>
            </w:tcBorders>
            <w:shd w:val="clear" w:color="000000" w:fill="FFFFFF"/>
            <w:noWrap/>
            <w:hideMark/>
          </w:tcPr>
          <w:p w:rsidR="00FE2D1C" w:rsidRPr="00FE2D1C" w:rsidRDefault="00FE2D1C" w:rsidP="00FE2D1C">
            <w:pPr>
              <w:rPr>
                <w:rFonts w:ascii="Lucida Bright" w:hAnsi="Lucida Bright" w:cs="Calibri"/>
                <w:sz w:val="18"/>
                <w:szCs w:val="18"/>
                <w:lang w:val="es-ES"/>
              </w:rPr>
            </w:pPr>
            <w:r w:rsidRPr="00FE2D1C">
              <w:rPr>
                <w:rFonts w:ascii="Lucida Bright" w:hAnsi="Lucida Bright" w:cs="Calibri"/>
                <w:sz w:val="18"/>
                <w:szCs w:val="18"/>
                <w:lang w:val="es-ES"/>
              </w:rPr>
              <w:t> </w:t>
            </w:r>
          </w:p>
        </w:tc>
      </w:tr>
      <w:tr w:rsidR="00FE2D1C" w:rsidRPr="00FE2D1C" w:rsidTr="003A3F89">
        <w:trPr>
          <w:trHeight w:val="720"/>
        </w:trPr>
        <w:tc>
          <w:tcPr>
            <w:tcW w:w="1162" w:type="pct"/>
            <w:gridSpan w:val="2"/>
            <w:tcBorders>
              <w:top w:val="single" w:sz="4" w:space="0" w:color="auto"/>
              <w:left w:val="single" w:sz="4" w:space="0" w:color="auto"/>
              <w:bottom w:val="single" w:sz="4" w:space="0" w:color="auto"/>
              <w:right w:val="single" w:sz="4" w:space="0" w:color="000000"/>
            </w:tcBorders>
            <w:shd w:val="clear" w:color="000000" w:fill="CCFFCC"/>
            <w:vAlign w:val="center"/>
            <w:hideMark/>
          </w:tcPr>
          <w:p w:rsidR="00FE2D1C" w:rsidRPr="00FE2D1C" w:rsidRDefault="00FE2D1C" w:rsidP="00FE2D1C">
            <w:pPr>
              <w:jc w:val="center"/>
              <w:rPr>
                <w:rFonts w:ascii="Lucida Bright" w:hAnsi="Lucida Bright" w:cs="Calibri"/>
                <w:b/>
                <w:bCs/>
                <w:sz w:val="14"/>
                <w:szCs w:val="14"/>
                <w:lang w:val="es-ES"/>
              </w:rPr>
            </w:pPr>
            <w:r w:rsidRPr="00FE2D1C">
              <w:rPr>
                <w:rFonts w:ascii="Lucida Bright" w:hAnsi="Lucida Bright" w:cs="Calibri"/>
                <w:b/>
                <w:bCs/>
                <w:sz w:val="14"/>
                <w:szCs w:val="14"/>
                <w:lang w:val="es-ES"/>
              </w:rPr>
              <w:t>CONCEPTO</w:t>
            </w:r>
          </w:p>
        </w:tc>
        <w:tc>
          <w:tcPr>
            <w:tcW w:w="631" w:type="pct"/>
            <w:tcBorders>
              <w:top w:val="nil"/>
              <w:left w:val="nil"/>
              <w:bottom w:val="single" w:sz="4" w:space="0" w:color="auto"/>
              <w:right w:val="single" w:sz="4" w:space="0" w:color="auto"/>
            </w:tcBorders>
            <w:shd w:val="clear" w:color="000000" w:fill="CCFFCC"/>
            <w:vAlign w:val="center"/>
            <w:hideMark/>
          </w:tcPr>
          <w:p w:rsidR="00FE2D1C" w:rsidRPr="00FE2D1C" w:rsidRDefault="00FE2D1C" w:rsidP="00FE2D1C">
            <w:pPr>
              <w:jc w:val="center"/>
              <w:rPr>
                <w:rFonts w:ascii="Lucida Bright" w:hAnsi="Lucida Bright" w:cs="Calibri"/>
                <w:sz w:val="14"/>
                <w:szCs w:val="14"/>
                <w:lang w:val="es-ES"/>
              </w:rPr>
            </w:pPr>
            <w:r w:rsidRPr="00FE2D1C">
              <w:rPr>
                <w:rFonts w:ascii="Lucida Bright" w:hAnsi="Lucida Bright" w:cs="Calibri"/>
                <w:sz w:val="14"/>
                <w:szCs w:val="14"/>
                <w:lang w:val="es-ES"/>
              </w:rPr>
              <w:t>Saldo a</w:t>
            </w:r>
            <w:r w:rsidRPr="00FE2D1C">
              <w:rPr>
                <w:rFonts w:ascii="Lucida Bright" w:hAnsi="Lucida Bright" w:cs="Calibri"/>
                <w:sz w:val="14"/>
                <w:szCs w:val="14"/>
                <w:lang w:val="es-ES"/>
              </w:rPr>
              <w:br/>
              <w:t>31-12-22</w:t>
            </w:r>
          </w:p>
        </w:tc>
        <w:tc>
          <w:tcPr>
            <w:tcW w:w="504" w:type="pct"/>
            <w:tcBorders>
              <w:top w:val="nil"/>
              <w:left w:val="nil"/>
              <w:bottom w:val="single" w:sz="4" w:space="0" w:color="auto"/>
              <w:right w:val="single" w:sz="4" w:space="0" w:color="auto"/>
            </w:tcBorders>
            <w:shd w:val="clear" w:color="000000" w:fill="CCFFCC"/>
            <w:vAlign w:val="center"/>
            <w:hideMark/>
          </w:tcPr>
          <w:p w:rsidR="00FE2D1C" w:rsidRPr="00FE2D1C" w:rsidRDefault="00FE2D1C" w:rsidP="00FE2D1C">
            <w:pPr>
              <w:jc w:val="center"/>
              <w:rPr>
                <w:rFonts w:ascii="Lucida Bright" w:hAnsi="Lucida Bright" w:cs="Calibri"/>
                <w:sz w:val="14"/>
                <w:szCs w:val="14"/>
                <w:lang w:val="es-ES"/>
              </w:rPr>
            </w:pPr>
            <w:r w:rsidRPr="00FE2D1C">
              <w:rPr>
                <w:rFonts w:ascii="Lucida Bright" w:hAnsi="Lucida Bright" w:cs="Calibri"/>
                <w:sz w:val="14"/>
                <w:szCs w:val="14"/>
                <w:lang w:val="es-ES"/>
              </w:rPr>
              <w:t>Dotaciones</w:t>
            </w:r>
            <w:r w:rsidRPr="00FE2D1C">
              <w:rPr>
                <w:rFonts w:ascii="Lucida Bright" w:hAnsi="Lucida Bright" w:cs="Calibri"/>
                <w:sz w:val="14"/>
                <w:szCs w:val="14"/>
                <w:lang w:val="es-ES"/>
              </w:rPr>
              <w:br/>
              <w:t>(+)</w:t>
            </w:r>
          </w:p>
        </w:tc>
        <w:tc>
          <w:tcPr>
            <w:tcW w:w="463" w:type="pct"/>
            <w:tcBorders>
              <w:top w:val="nil"/>
              <w:left w:val="nil"/>
              <w:bottom w:val="single" w:sz="4" w:space="0" w:color="auto"/>
              <w:right w:val="single" w:sz="4" w:space="0" w:color="auto"/>
            </w:tcBorders>
            <w:shd w:val="clear" w:color="000000" w:fill="CCFFCC"/>
            <w:vAlign w:val="center"/>
            <w:hideMark/>
          </w:tcPr>
          <w:p w:rsidR="00FE2D1C" w:rsidRPr="00FE2D1C" w:rsidRDefault="00FE2D1C" w:rsidP="00FE2D1C">
            <w:pPr>
              <w:jc w:val="center"/>
              <w:rPr>
                <w:rFonts w:ascii="Lucida Bright" w:hAnsi="Lucida Bright" w:cs="Calibri"/>
                <w:sz w:val="14"/>
                <w:szCs w:val="14"/>
                <w:lang w:val="es-ES"/>
              </w:rPr>
            </w:pPr>
            <w:r w:rsidRPr="00FE2D1C">
              <w:rPr>
                <w:rFonts w:ascii="Lucida Bright" w:hAnsi="Lucida Bright" w:cs="Calibri"/>
                <w:sz w:val="14"/>
                <w:szCs w:val="14"/>
                <w:lang w:val="es-ES"/>
              </w:rPr>
              <w:t>Ventas, retiros y bajas (-)</w:t>
            </w:r>
          </w:p>
        </w:tc>
        <w:tc>
          <w:tcPr>
            <w:tcW w:w="634" w:type="pct"/>
            <w:tcBorders>
              <w:top w:val="nil"/>
              <w:left w:val="nil"/>
              <w:bottom w:val="single" w:sz="4" w:space="0" w:color="auto"/>
              <w:right w:val="single" w:sz="4" w:space="0" w:color="auto"/>
            </w:tcBorders>
            <w:shd w:val="clear" w:color="000000" w:fill="CCFFCC"/>
            <w:vAlign w:val="center"/>
            <w:hideMark/>
          </w:tcPr>
          <w:p w:rsidR="00FE2D1C" w:rsidRPr="00FE2D1C" w:rsidRDefault="00FE2D1C" w:rsidP="00FE2D1C">
            <w:pPr>
              <w:jc w:val="center"/>
              <w:rPr>
                <w:rFonts w:ascii="Lucida Bright" w:hAnsi="Lucida Bright" w:cs="Calibri"/>
                <w:sz w:val="14"/>
                <w:szCs w:val="14"/>
                <w:lang w:val="es-ES"/>
              </w:rPr>
            </w:pPr>
            <w:r w:rsidRPr="00FE2D1C">
              <w:rPr>
                <w:rFonts w:ascii="Lucida Bright" w:hAnsi="Lucida Bright" w:cs="Calibri"/>
                <w:sz w:val="14"/>
                <w:szCs w:val="14"/>
                <w:lang w:val="es-ES"/>
              </w:rPr>
              <w:t>Reclasificaciones (+/-)</w:t>
            </w:r>
          </w:p>
        </w:tc>
        <w:tc>
          <w:tcPr>
            <w:tcW w:w="446" w:type="pct"/>
            <w:tcBorders>
              <w:top w:val="nil"/>
              <w:left w:val="nil"/>
              <w:bottom w:val="single" w:sz="4" w:space="0" w:color="auto"/>
              <w:right w:val="single" w:sz="4" w:space="0" w:color="auto"/>
            </w:tcBorders>
            <w:shd w:val="clear" w:color="000000" w:fill="CCFFCC"/>
            <w:vAlign w:val="center"/>
            <w:hideMark/>
          </w:tcPr>
          <w:p w:rsidR="00FE2D1C" w:rsidRPr="00FE2D1C" w:rsidRDefault="00FE2D1C" w:rsidP="00FE2D1C">
            <w:pPr>
              <w:jc w:val="center"/>
              <w:rPr>
                <w:rFonts w:ascii="Lucida Bright" w:hAnsi="Lucida Bright" w:cs="Calibri"/>
                <w:sz w:val="14"/>
                <w:szCs w:val="14"/>
                <w:lang w:val="es-ES"/>
              </w:rPr>
            </w:pPr>
            <w:r w:rsidRPr="00FE2D1C">
              <w:rPr>
                <w:rFonts w:ascii="Lucida Bright" w:hAnsi="Lucida Bright" w:cs="Calibri"/>
                <w:sz w:val="14"/>
                <w:szCs w:val="14"/>
                <w:lang w:val="es-ES"/>
              </w:rPr>
              <w:t>Traspaso a/de inmovilizado material (+/-)</w:t>
            </w:r>
          </w:p>
        </w:tc>
        <w:tc>
          <w:tcPr>
            <w:tcW w:w="356" w:type="pct"/>
            <w:tcBorders>
              <w:top w:val="single" w:sz="4" w:space="0" w:color="auto"/>
              <w:left w:val="nil"/>
              <w:bottom w:val="single" w:sz="4" w:space="0" w:color="auto"/>
              <w:right w:val="single" w:sz="4" w:space="0" w:color="auto"/>
            </w:tcBorders>
            <w:shd w:val="clear" w:color="000000" w:fill="CCFFCC"/>
            <w:vAlign w:val="center"/>
            <w:hideMark/>
          </w:tcPr>
          <w:p w:rsidR="00FE2D1C" w:rsidRPr="00FE2D1C" w:rsidRDefault="00FE2D1C" w:rsidP="00FE2D1C">
            <w:pPr>
              <w:jc w:val="center"/>
              <w:rPr>
                <w:rFonts w:ascii="Lucida Bright" w:hAnsi="Lucida Bright" w:cs="Calibri"/>
                <w:sz w:val="14"/>
                <w:szCs w:val="14"/>
                <w:lang w:val="es-ES"/>
              </w:rPr>
            </w:pPr>
            <w:proofErr w:type="spellStart"/>
            <w:r w:rsidRPr="00FE2D1C">
              <w:rPr>
                <w:rFonts w:ascii="Lucida Bright" w:hAnsi="Lucida Bright" w:cs="Calibri"/>
                <w:sz w:val="14"/>
                <w:szCs w:val="14"/>
                <w:lang w:val="es-ES"/>
              </w:rPr>
              <w:t>Trasp</w:t>
            </w:r>
            <w:proofErr w:type="spellEnd"/>
            <w:r w:rsidRPr="00FE2D1C">
              <w:rPr>
                <w:rFonts w:ascii="Lucida Bright" w:hAnsi="Lucida Bright" w:cs="Calibri"/>
                <w:sz w:val="14"/>
                <w:szCs w:val="14"/>
                <w:lang w:val="es-ES"/>
              </w:rPr>
              <w:t>. a activo no corriente mantenido para la venta (-)</w:t>
            </w:r>
          </w:p>
        </w:tc>
        <w:tc>
          <w:tcPr>
            <w:tcW w:w="356" w:type="pct"/>
            <w:tcBorders>
              <w:top w:val="single" w:sz="4" w:space="0" w:color="auto"/>
              <w:left w:val="nil"/>
              <w:bottom w:val="single" w:sz="4" w:space="0" w:color="auto"/>
              <w:right w:val="single" w:sz="4" w:space="0" w:color="auto"/>
            </w:tcBorders>
            <w:shd w:val="clear" w:color="000000" w:fill="CCFFCC"/>
            <w:vAlign w:val="center"/>
            <w:hideMark/>
          </w:tcPr>
          <w:p w:rsidR="00FE2D1C" w:rsidRPr="00FE2D1C" w:rsidRDefault="00FE2D1C" w:rsidP="00FE2D1C">
            <w:pPr>
              <w:jc w:val="center"/>
              <w:rPr>
                <w:rFonts w:ascii="Lucida Bright" w:hAnsi="Lucida Bright" w:cs="Calibri"/>
                <w:sz w:val="14"/>
                <w:szCs w:val="14"/>
                <w:lang w:val="es-ES"/>
              </w:rPr>
            </w:pPr>
            <w:proofErr w:type="spellStart"/>
            <w:r w:rsidRPr="00FE2D1C">
              <w:rPr>
                <w:rFonts w:ascii="Lucida Bright" w:hAnsi="Lucida Bright" w:cs="Calibri"/>
                <w:sz w:val="14"/>
                <w:szCs w:val="14"/>
                <w:lang w:val="es-ES"/>
              </w:rPr>
              <w:t>Transf</w:t>
            </w:r>
            <w:proofErr w:type="spellEnd"/>
            <w:r w:rsidRPr="00FE2D1C">
              <w:rPr>
                <w:rFonts w:ascii="Lucida Bright" w:hAnsi="Lucida Bright" w:cs="Calibri"/>
                <w:sz w:val="14"/>
                <w:szCs w:val="14"/>
                <w:lang w:val="es-ES"/>
              </w:rPr>
              <w:t xml:space="preserve">. </w:t>
            </w:r>
            <w:proofErr w:type="gramStart"/>
            <w:r w:rsidRPr="00FE2D1C">
              <w:rPr>
                <w:rFonts w:ascii="Lucida Bright" w:hAnsi="Lucida Bright" w:cs="Calibri"/>
                <w:sz w:val="14"/>
                <w:szCs w:val="14"/>
                <w:lang w:val="es-ES"/>
              </w:rPr>
              <w:t>a</w:t>
            </w:r>
            <w:proofErr w:type="gramEnd"/>
            <w:r w:rsidRPr="00FE2D1C">
              <w:rPr>
                <w:rFonts w:ascii="Lucida Bright" w:hAnsi="Lucida Bright" w:cs="Calibri"/>
                <w:sz w:val="14"/>
                <w:szCs w:val="14"/>
                <w:lang w:val="es-ES"/>
              </w:rPr>
              <w:t xml:space="preserve"> otros </w:t>
            </w:r>
            <w:proofErr w:type="spellStart"/>
            <w:r w:rsidRPr="00FE2D1C">
              <w:rPr>
                <w:rFonts w:ascii="Lucida Bright" w:hAnsi="Lucida Bright" w:cs="Calibri"/>
                <w:sz w:val="14"/>
                <w:szCs w:val="14"/>
                <w:lang w:val="es-ES"/>
              </w:rPr>
              <w:t>Org</w:t>
            </w:r>
            <w:proofErr w:type="spellEnd"/>
            <w:r w:rsidRPr="00FE2D1C">
              <w:rPr>
                <w:rFonts w:ascii="Lucida Bright" w:hAnsi="Lucida Bright" w:cs="Calibri"/>
                <w:sz w:val="14"/>
                <w:szCs w:val="14"/>
                <w:lang w:val="es-ES"/>
              </w:rPr>
              <w:t xml:space="preserve">. </w:t>
            </w:r>
            <w:proofErr w:type="spellStart"/>
            <w:r w:rsidRPr="00FE2D1C">
              <w:rPr>
                <w:rFonts w:ascii="Lucida Bright" w:hAnsi="Lucida Bright" w:cs="Calibri"/>
                <w:sz w:val="14"/>
                <w:szCs w:val="14"/>
                <w:lang w:val="es-ES"/>
              </w:rPr>
              <w:t>Públ</w:t>
            </w:r>
            <w:proofErr w:type="spellEnd"/>
            <w:r w:rsidRPr="00FE2D1C">
              <w:rPr>
                <w:rFonts w:ascii="Lucida Bright" w:hAnsi="Lucida Bright" w:cs="Calibri"/>
                <w:sz w:val="14"/>
                <w:szCs w:val="14"/>
                <w:lang w:val="es-ES"/>
              </w:rPr>
              <w:t>. y Ajustes contra patrimonio (+/-)</w:t>
            </w:r>
          </w:p>
        </w:tc>
        <w:tc>
          <w:tcPr>
            <w:tcW w:w="448" w:type="pct"/>
            <w:tcBorders>
              <w:top w:val="single" w:sz="4" w:space="0" w:color="auto"/>
              <w:left w:val="nil"/>
              <w:bottom w:val="single" w:sz="4" w:space="0" w:color="auto"/>
              <w:right w:val="single" w:sz="4" w:space="0" w:color="auto"/>
            </w:tcBorders>
            <w:shd w:val="clear" w:color="000000" w:fill="CCFFCC"/>
            <w:vAlign w:val="center"/>
            <w:hideMark/>
          </w:tcPr>
          <w:p w:rsidR="00FE2D1C" w:rsidRPr="00FE2D1C" w:rsidRDefault="00FE2D1C" w:rsidP="00FE2D1C">
            <w:pPr>
              <w:jc w:val="center"/>
              <w:rPr>
                <w:rFonts w:ascii="Lucida Bright" w:hAnsi="Lucida Bright" w:cs="Calibri"/>
                <w:sz w:val="14"/>
                <w:szCs w:val="14"/>
                <w:lang w:val="es-ES"/>
              </w:rPr>
            </w:pPr>
            <w:r w:rsidRPr="00FE2D1C">
              <w:rPr>
                <w:rFonts w:ascii="Lucida Bright" w:hAnsi="Lucida Bright" w:cs="Calibri"/>
                <w:sz w:val="14"/>
                <w:szCs w:val="14"/>
                <w:lang w:val="es-ES"/>
              </w:rPr>
              <w:t>Saldo a</w:t>
            </w:r>
            <w:r w:rsidRPr="00FE2D1C">
              <w:rPr>
                <w:rFonts w:ascii="Lucida Bright" w:hAnsi="Lucida Bright" w:cs="Calibri"/>
                <w:sz w:val="14"/>
                <w:szCs w:val="14"/>
                <w:lang w:val="es-ES"/>
              </w:rPr>
              <w:br/>
              <w:t>31-12-23</w:t>
            </w:r>
          </w:p>
        </w:tc>
      </w:tr>
      <w:tr w:rsidR="00FE2D1C" w:rsidRPr="00FE2D1C" w:rsidTr="003A3F89">
        <w:trPr>
          <w:trHeight w:val="210"/>
        </w:trPr>
        <w:tc>
          <w:tcPr>
            <w:tcW w:w="1162"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E2D1C" w:rsidRPr="00FE2D1C" w:rsidRDefault="00FE2D1C" w:rsidP="00FE2D1C">
            <w:pPr>
              <w:rPr>
                <w:rFonts w:ascii="Lucida Bright" w:hAnsi="Lucida Bright" w:cs="Calibri"/>
                <w:b/>
                <w:bCs/>
                <w:sz w:val="14"/>
                <w:szCs w:val="14"/>
                <w:lang w:val="es-ES"/>
              </w:rPr>
            </w:pPr>
            <w:r w:rsidRPr="00FE2D1C">
              <w:rPr>
                <w:rFonts w:ascii="Lucida Bright" w:hAnsi="Lucida Bright" w:cs="Calibri"/>
                <w:b/>
                <w:bCs/>
                <w:sz w:val="14"/>
                <w:szCs w:val="14"/>
                <w:lang w:val="es-ES"/>
              </w:rPr>
              <w:t xml:space="preserve"> b) Construcciones</w:t>
            </w:r>
          </w:p>
        </w:tc>
        <w:tc>
          <w:tcPr>
            <w:tcW w:w="63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39.488.055,12 </w:t>
            </w:r>
          </w:p>
        </w:tc>
        <w:tc>
          <w:tcPr>
            <w:tcW w:w="50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532.711,28 </w:t>
            </w:r>
          </w:p>
        </w:tc>
        <w:tc>
          <w:tcPr>
            <w:tcW w:w="463"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(40.982,65) </w:t>
            </w:r>
          </w:p>
        </w:tc>
        <w:tc>
          <w:tcPr>
            <w:tcW w:w="63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0,16 </w:t>
            </w:r>
          </w:p>
        </w:tc>
        <w:tc>
          <w:tcPr>
            <w:tcW w:w="44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 </w:t>
            </w:r>
          </w:p>
        </w:tc>
        <w:tc>
          <w:tcPr>
            <w:tcW w:w="35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 </w:t>
            </w:r>
          </w:p>
        </w:tc>
        <w:tc>
          <w:tcPr>
            <w:tcW w:w="35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 </w:t>
            </w:r>
          </w:p>
        </w:tc>
        <w:tc>
          <w:tcPr>
            <w:tcW w:w="448"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39.979.783,91 </w:t>
            </w:r>
          </w:p>
        </w:tc>
      </w:tr>
      <w:tr w:rsidR="00FE2D1C" w:rsidRPr="00FE2D1C" w:rsidTr="003A3F89">
        <w:trPr>
          <w:trHeight w:val="210"/>
        </w:trPr>
        <w:tc>
          <w:tcPr>
            <w:tcW w:w="116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xml:space="preserve">    Accesos marítimos</w:t>
            </w:r>
          </w:p>
        </w:tc>
        <w:tc>
          <w:tcPr>
            <w:tcW w:w="63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50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63"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63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4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48"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r>
      <w:tr w:rsidR="00FE2D1C" w:rsidRPr="00FE2D1C" w:rsidTr="003A3F89">
        <w:trPr>
          <w:trHeight w:val="210"/>
        </w:trPr>
        <w:tc>
          <w:tcPr>
            <w:tcW w:w="116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xml:space="preserve">    Obras de abrigo y defensa</w:t>
            </w:r>
          </w:p>
        </w:tc>
        <w:tc>
          <w:tcPr>
            <w:tcW w:w="63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50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63"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63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4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48"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r>
      <w:tr w:rsidR="00FE2D1C" w:rsidRPr="00FE2D1C" w:rsidTr="003A3F89">
        <w:trPr>
          <w:trHeight w:val="210"/>
        </w:trPr>
        <w:tc>
          <w:tcPr>
            <w:tcW w:w="116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xml:space="preserve">    Obras de atraque</w:t>
            </w:r>
          </w:p>
        </w:tc>
        <w:tc>
          <w:tcPr>
            <w:tcW w:w="63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449.903,05 </w:t>
            </w:r>
          </w:p>
        </w:tc>
        <w:tc>
          <w:tcPr>
            <w:tcW w:w="50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72.104,52 </w:t>
            </w:r>
          </w:p>
        </w:tc>
        <w:tc>
          <w:tcPr>
            <w:tcW w:w="463"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63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4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48"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522.007,57 </w:t>
            </w:r>
          </w:p>
        </w:tc>
      </w:tr>
      <w:tr w:rsidR="00FE2D1C" w:rsidRPr="00FE2D1C" w:rsidTr="003A3F89">
        <w:trPr>
          <w:trHeight w:val="210"/>
        </w:trPr>
        <w:tc>
          <w:tcPr>
            <w:tcW w:w="116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xml:space="preserve">    Instalaciones para reparación de barcos</w:t>
            </w:r>
          </w:p>
        </w:tc>
        <w:tc>
          <w:tcPr>
            <w:tcW w:w="63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1.574.298,10 </w:t>
            </w:r>
          </w:p>
        </w:tc>
        <w:tc>
          <w:tcPr>
            <w:tcW w:w="50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726,31 </w:t>
            </w:r>
          </w:p>
        </w:tc>
        <w:tc>
          <w:tcPr>
            <w:tcW w:w="463"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63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0,16 </w:t>
            </w:r>
          </w:p>
        </w:tc>
        <w:tc>
          <w:tcPr>
            <w:tcW w:w="44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48"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1.575.024,57 </w:t>
            </w:r>
          </w:p>
        </w:tc>
      </w:tr>
      <w:tr w:rsidR="00FE2D1C" w:rsidRPr="00FE2D1C" w:rsidTr="003A3F89">
        <w:trPr>
          <w:trHeight w:val="210"/>
        </w:trPr>
        <w:tc>
          <w:tcPr>
            <w:tcW w:w="116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xml:space="preserve">    Edificaciones</w:t>
            </w:r>
          </w:p>
        </w:tc>
        <w:tc>
          <w:tcPr>
            <w:tcW w:w="63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10.310.423,79 </w:t>
            </w:r>
          </w:p>
        </w:tc>
        <w:tc>
          <w:tcPr>
            <w:tcW w:w="50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326.502,14 </w:t>
            </w:r>
          </w:p>
        </w:tc>
        <w:tc>
          <w:tcPr>
            <w:tcW w:w="463"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(40.982,65) </w:t>
            </w:r>
          </w:p>
        </w:tc>
        <w:tc>
          <w:tcPr>
            <w:tcW w:w="63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4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48"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10.595.943,28 </w:t>
            </w:r>
          </w:p>
        </w:tc>
      </w:tr>
      <w:tr w:rsidR="00FE2D1C" w:rsidRPr="00FE2D1C" w:rsidTr="003A3F89">
        <w:trPr>
          <w:trHeight w:val="210"/>
        </w:trPr>
        <w:tc>
          <w:tcPr>
            <w:tcW w:w="116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xml:space="preserve">    Instalaciones generales</w:t>
            </w:r>
          </w:p>
        </w:tc>
        <w:tc>
          <w:tcPr>
            <w:tcW w:w="63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839.956,39 </w:t>
            </w:r>
          </w:p>
        </w:tc>
        <w:tc>
          <w:tcPr>
            <w:tcW w:w="50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36.519,79 </w:t>
            </w:r>
          </w:p>
        </w:tc>
        <w:tc>
          <w:tcPr>
            <w:tcW w:w="463"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63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4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48"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876.476,18 </w:t>
            </w:r>
          </w:p>
        </w:tc>
      </w:tr>
      <w:tr w:rsidR="00FE2D1C" w:rsidRPr="00FE2D1C" w:rsidTr="003A3F89">
        <w:trPr>
          <w:trHeight w:val="210"/>
        </w:trPr>
        <w:tc>
          <w:tcPr>
            <w:tcW w:w="116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xml:space="preserve">    Pavimentos, calzadas y vías de circulación</w:t>
            </w:r>
          </w:p>
        </w:tc>
        <w:tc>
          <w:tcPr>
            <w:tcW w:w="631"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26.313.473,79 </w:t>
            </w:r>
          </w:p>
        </w:tc>
        <w:tc>
          <w:tcPr>
            <w:tcW w:w="50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96.858,52 </w:t>
            </w:r>
          </w:p>
        </w:tc>
        <w:tc>
          <w:tcPr>
            <w:tcW w:w="463"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63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4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35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rPr>
                <w:rFonts w:ascii="Lucida Bright" w:hAnsi="Lucida Bright" w:cs="Calibri"/>
                <w:sz w:val="14"/>
                <w:szCs w:val="14"/>
                <w:lang w:val="es-ES"/>
              </w:rPr>
            </w:pPr>
            <w:r w:rsidRPr="00FE2D1C">
              <w:rPr>
                <w:rFonts w:ascii="Lucida Bright" w:hAnsi="Lucida Bright" w:cs="Calibri"/>
                <w:sz w:val="14"/>
                <w:szCs w:val="14"/>
                <w:lang w:val="es-ES"/>
              </w:rPr>
              <w:t> </w:t>
            </w:r>
          </w:p>
        </w:tc>
        <w:tc>
          <w:tcPr>
            <w:tcW w:w="448"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sz w:val="14"/>
                <w:szCs w:val="14"/>
                <w:lang w:val="es-ES"/>
              </w:rPr>
            </w:pPr>
            <w:r w:rsidRPr="00FE2D1C">
              <w:rPr>
                <w:rFonts w:ascii="Lucida Bright" w:hAnsi="Lucida Bright" w:cs="Calibri"/>
                <w:sz w:val="14"/>
                <w:szCs w:val="14"/>
                <w:lang w:val="es-ES"/>
              </w:rPr>
              <w:t xml:space="preserve">26.410.332,31 </w:t>
            </w:r>
          </w:p>
        </w:tc>
      </w:tr>
      <w:tr w:rsidR="00FE2D1C" w:rsidRPr="00FE2D1C" w:rsidTr="003A3F89">
        <w:trPr>
          <w:trHeight w:val="210"/>
        </w:trPr>
        <w:tc>
          <w:tcPr>
            <w:tcW w:w="1067" w:type="pct"/>
            <w:tcBorders>
              <w:top w:val="nil"/>
              <w:left w:val="single" w:sz="4" w:space="0" w:color="auto"/>
              <w:bottom w:val="single" w:sz="4" w:space="0" w:color="auto"/>
              <w:right w:val="nil"/>
            </w:tcBorders>
            <w:shd w:val="clear" w:color="000000" w:fill="FFFFFF"/>
            <w:noWrap/>
            <w:vAlign w:val="center"/>
            <w:hideMark/>
          </w:tcPr>
          <w:p w:rsidR="00FE2D1C" w:rsidRPr="00FE2D1C" w:rsidRDefault="00FE2D1C" w:rsidP="00FE2D1C">
            <w:pPr>
              <w:jc w:val="center"/>
              <w:rPr>
                <w:rFonts w:ascii="Lucida Bright" w:hAnsi="Lucida Bright" w:cs="Calibri"/>
                <w:b/>
                <w:bCs/>
                <w:sz w:val="14"/>
                <w:szCs w:val="14"/>
                <w:lang w:val="es-ES"/>
              </w:rPr>
            </w:pPr>
            <w:r w:rsidRPr="00FE2D1C">
              <w:rPr>
                <w:rFonts w:ascii="Lucida Bright" w:hAnsi="Lucida Bright" w:cs="Calibri"/>
                <w:b/>
                <w:bCs/>
                <w:sz w:val="14"/>
                <w:szCs w:val="14"/>
                <w:lang w:val="es-ES"/>
              </w:rPr>
              <w:t>TOTAL</w:t>
            </w:r>
          </w:p>
        </w:tc>
        <w:tc>
          <w:tcPr>
            <w:tcW w:w="95" w:type="pct"/>
            <w:tcBorders>
              <w:top w:val="nil"/>
              <w:left w:val="nil"/>
              <w:bottom w:val="single" w:sz="4" w:space="0" w:color="auto"/>
              <w:right w:val="nil"/>
            </w:tcBorders>
            <w:shd w:val="clear" w:color="000000" w:fill="FFFFFF"/>
            <w:noWrap/>
            <w:vAlign w:val="center"/>
            <w:hideMark/>
          </w:tcPr>
          <w:p w:rsidR="00FE2D1C" w:rsidRPr="00FE2D1C" w:rsidRDefault="00FE2D1C" w:rsidP="00FE2D1C">
            <w:pPr>
              <w:rPr>
                <w:rFonts w:ascii="Lucida Bright" w:hAnsi="Lucida Bright" w:cs="Calibri"/>
                <w:b/>
                <w:bCs/>
                <w:sz w:val="14"/>
                <w:szCs w:val="14"/>
                <w:lang w:val="es-ES"/>
              </w:rPr>
            </w:pPr>
            <w:r w:rsidRPr="00FE2D1C">
              <w:rPr>
                <w:rFonts w:ascii="Lucida Bright" w:hAnsi="Lucida Bright" w:cs="Calibri"/>
                <w:b/>
                <w:bCs/>
                <w:sz w:val="14"/>
                <w:szCs w:val="14"/>
                <w:lang w:val="es-ES"/>
              </w:rPr>
              <w:t> </w:t>
            </w:r>
          </w:p>
        </w:tc>
        <w:tc>
          <w:tcPr>
            <w:tcW w:w="631" w:type="pct"/>
            <w:tcBorders>
              <w:top w:val="nil"/>
              <w:left w:val="single" w:sz="4" w:space="0" w:color="auto"/>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39.488.055,12 </w:t>
            </w:r>
          </w:p>
        </w:tc>
        <w:tc>
          <w:tcPr>
            <w:tcW w:w="50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532.711,28 </w:t>
            </w:r>
          </w:p>
        </w:tc>
        <w:tc>
          <w:tcPr>
            <w:tcW w:w="463"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(40.982,65) </w:t>
            </w:r>
          </w:p>
        </w:tc>
        <w:tc>
          <w:tcPr>
            <w:tcW w:w="634"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0,16 </w:t>
            </w:r>
          </w:p>
        </w:tc>
        <w:tc>
          <w:tcPr>
            <w:tcW w:w="44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 </w:t>
            </w:r>
          </w:p>
        </w:tc>
        <w:tc>
          <w:tcPr>
            <w:tcW w:w="35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 </w:t>
            </w:r>
          </w:p>
        </w:tc>
        <w:tc>
          <w:tcPr>
            <w:tcW w:w="356"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 </w:t>
            </w:r>
          </w:p>
        </w:tc>
        <w:tc>
          <w:tcPr>
            <w:tcW w:w="448" w:type="pct"/>
            <w:tcBorders>
              <w:top w:val="nil"/>
              <w:left w:val="nil"/>
              <w:bottom w:val="single" w:sz="4" w:space="0" w:color="auto"/>
              <w:right w:val="single" w:sz="4" w:space="0" w:color="auto"/>
            </w:tcBorders>
            <w:shd w:val="clear" w:color="000000" w:fill="FFFFFF"/>
            <w:noWrap/>
            <w:vAlign w:val="center"/>
            <w:hideMark/>
          </w:tcPr>
          <w:p w:rsidR="00FE2D1C" w:rsidRPr="00FE2D1C" w:rsidRDefault="00FE2D1C" w:rsidP="00FE2D1C">
            <w:pPr>
              <w:jc w:val="right"/>
              <w:rPr>
                <w:rFonts w:ascii="Lucida Bright" w:hAnsi="Lucida Bright" w:cs="Calibri"/>
                <w:b/>
                <w:bCs/>
                <w:sz w:val="14"/>
                <w:szCs w:val="14"/>
                <w:lang w:val="es-ES"/>
              </w:rPr>
            </w:pPr>
            <w:r w:rsidRPr="00FE2D1C">
              <w:rPr>
                <w:rFonts w:ascii="Lucida Bright" w:hAnsi="Lucida Bright" w:cs="Calibri"/>
                <w:b/>
                <w:bCs/>
                <w:sz w:val="14"/>
                <w:szCs w:val="14"/>
                <w:lang w:val="es-ES"/>
              </w:rPr>
              <w:t xml:space="preserve">39.979.783,91 </w:t>
            </w:r>
          </w:p>
        </w:tc>
      </w:tr>
    </w:tbl>
    <w:p w:rsidR="00FE2D1C" w:rsidRDefault="00FE2D1C" w:rsidP="008323F0">
      <w:pPr>
        <w:ind w:right="35"/>
        <w:rPr>
          <w:rFonts w:ascii="Lucida Bright" w:eastAsia="Lucida Bright" w:hAnsi="Lucida Bright" w:cs="Lucida Bright"/>
          <w:b/>
          <w:bCs/>
          <w:color w:val="000000"/>
          <w:sz w:val="14"/>
        </w:rPr>
      </w:pPr>
    </w:p>
    <w:p w:rsidR="003A3F89" w:rsidRDefault="003A3F89" w:rsidP="008323F0">
      <w:pPr>
        <w:ind w:right="35"/>
        <w:rPr>
          <w:rFonts w:ascii="Lucida Bright" w:eastAsia="Lucida Bright" w:hAnsi="Lucida Bright" w:cs="Lucida Bright"/>
          <w:b/>
          <w:bCs/>
          <w:color w:val="000000"/>
          <w:sz w:val="14"/>
        </w:rPr>
        <w:sectPr w:rsidR="003A3F89" w:rsidSect="000B4249">
          <w:pgSz w:w="16840" w:h="11907" w:orient="landscape" w:code="9"/>
          <w:pgMar w:top="1985" w:right="1701" w:bottom="1418" w:left="1701" w:header="567" w:footer="720" w:gutter="0"/>
          <w:cols w:space="720"/>
          <w:docGrid w:linePitch="272"/>
        </w:sectPr>
      </w:pPr>
    </w:p>
    <w:p w:rsidR="008323F0" w:rsidRDefault="008323F0" w:rsidP="00BF22FE">
      <w:pPr>
        <w:tabs>
          <w:tab w:val="left" w:leader="dot" w:pos="4395"/>
        </w:tabs>
        <w:ind w:firstLine="284"/>
        <w:jc w:val="both"/>
        <w:rPr>
          <w:bCs/>
        </w:rPr>
      </w:pPr>
    </w:p>
    <w:p w:rsidR="008323F0" w:rsidRDefault="008323F0" w:rsidP="00BF22FE">
      <w:pPr>
        <w:tabs>
          <w:tab w:val="left" w:leader="dot" w:pos="4395"/>
        </w:tabs>
        <w:ind w:firstLine="284"/>
        <w:jc w:val="both"/>
        <w:rPr>
          <w:bCs/>
        </w:rPr>
      </w:pPr>
    </w:p>
    <w:tbl>
      <w:tblPr>
        <w:tblW w:w="5089" w:type="pct"/>
        <w:tblCellMar>
          <w:left w:w="70" w:type="dxa"/>
          <w:right w:w="70" w:type="dxa"/>
        </w:tblCellMar>
        <w:tblLook w:val="04A0" w:firstRow="1" w:lastRow="0" w:firstColumn="1" w:lastColumn="0" w:noHBand="0" w:noVBand="1"/>
      </w:tblPr>
      <w:tblGrid>
        <w:gridCol w:w="3063"/>
        <w:gridCol w:w="200"/>
        <w:gridCol w:w="1212"/>
        <w:gridCol w:w="1098"/>
        <w:gridCol w:w="987"/>
        <w:gridCol w:w="1293"/>
        <w:gridCol w:w="1029"/>
        <w:gridCol w:w="1293"/>
        <w:gridCol w:w="1029"/>
        <w:gridCol w:w="1125"/>
        <w:gridCol w:w="898"/>
        <w:gridCol w:w="1212"/>
      </w:tblGrid>
      <w:tr w:rsidR="003A3F89" w:rsidRPr="003A3F89" w:rsidTr="003A3F89">
        <w:trPr>
          <w:trHeight w:val="300"/>
        </w:trPr>
        <w:tc>
          <w:tcPr>
            <w:tcW w:w="2230" w:type="pct"/>
            <w:gridSpan w:val="5"/>
            <w:tcBorders>
              <w:top w:val="nil"/>
              <w:left w:val="nil"/>
              <w:bottom w:val="single" w:sz="4" w:space="0" w:color="auto"/>
              <w:right w:val="nil"/>
            </w:tcBorders>
            <w:shd w:val="clear" w:color="auto" w:fill="auto"/>
            <w:noWrap/>
            <w:vAlign w:val="bottom"/>
            <w:hideMark/>
          </w:tcPr>
          <w:p w:rsidR="003A3F89" w:rsidRPr="003A3F89" w:rsidRDefault="003A3F89" w:rsidP="003A3F89">
            <w:pPr>
              <w:rPr>
                <w:rFonts w:ascii="Lucida Bright" w:hAnsi="Lucida Bright" w:cs="Calibri"/>
                <w:b/>
                <w:bCs/>
                <w:sz w:val="18"/>
                <w:szCs w:val="18"/>
                <w:lang w:val="es-ES"/>
              </w:rPr>
            </w:pPr>
            <w:r w:rsidRPr="003A3F89">
              <w:rPr>
                <w:rFonts w:ascii="Lucida Bright" w:hAnsi="Lucida Bright" w:cs="Calibri"/>
                <w:b/>
                <w:bCs/>
                <w:sz w:val="18"/>
                <w:szCs w:val="18"/>
                <w:lang w:val="es-ES"/>
              </w:rPr>
              <w:t>CUADRO: INVERSIONES INMOBILIARIAS 2022</w:t>
            </w:r>
          </w:p>
        </w:tc>
        <w:tc>
          <w:tcPr>
            <w:tcW w:w="440" w:type="pct"/>
            <w:tcBorders>
              <w:top w:val="nil"/>
              <w:left w:val="nil"/>
              <w:bottom w:val="nil"/>
              <w:right w:val="nil"/>
            </w:tcBorders>
            <w:shd w:val="clear" w:color="000000" w:fill="FFFFFF"/>
            <w:noWrap/>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nil"/>
              <w:right w:val="nil"/>
            </w:tcBorders>
            <w:shd w:val="clear" w:color="000000" w:fill="FFFFFF"/>
            <w:noWrap/>
            <w:vAlign w:val="bottom"/>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(en euros)</w:t>
            </w:r>
          </w:p>
        </w:tc>
        <w:tc>
          <w:tcPr>
            <w:tcW w:w="440" w:type="pct"/>
            <w:tcBorders>
              <w:top w:val="nil"/>
              <w:left w:val="nil"/>
              <w:bottom w:val="nil"/>
              <w:right w:val="nil"/>
            </w:tcBorders>
            <w:shd w:val="clear" w:color="000000" w:fill="FFFFFF"/>
            <w:noWrap/>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nil"/>
              <w:right w:val="nil"/>
            </w:tcBorders>
            <w:shd w:val="clear" w:color="000000" w:fill="FFFFFF"/>
            <w:noWrap/>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83" w:type="pct"/>
            <w:tcBorders>
              <w:top w:val="nil"/>
              <w:left w:val="nil"/>
              <w:bottom w:val="nil"/>
              <w:right w:val="nil"/>
            </w:tcBorders>
            <w:shd w:val="clear" w:color="000000" w:fill="FFFFFF"/>
            <w:noWrap/>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06" w:type="pct"/>
            <w:tcBorders>
              <w:top w:val="nil"/>
              <w:left w:val="nil"/>
              <w:bottom w:val="nil"/>
              <w:right w:val="nil"/>
            </w:tcBorders>
            <w:shd w:val="clear" w:color="000000" w:fill="FFFFFF"/>
            <w:noWrap/>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500" w:type="pct"/>
            <w:tcBorders>
              <w:top w:val="nil"/>
              <w:left w:val="nil"/>
              <w:bottom w:val="nil"/>
              <w:right w:val="nil"/>
            </w:tcBorders>
            <w:shd w:val="clear" w:color="000000" w:fill="FFFFFF"/>
            <w:noWrap/>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r>
      <w:tr w:rsidR="003A3F89" w:rsidRPr="003A3F89" w:rsidTr="003A3F89">
        <w:trPr>
          <w:trHeight w:val="900"/>
        </w:trPr>
        <w:tc>
          <w:tcPr>
            <w:tcW w:w="1039" w:type="pct"/>
            <w:tcBorders>
              <w:top w:val="nil"/>
              <w:left w:val="single" w:sz="4" w:space="0" w:color="auto"/>
              <w:bottom w:val="single" w:sz="4" w:space="0" w:color="auto"/>
              <w:right w:val="nil"/>
            </w:tcBorders>
            <w:shd w:val="clear" w:color="000000" w:fill="CCFFCC"/>
            <w:noWrap/>
            <w:vAlign w:val="center"/>
            <w:hideMark/>
          </w:tcPr>
          <w:p w:rsidR="003A3F89" w:rsidRPr="003A3F89" w:rsidRDefault="003A3F89" w:rsidP="003A3F89">
            <w:pPr>
              <w:jc w:val="center"/>
              <w:rPr>
                <w:rFonts w:ascii="Lucida Bright" w:hAnsi="Lucida Bright" w:cs="Calibri"/>
                <w:b/>
                <w:bCs/>
                <w:sz w:val="14"/>
                <w:szCs w:val="14"/>
                <w:lang w:val="es-ES"/>
              </w:rPr>
            </w:pPr>
            <w:r w:rsidRPr="003A3F89">
              <w:rPr>
                <w:rFonts w:ascii="Lucida Bright" w:hAnsi="Lucida Bright" w:cs="Calibri"/>
                <w:b/>
                <w:bCs/>
                <w:sz w:val="14"/>
                <w:szCs w:val="14"/>
                <w:lang w:val="es-ES"/>
              </w:rPr>
              <w:t>CONCEPTO</w:t>
            </w:r>
          </w:p>
        </w:tc>
        <w:tc>
          <w:tcPr>
            <w:tcW w:w="68" w:type="pct"/>
            <w:tcBorders>
              <w:top w:val="nil"/>
              <w:left w:val="nil"/>
              <w:bottom w:val="single" w:sz="4" w:space="0" w:color="auto"/>
              <w:right w:val="single" w:sz="4" w:space="0" w:color="auto"/>
            </w:tcBorders>
            <w:shd w:val="clear" w:color="000000" w:fill="CCFFCC"/>
            <w:noWrap/>
            <w:vAlign w:val="bottom"/>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12" w:type="pct"/>
            <w:tcBorders>
              <w:top w:val="nil"/>
              <w:left w:val="nil"/>
              <w:bottom w:val="nil"/>
              <w:right w:val="single" w:sz="4" w:space="0" w:color="auto"/>
            </w:tcBorders>
            <w:shd w:val="clear" w:color="000000" w:fill="CCFFCC"/>
            <w:vAlign w:val="center"/>
            <w:hideMark/>
          </w:tcPr>
          <w:p w:rsidR="003A3F89" w:rsidRPr="003A3F89" w:rsidRDefault="003A3F89" w:rsidP="003A3F89">
            <w:pPr>
              <w:jc w:val="center"/>
              <w:rPr>
                <w:rFonts w:ascii="Lucida Bright" w:hAnsi="Lucida Bright" w:cs="Calibri"/>
                <w:sz w:val="14"/>
                <w:szCs w:val="14"/>
                <w:lang w:val="es-ES"/>
              </w:rPr>
            </w:pPr>
            <w:r w:rsidRPr="003A3F89">
              <w:rPr>
                <w:rFonts w:ascii="Lucida Bright" w:hAnsi="Lucida Bright" w:cs="Calibri"/>
                <w:sz w:val="14"/>
                <w:szCs w:val="14"/>
                <w:lang w:val="es-ES"/>
              </w:rPr>
              <w:t>Saldo a</w:t>
            </w:r>
            <w:r w:rsidRPr="003A3F89">
              <w:rPr>
                <w:rFonts w:ascii="Lucida Bright" w:hAnsi="Lucida Bright" w:cs="Calibri"/>
                <w:sz w:val="14"/>
                <w:szCs w:val="14"/>
                <w:lang w:val="es-ES"/>
              </w:rPr>
              <w:br/>
              <w:t>31-12-21</w:t>
            </w:r>
          </w:p>
        </w:tc>
        <w:tc>
          <w:tcPr>
            <w:tcW w:w="374" w:type="pct"/>
            <w:tcBorders>
              <w:top w:val="nil"/>
              <w:left w:val="nil"/>
              <w:bottom w:val="single" w:sz="4" w:space="0" w:color="auto"/>
              <w:right w:val="single" w:sz="4" w:space="0" w:color="auto"/>
            </w:tcBorders>
            <w:shd w:val="clear" w:color="000000" w:fill="CCFFCC"/>
            <w:vAlign w:val="center"/>
            <w:hideMark/>
          </w:tcPr>
          <w:p w:rsidR="003A3F89" w:rsidRPr="003A3F89" w:rsidRDefault="003A3F89" w:rsidP="003A3F89">
            <w:pPr>
              <w:jc w:val="center"/>
              <w:rPr>
                <w:rFonts w:ascii="Lucida Bright" w:hAnsi="Lucida Bright" w:cs="Calibri"/>
                <w:sz w:val="14"/>
                <w:szCs w:val="14"/>
                <w:lang w:val="es-ES"/>
              </w:rPr>
            </w:pPr>
            <w:r w:rsidRPr="003A3F89">
              <w:rPr>
                <w:rFonts w:ascii="Lucida Bright" w:hAnsi="Lucida Bright" w:cs="Calibri"/>
                <w:sz w:val="14"/>
                <w:szCs w:val="14"/>
                <w:lang w:val="es-ES"/>
              </w:rPr>
              <w:t>Adquisiciones (+)</w:t>
            </w:r>
          </w:p>
        </w:tc>
        <w:tc>
          <w:tcPr>
            <w:tcW w:w="336" w:type="pct"/>
            <w:tcBorders>
              <w:top w:val="nil"/>
              <w:left w:val="nil"/>
              <w:bottom w:val="single" w:sz="4" w:space="0" w:color="auto"/>
              <w:right w:val="single" w:sz="4" w:space="0" w:color="auto"/>
            </w:tcBorders>
            <w:shd w:val="clear" w:color="000000" w:fill="CCFFCC"/>
            <w:vAlign w:val="center"/>
            <w:hideMark/>
          </w:tcPr>
          <w:p w:rsidR="003A3F89" w:rsidRPr="003A3F89" w:rsidRDefault="003A3F89" w:rsidP="003A3F89">
            <w:pPr>
              <w:jc w:val="center"/>
              <w:rPr>
                <w:rFonts w:ascii="Lucida Bright" w:hAnsi="Lucida Bright" w:cs="Calibri"/>
                <w:sz w:val="14"/>
                <w:szCs w:val="14"/>
                <w:lang w:val="es-ES"/>
              </w:rPr>
            </w:pPr>
            <w:r w:rsidRPr="003A3F89">
              <w:rPr>
                <w:rFonts w:ascii="Lucida Bright" w:hAnsi="Lucida Bright" w:cs="Calibri"/>
                <w:sz w:val="14"/>
                <w:szCs w:val="14"/>
                <w:lang w:val="es-ES"/>
              </w:rPr>
              <w:t>Concesiones revertidas, donaciones y legados (+)</w:t>
            </w:r>
          </w:p>
        </w:tc>
        <w:tc>
          <w:tcPr>
            <w:tcW w:w="440" w:type="pct"/>
            <w:tcBorders>
              <w:top w:val="single" w:sz="4" w:space="0" w:color="auto"/>
              <w:left w:val="nil"/>
              <w:bottom w:val="single" w:sz="4" w:space="0" w:color="auto"/>
              <w:right w:val="single" w:sz="4" w:space="0" w:color="auto"/>
            </w:tcBorders>
            <w:shd w:val="clear" w:color="000000" w:fill="CCFFCC"/>
            <w:vAlign w:val="center"/>
            <w:hideMark/>
          </w:tcPr>
          <w:p w:rsidR="003A3F89" w:rsidRPr="003A3F89" w:rsidRDefault="003A3F89" w:rsidP="003A3F89">
            <w:pPr>
              <w:jc w:val="center"/>
              <w:rPr>
                <w:rFonts w:ascii="Lucida Bright" w:hAnsi="Lucida Bright" w:cs="Calibri"/>
                <w:sz w:val="14"/>
                <w:szCs w:val="14"/>
                <w:lang w:val="es-ES"/>
              </w:rPr>
            </w:pPr>
            <w:r w:rsidRPr="003A3F89">
              <w:rPr>
                <w:rFonts w:ascii="Lucida Bright" w:hAnsi="Lucida Bright" w:cs="Calibri"/>
                <w:sz w:val="14"/>
                <w:szCs w:val="14"/>
                <w:lang w:val="es-ES"/>
              </w:rPr>
              <w:t>Rescate anticipado de concesiones (+)</w:t>
            </w:r>
          </w:p>
        </w:tc>
        <w:tc>
          <w:tcPr>
            <w:tcW w:w="351" w:type="pct"/>
            <w:tcBorders>
              <w:top w:val="single" w:sz="4" w:space="0" w:color="auto"/>
              <w:left w:val="nil"/>
              <w:bottom w:val="single" w:sz="4" w:space="0" w:color="auto"/>
              <w:right w:val="single" w:sz="4" w:space="0" w:color="auto"/>
            </w:tcBorders>
            <w:shd w:val="clear" w:color="000000" w:fill="CCFFCC"/>
            <w:vAlign w:val="center"/>
            <w:hideMark/>
          </w:tcPr>
          <w:p w:rsidR="003A3F89" w:rsidRPr="003A3F89" w:rsidRDefault="003A3F89" w:rsidP="003A3F89">
            <w:pPr>
              <w:jc w:val="center"/>
              <w:rPr>
                <w:rFonts w:ascii="Lucida Bright" w:hAnsi="Lucida Bright" w:cs="Calibri"/>
                <w:sz w:val="14"/>
                <w:szCs w:val="14"/>
                <w:lang w:val="es-ES"/>
              </w:rPr>
            </w:pPr>
            <w:r w:rsidRPr="003A3F89">
              <w:rPr>
                <w:rFonts w:ascii="Lucida Bright" w:hAnsi="Lucida Bright" w:cs="Calibri"/>
                <w:sz w:val="14"/>
                <w:szCs w:val="14"/>
                <w:lang w:val="es-ES"/>
              </w:rPr>
              <w:t>Ventas, retiros y bajas (-)</w:t>
            </w:r>
          </w:p>
        </w:tc>
        <w:tc>
          <w:tcPr>
            <w:tcW w:w="440" w:type="pct"/>
            <w:tcBorders>
              <w:top w:val="single" w:sz="4" w:space="0" w:color="auto"/>
              <w:left w:val="nil"/>
              <w:bottom w:val="nil"/>
              <w:right w:val="single" w:sz="4" w:space="0" w:color="auto"/>
            </w:tcBorders>
            <w:shd w:val="clear" w:color="000000" w:fill="CCFFCC"/>
            <w:vAlign w:val="center"/>
            <w:hideMark/>
          </w:tcPr>
          <w:p w:rsidR="003A3F89" w:rsidRPr="003A3F89" w:rsidRDefault="003A3F89" w:rsidP="003A3F89">
            <w:pPr>
              <w:jc w:val="center"/>
              <w:rPr>
                <w:rFonts w:ascii="Lucida Bright" w:hAnsi="Lucida Bright" w:cs="Calibri"/>
                <w:sz w:val="14"/>
                <w:szCs w:val="14"/>
                <w:lang w:val="es-ES"/>
              </w:rPr>
            </w:pPr>
            <w:r w:rsidRPr="003A3F89">
              <w:rPr>
                <w:rFonts w:ascii="Lucida Bright" w:hAnsi="Lucida Bright" w:cs="Calibri"/>
                <w:sz w:val="14"/>
                <w:szCs w:val="14"/>
                <w:lang w:val="es-ES"/>
              </w:rPr>
              <w:t>Reclasificaciones (+/-)</w:t>
            </w:r>
          </w:p>
        </w:tc>
        <w:tc>
          <w:tcPr>
            <w:tcW w:w="351" w:type="pct"/>
            <w:tcBorders>
              <w:top w:val="single" w:sz="4" w:space="0" w:color="auto"/>
              <w:left w:val="nil"/>
              <w:bottom w:val="nil"/>
              <w:right w:val="single" w:sz="4" w:space="0" w:color="auto"/>
            </w:tcBorders>
            <w:shd w:val="clear" w:color="000000" w:fill="CCFFCC"/>
            <w:vAlign w:val="center"/>
            <w:hideMark/>
          </w:tcPr>
          <w:p w:rsidR="003A3F89" w:rsidRPr="003A3F89" w:rsidRDefault="003A3F89" w:rsidP="003A3F89">
            <w:pPr>
              <w:jc w:val="center"/>
              <w:rPr>
                <w:rFonts w:ascii="Lucida Bright" w:hAnsi="Lucida Bright" w:cs="Calibri"/>
                <w:sz w:val="14"/>
                <w:szCs w:val="14"/>
                <w:lang w:val="es-ES"/>
              </w:rPr>
            </w:pPr>
            <w:r w:rsidRPr="003A3F89">
              <w:rPr>
                <w:rFonts w:ascii="Lucida Bright" w:hAnsi="Lucida Bright" w:cs="Calibri"/>
                <w:sz w:val="14"/>
                <w:szCs w:val="14"/>
                <w:lang w:val="es-ES"/>
              </w:rPr>
              <w:t>Traspaso a/de inmovilizado material (+/-)</w:t>
            </w:r>
          </w:p>
        </w:tc>
        <w:tc>
          <w:tcPr>
            <w:tcW w:w="383" w:type="pct"/>
            <w:tcBorders>
              <w:top w:val="single" w:sz="4" w:space="0" w:color="auto"/>
              <w:left w:val="nil"/>
              <w:bottom w:val="nil"/>
              <w:right w:val="single" w:sz="4" w:space="0" w:color="auto"/>
            </w:tcBorders>
            <w:shd w:val="clear" w:color="000000" w:fill="CCFFCC"/>
            <w:vAlign w:val="center"/>
            <w:hideMark/>
          </w:tcPr>
          <w:p w:rsidR="003A3F89" w:rsidRPr="003A3F89" w:rsidRDefault="003A3F89" w:rsidP="003A3F89">
            <w:pPr>
              <w:jc w:val="center"/>
              <w:rPr>
                <w:rFonts w:ascii="Lucida Bright" w:hAnsi="Lucida Bright" w:cs="Calibri"/>
                <w:sz w:val="14"/>
                <w:szCs w:val="14"/>
                <w:lang w:val="es-ES"/>
              </w:rPr>
            </w:pPr>
            <w:r w:rsidRPr="003A3F89">
              <w:rPr>
                <w:rFonts w:ascii="Lucida Bright" w:hAnsi="Lucida Bright" w:cs="Calibri"/>
                <w:sz w:val="14"/>
                <w:szCs w:val="14"/>
                <w:lang w:val="es-ES"/>
              </w:rPr>
              <w:t>Traspaso a activo no corriente mantenido para la venta (-)</w:t>
            </w:r>
          </w:p>
        </w:tc>
        <w:tc>
          <w:tcPr>
            <w:tcW w:w="306" w:type="pct"/>
            <w:tcBorders>
              <w:top w:val="single" w:sz="4" w:space="0" w:color="auto"/>
              <w:left w:val="nil"/>
              <w:bottom w:val="nil"/>
              <w:right w:val="single" w:sz="4" w:space="0" w:color="auto"/>
            </w:tcBorders>
            <w:shd w:val="clear" w:color="000000" w:fill="CCFFCC"/>
            <w:vAlign w:val="center"/>
            <w:hideMark/>
          </w:tcPr>
          <w:p w:rsidR="003A3F89" w:rsidRPr="003A3F89" w:rsidRDefault="003A3F89" w:rsidP="003A3F89">
            <w:pPr>
              <w:jc w:val="center"/>
              <w:rPr>
                <w:rFonts w:ascii="Lucida Bright" w:hAnsi="Lucida Bright" w:cs="Calibri"/>
                <w:sz w:val="14"/>
                <w:szCs w:val="14"/>
                <w:lang w:val="es-ES"/>
              </w:rPr>
            </w:pPr>
            <w:proofErr w:type="spellStart"/>
            <w:r w:rsidRPr="003A3F89">
              <w:rPr>
                <w:rFonts w:ascii="Lucida Bright" w:hAnsi="Lucida Bright" w:cs="Calibri"/>
                <w:sz w:val="14"/>
                <w:szCs w:val="14"/>
                <w:lang w:val="es-ES"/>
              </w:rPr>
              <w:t>Transf</w:t>
            </w:r>
            <w:proofErr w:type="spellEnd"/>
            <w:r w:rsidRPr="003A3F89">
              <w:rPr>
                <w:rFonts w:ascii="Lucida Bright" w:hAnsi="Lucida Bright" w:cs="Calibri"/>
                <w:sz w:val="14"/>
                <w:szCs w:val="14"/>
                <w:lang w:val="es-ES"/>
              </w:rPr>
              <w:t xml:space="preserve">. </w:t>
            </w:r>
            <w:proofErr w:type="gramStart"/>
            <w:r w:rsidRPr="003A3F89">
              <w:rPr>
                <w:rFonts w:ascii="Lucida Bright" w:hAnsi="Lucida Bright" w:cs="Calibri"/>
                <w:sz w:val="14"/>
                <w:szCs w:val="14"/>
                <w:lang w:val="es-ES"/>
              </w:rPr>
              <w:t>a</w:t>
            </w:r>
            <w:proofErr w:type="gramEnd"/>
            <w:r w:rsidRPr="003A3F89">
              <w:rPr>
                <w:rFonts w:ascii="Lucida Bright" w:hAnsi="Lucida Bright" w:cs="Calibri"/>
                <w:sz w:val="14"/>
                <w:szCs w:val="14"/>
                <w:lang w:val="es-ES"/>
              </w:rPr>
              <w:t xml:space="preserve"> otros </w:t>
            </w:r>
            <w:proofErr w:type="spellStart"/>
            <w:r w:rsidRPr="003A3F89">
              <w:rPr>
                <w:rFonts w:ascii="Lucida Bright" w:hAnsi="Lucida Bright" w:cs="Calibri"/>
                <w:sz w:val="14"/>
                <w:szCs w:val="14"/>
                <w:lang w:val="es-ES"/>
              </w:rPr>
              <w:t>Org</w:t>
            </w:r>
            <w:proofErr w:type="spellEnd"/>
            <w:r w:rsidRPr="003A3F89">
              <w:rPr>
                <w:rFonts w:ascii="Lucida Bright" w:hAnsi="Lucida Bright" w:cs="Calibri"/>
                <w:sz w:val="14"/>
                <w:szCs w:val="14"/>
                <w:lang w:val="es-ES"/>
              </w:rPr>
              <w:t xml:space="preserve">. </w:t>
            </w:r>
            <w:proofErr w:type="spellStart"/>
            <w:r w:rsidRPr="003A3F89">
              <w:rPr>
                <w:rFonts w:ascii="Lucida Bright" w:hAnsi="Lucida Bright" w:cs="Calibri"/>
                <w:sz w:val="14"/>
                <w:szCs w:val="14"/>
                <w:lang w:val="es-ES"/>
              </w:rPr>
              <w:t>Públ</w:t>
            </w:r>
            <w:proofErr w:type="spellEnd"/>
            <w:r w:rsidRPr="003A3F89">
              <w:rPr>
                <w:rFonts w:ascii="Lucida Bright" w:hAnsi="Lucida Bright" w:cs="Calibri"/>
                <w:sz w:val="14"/>
                <w:szCs w:val="14"/>
                <w:lang w:val="es-ES"/>
              </w:rPr>
              <w:t>. y Ajustes contra patrimonio (+/-)</w:t>
            </w:r>
          </w:p>
        </w:tc>
        <w:tc>
          <w:tcPr>
            <w:tcW w:w="500" w:type="pct"/>
            <w:tcBorders>
              <w:top w:val="single" w:sz="4" w:space="0" w:color="auto"/>
              <w:left w:val="nil"/>
              <w:bottom w:val="nil"/>
              <w:right w:val="single" w:sz="4" w:space="0" w:color="auto"/>
            </w:tcBorders>
            <w:shd w:val="clear" w:color="000000" w:fill="CCFFCC"/>
            <w:vAlign w:val="center"/>
            <w:hideMark/>
          </w:tcPr>
          <w:p w:rsidR="003A3F89" w:rsidRPr="003A3F89" w:rsidRDefault="003A3F89" w:rsidP="003A3F89">
            <w:pPr>
              <w:jc w:val="center"/>
              <w:rPr>
                <w:rFonts w:ascii="Lucida Bright" w:hAnsi="Lucida Bright" w:cs="Calibri"/>
                <w:sz w:val="14"/>
                <w:szCs w:val="14"/>
                <w:lang w:val="es-ES"/>
              </w:rPr>
            </w:pPr>
            <w:r w:rsidRPr="003A3F89">
              <w:rPr>
                <w:rFonts w:ascii="Lucida Bright" w:hAnsi="Lucida Bright" w:cs="Calibri"/>
                <w:sz w:val="14"/>
                <w:szCs w:val="14"/>
                <w:lang w:val="es-ES"/>
              </w:rPr>
              <w:t>Saldo a</w:t>
            </w:r>
            <w:r w:rsidRPr="003A3F89">
              <w:rPr>
                <w:rFonts w:ascii="Lucida Bright" w:hAnsi="Lucida Bright" w:cs="Calibri"/>
                <w:sz w:val="14"/>
                <w:szCs w:val="14"/>
                <w:lang w:val="es-ES"/>
              </w:rPr>
              <w:br/>
              <w:t>31-12-22</w:t>
            </w:r>
          </w:p>
        </w:tc>
      </w:tr>
      <w:tr w:rsidR="003A3F89" w:rsidRPr="003A3F89" w:rsidTr="003A3F89">
        <w:trPr>
          <w:trHeight w:val="210"/>
        </w:trPr>
        <w:tc>
          <w:tcPr>
            <w:tcW w:w="110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b/>
                <w:bCs/>
                <w:sz w:val="14"/>
                <w:szCs w:val="14"/>
                <w:lang w:val="es-ES"/>
              </w:rPr>
            </w:pPr>
            <w:r w:rsidRPr="003A3F89">
              <w:rPr>
                <w:rFonts w:ascii="Lucida Bright" w:hAnsi="Lucida Bright" w:cs="Calibri"/>
                <w:b/>
                <w:bCs/>
                <w:sz w:val="14"/>
                <w:szCs w:val="14"/>
                <w:lang w:val="es-ES"/>
              </w:rPr>
              <w:t xml:space="preserve"> a) Terrenos</w:t>
            </w:r>
          </w:p>
        </w:tc>
        <w:tc>
          <w:tcPr>
            <w:tcW w:w="412" w:type="pct"/>
            <w:tcBorders>
              <w:top w:val="single" w:sz="4" w:space="0" w:color="auto"/>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64.033.614,39 </w:t>
            </w:r>
          </w:p>
        </w:tc>
        <w:tc>
          <w:tcPr>
            <w:tcW w:w="374"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b/>
                <w:bCs/>
                <w:sz w:val="14"/>
                <w:szCs w:val="14"/>
                <w:lang w:val="es-ES"/>
              </w:rPr>
            </w:pPr>
            <w:r w:rsidRPr="003A3F89">
              <w:rPr>
                <w:rFonts w:ascii="Lucida Bright" w:hAnsi="Lucida Bright" w:cs="Calibri"/>
                <w:b/>
                <w:bCs/>
                <w:sz w:val="14"/>
                <w:szCs w:val="14"/>
                <w:lang w:val="es-ES"/>
              </w:rPr>
              <w:t> </w:t>
            </w:r>
          </w:p>
        </w:tc>
        <w:tc>
          <w:tcPr>
            <w:tcW w:w="33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b/>
                <w:bCs/>
                <w:sz w:val="14"/>
                <w:szCs w:val="14"/>
                <w:lang w:val="es-ES"/>
              </w:rPr>
            </w:pPr>
            <w:r w:rsidRPr="003A3F89">
              <w:rPr>
                <w:rFonts w:ascii="Lucida Bright" w:hAnsi="Lucida Bright" w:cs="Calibri"/>
                <w:b/>
                <w:bCs/>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b/>
                <w:bCs/>
                <w:sz w:val="14"/>
                <w:szCs w:val="14"/>
                <w:lang w:val="es-ES"/>
              </w:rPr>
            </w:pPr>
            <w:r w:rsidRPr="003A3F89">
              <w:rPr>
                <w:rFonts w:ascii="Lucida Bright" w:hAnsi="Lucida Bright" w:cs="Calibri"/>
                <w:b/>
                <w:bCs/>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b/>
                <w:bCs/>
                <w:sz w:val="14"/>
                <w:szCs w:val="14"/>
                <w:lang w:val="es-ES"/>
              </w:rPr>
            </w:pPr>
            <w:r w:rsidRPr="003A3F89">
              <w:rPr>
                <w:rFonts w:ascii="Lucida Bright" w:hAnsi="Lucida Bright" w:cs="Calibri"/>
                <w:b/>
                <w:bCs/>
                <w:sz w:val="14"/>
                <w:szCs w:val="14"/>
                <w:lang w:val="es-ES"/>
              </w:rPr>
              <w:t> </w:t>
            </w:r>
          </w:p>
        </w:tc>
        <w:tc>
          <w:tcPr>
            <w:tcW w:w="440" w:type="pct"/>
            <w:tcBorders>
              <w:top w:val="single" w:sz="4" w:space="0" w:color="auto"/>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b/>
                <w:bCs/>
                <w:sz w:val="14"/>
                <w:szCs w:val="14"/>
                <w:lang w:val="es-ES"/>
              </w:rPr>
            </w:pPr>
            <w:r w:rsidRPr="003A3F89">
              <w:rPr>
                <w:rFonts w:ascii="Lucida Bright" w:hAnsi="Lucida Bright" w:cs="Calibri"/>
                <w:b/>
                <w:bCs/>
                <w:sz w:val="14"/>
                <w:szCs w:val="14"/>
                <w:lang w:val="es-ES"/>
              </w:rPr>
              <w:t> </w:t>
            </w:r>
          </w:p>
        </w:tc>
        <w:tc>
          <w:tcPr>
            <w:tcW w:w="351" w:type="pct"/>
            <w:tcBorders>
              <w:top w:val="single" w:sz="4" w:space="0" w:color="auto"/>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b/>
                <w:bCs/>
                <w:sz w:val="14"/>
                <w:szCs w:val="14"/>
                <w:lang w:val="es-ES"/>
              </w:rPr>
            </w:pPr>
            <w:r w:rsidRPr="003A3F89">
              <w:rPr>
                <w:rFonts w:ascii="Lucida Bright" w:hAnsi="Lucida Bright" w:cs="Calibri"/>
                <w:b/>
                <w:bCs/>
                <w:sz w:val="14"/>
                <w:szCs w:val="14"/>
                <w:lang w:val="es-ES"/>
              </w:rPr>
              <w:t> </w:t>
            </w:r>
          </w:p>
        </w:tc>
        <w:tc>
          <w:tcPr>
            <w:tcW w:w="383" w:type="pct"/>
            <w:tcBorders>
              <w:top w:val="single" w:sz="4" w:space="0" w:color="auto"/>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b/>
                <w:bCs/>
                <w:sz w:val="14"/>
                <w:szCs w:val="14"/>
                <w:lang w:val="es-ES"/>
              </w:rPr>
            </w:pPr>
            <w:r w:rsidRPr="003A3F89">
              <w:rPr>
                <w:rFonts w:ascii="Lucida Bright" w:hAnsi="Lucida Bright" w:cs="Calibri"/>
                <w:b/>
                <w:bCs/>
                <w:sz w:val="14"/>
                <w:szCs w:val="14"/>
                <w:lang w:val="es-ES"/>
              </w:rPr>
              <w:t> </w:t>
            </w:r>
          </w:p>
        </w:tc>
        <w:tc>
          <w:tcPr>
            <w:tcW w:w="306" w:type="pct"/>
            <w:tcBorders>
              <w:top w:val="single" w:sz="4" w:space="0" w:color="auto"/>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b/>
                <w:bCs/>
                <w:sz w:val="14"/>
                <w:szCs w:val="14"/>
                <w:lang w:val="es-ES"/>
              </w:rPr>
            </w:pPr>
            <w:r w:rsidRPr="003A3F89">
              <w:rPr>
                <w:rFonts w:ascii="Lucida Bright" w:hAnsi="Lucida Bright" w:cs="Calibri"/>
                <w:b/>
                <w:bCs/>
                <w:sz w:val="14"/>
                <w:szCs w:val="14"/>
                <w:lang w:val="es-ES"/>
              </w:rPr>
              <w:t> </w:t>
            </w:r>
          </w:p>
        </w:tc>
        <w:tc>
          <w:tcPr>
            <w:tcW w:w="500" w:type="pct"/>
            <w:tcBorders>
              <w:top w:val="single" w:sz="4" w:space="0" w:color="auto"/>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64.033.614,39 </w:t>
            </w:r>
          </w:p>
        </w:tc>
      </w:tr>
      <w:tr w:rsidR="003A3F89" w:rsidRPr="003A3F89" w:rsidTr="003A3F89">
        <w:trPr>
          <w:trHeight w:val="210"/>
        </w:trPr>
        <w:tc>
          <w:tcPr>
            <w:tcW w:w="110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b/>
                <w:bCs/>
                <w:sz w:val="14"/>
                <w:szCs w:val="14"/>
                <w:lang w:val="es-ES"/>
              </w:rPr>
            </w:pPr>
            <w:r w:rsidRPr="003A3F89">
              <w:rPr>
                <w:rFonts w:ascii="Lucida Bright" w:hAnsi="Lucida Bright" w:cs="Calibri"/>
                <w:b/>
                <w:bCs/>
                <w:sz w:val="14"/>
                <w:szCs w:val="14"/>
                <w:lang w:val="es-ES"/>
              </w:rPr>
              <w:t xml:space="preserve"> b) Construcciones</w:t>
            </w:r>
          </w:p>
        </w:tc>
        <w:tc>
          <w:tcPr>
            <w:tcW w:w="412"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51.087.107,72 </w:t>
            </w:r>
          </w:p>
        </w:tc>
        <w:tc>
          <w:tcPr>
            <w:tcW w:w="374"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 </w:t>
            </w:r>
          </w:p>
        </w:tc>
        <w:tc>
          <w:tcPr>
            <w:tcW w:w="33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182.714,66 </w:t>
            </w:r>
          </w:p>
        </w:tc>
        <w:tc>
          <w:tcPr>
            <w:tcW w:w="383"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 </w:t>
            </w:r>
          </w:p>
        </w:tc>
        <w:tc>
          <w:tcPr>
            <w:tcW w:w="30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 </w:t>
            </w:r>
          </w:p>
        </w:tc>
        <w:tc>
          <w:tcPr>
            <w:tcW w:w="50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51.269.822,38 </w:t>
            </w:r>
          </w:p>
        </w:tc>
      </w:tr>
      <w:tr w:rsidR="003A3F89" w:rsidRPr="003A3F89" w:rsidTr="003A3F89">
        <w:trPr>
          <w:trHeight w:val="210"/>
        </w:trPr>
        <w:tc>
          <w:tcPr>
            <w:tcW w:w="110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xml:space="preserve">      Accesos marítimos</w:t>
            </w:r>
          </w:p>
        </w:tc>
        <w:tc>
          <w:tcPr>
            <w:tcW w:w="412"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74"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3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83"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0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50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r>
      <w:tr w:rsidR="003A3F89" w:rsidRPr="003A3F89" w:rsidTr="003A3F89">
        <w:trPr>
          <w:trHeight w:val="210"/>
        </w:trPr>
        <w:tc>
          <w:tcPr>
            <w:tcW w:w="110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xml:space="preserve">      Obras de abrigo y defensa</w:t>
            </w:r>
          </w:p>
        </w:tc>
        <w:tc>
          <w:tcPr>
            <w:tcW w:w="412"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74"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3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83"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0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50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r>
      <w:tr w:rsidR="003A3F89" w:rsidRPr="003A3F89" w:rsidTr="003A3F89">
        <w:trPr>
          <w:trHeight w:val="210"/>
        </w:trPr>
        <w:tc>
          <w:tcPr>
            <w:tcW w:w="110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xml:space="preserve">      Obras de atraque</w:t>
            </w:r>
          </w:p>
        </w:tc>
        <w:tc>
          <w:tcPr>
            <w:tcW w:w="412"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1.871.584,52 </w:t>
            </w:r>
          </w:p>
        </w:tc>
        <w:tc>
          <w:tcPr>
            <w:tcW w:w="374"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3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83"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0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50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1.871.584,52 </w:t>
            </w:r>
          </w:p>
        </w:tc>
      </w:tr>
      <w:tr w:rsidR="003A3F89" w:rsidRPr="003A3F89" w:rsidTr="003A3F89">
        <w:trPr>
          <w:trHeight w:val="210"/>
        </w:trPr>
        <w:tc>
          <w:tcPr>
            <w:tcW w:w="110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xml:space="preserve">      Instalaciones para reparación de barcos</w:t>
            </w:r>
          </w:p>
        </w:tc>
        <w:tc>
          <w:tcPr>
            <w:tcW w:w="412"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1.578.464,86 </w:t>
            </w:r>
          </w:p>
        </w:tc>
        <w:tc>
          <w:tcPr>
            <w:tcW w:w="374"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3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83"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0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50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1.578.464,86 </w:t>
            </w:r>
          </w:p>
        </w:tc>
      </w:tr>
      <w:tr w:rsidR="003A3F89" w:rsidRPr="003A3F89" w:rsidTr="003A3F89">
        <w:trPr>
          <w:trHeight w:val="210"/>
        </w:trPr>
        <w:tc>
          <w:tcPr>
            <w:tcW w:w="110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xml:space="preserve">      Edificaciones</w:t>
            </w:r>
          </w:p>
        </w:tc>
        <w:tc>
          <w:tcPr>
            <w:tcW w:w="412"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20.171.977,71 </w:t>
            </w:r>
          </w:p>
        </w:tc>
        <w:tc>
          <w:tcPr>
            <w:tcW w:w="374"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3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182.714,66 </w:t>
            </w:r>
          </w:p>
        </w:tc>
        <w:tc>
          <w:tcPr>
            <w:tcW w:w="383"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0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50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20.354.692,37 </w:t>
            </w:r>
          </w:p>
        </w:tc>
      </w:tr>
      <w:tr w:rsidR="003A3F89" w:rsidRPr="003A3F89" w:rsidTr="003A3F89">
        <w:trPr>
          <w:trHeight w:val="210"/>
        </w:trPr>
        <w:tc>
          <w:tcPr>
            <w:tcW w:w="110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xml:space="preserve">      Instalaciones generales</w:t>
            </w:r>
          </w:p>
        </w:tc>
        <w:tc>
          <w:tcPr>
            <w:tcW w:w="412"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876.476,18 </w:t>
            </w:r>
          </w:p>
        </w:tc>
        <w:tc>
          <w:tcPr>
            <w:tcW w:w="374"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3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83"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0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50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876.476,18 </w:t>
            </w:r>
          </w:p>
        </w:tc>
      </w:tr>
      <w:tr w:rsidR="003A3F89" w:rsidRPr="003A3F89" w:rsidTr="003A3F89">
        <w:trPr>
          <w:trHeight w:val="210"/>
        </w:trPr>
        <w:tc>
          <w:tcPr>
            <w:tcW w:w="110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xml:space="preserve">      Pavimentos, calzadas y vías de circulación</w:t>
            </w:r>
          </w:p>
        </w:tc>
        <w:tc>
          <w:tcPr>
            <w:tcW w:w="412"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26.588.604,45 </w:t>
            </w:r>
          </w:p>
        </w:tc>
        <w:tc>
          <w:tcPr>
            <w:tcW w:w="374"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3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83"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0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50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26.588.604,45 </w:t>
            </w:r>
          </w:p>
        </w:tc>
      </w:tr>
      <w:tr w:rsidR="003A3F89" w:rsidRPr="003A3F89" w:rsidTr="003A3F89">
        <w:trPr>
          <w:trHeight w:val="210"/>
        </w:trPr>
        <w:tc>
          <w:tcPr>
            <w:tcW w:w="1039" w:type="pct"/>
            <w:tcBorders>
              <w:top w:val="nil"/>
              <w:left w:val="single" w:sz="4" w:space="0" w:color="auto"/>
              <w:bottom w:val="single" w:sz="4" w:space="0" w:color="auto"/>
              <w:right w:val="nil"/>
            </w:tcBorders>
            <w:shd w:val="clear" w:color="000000" w:fill="FFFFFF"/>
            <w:noWrap/>
            <w:vAlign w:val="center"/>
            <w:hideMark/>
          </w:tcPr>
          <w:p w:rsidR="003A3F89" w:rsidRPr="003A3F89" w:rsidRDefault="003A3F89" w:rsidP="003A3F89">
            <w:pPr>
              <w:jc w:val="center"/>
              <w:rPr>
                <w:rFonts w:ascii="Lucida Bright" w:hAnsi="Lucida Bright" w:cs="Calibri"/>
                <w:b/>
                <w:bCs/>
                <w:sz w:val="14"/>
                <w:szCs w:val="14"/>
                <w:lang w:val="es-ES"/>
              </w:rPr>
            </w:pPr>
            <w:r w:rsidRPr="003A3F89">
              <w:rPr>
                <w:rFonts w:ascii="Lucida Bright" w:hAnsi="Lucida Bright" w:cs="Calibri"/>
                <w:b/>
                <w:bCs/>
                <w:sz w:val="14"/>
                <w:szCs w:val="14"/>
                <w:lang w:val="es-ES"/>
              </w:rPr>
              <w:t>TOTAL</w:t>
            </w:r>
          </w:p>
        </w:tc>
        <w:tc>
          <w:tcPr>
            <w:tcW w:w="68" w:type="pct"/>
            <w:tcBorders>
              <w:top w:val="nil"/>
              <w:left w:val="nil"/>
              <w:bottom w:val="single" w:sz="4" w:space="0" w:color="auto"/>
              <w:right w:val="nil"/>
            </w:tcBorders>
            <w:shd w:val="clear" w:color="000000" w:fill="FFFFFF"/>
            <w:noWrap/>
            <w:vAlign w:val="center"/>
            <w:hideMark/>
          </w:tcPr>
          <w:p w:rsidR="003A3F89" w:rsidRPr="003A3F89" w:rsidRDefault="003A3F89" w:rsidP="003A3F89">
            <w:pPr>
              <w:rPr>
                <w:rFonts w:ascii="Lucida Bright" w:hAnsi="Lucida Bright" w:cs="Calibri"/>
                <w:b/>
                <w:bCs/>
                <w:sz w:val="14"/>
                <w:szCs w:val="14"/>
                <w:lang w:val="es-ES"/>
              </w:rPr>
            </w:pPr>
            <w:r w:rsidRPr="003A3F89">
              <w:rPr>
                <w:rFonts w:ascii="Lucida Bright" w:hAnsi="Lucida Bright" w:cs="Calibri"/>
                <w:b/>
                <w:bCs/>
                <w:sz w:val="14"/>
                <w:szCs w:val="14"/>
                <w:lang w:val="es-ES"/>
              </w:rPr>
              <w:t> </w:t>
            </w:r>
          </w:p>
        </w:tc>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115.120.722,11 </w:t>
            </w:r>
          </w:p>
        </w:tc>
        <w:tc>
          <w:tcPr>
            <w:tcW w:w="374"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 </w:t>
            </w:r>
          </w:p>
        </w:tc>
        <w:tc>
          <w:tcPr>
            <w:tcW w:w="33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182.714,66 </w:t>
            </w:r>
          </w:p>
        </w:tc>
        <w:tc>
          <w:tcPr>
            <w:tcW w:w="383"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 </w:t>
            </w:r>
          </w:p>
        </w:tc>
        <w:tc>
          <w:tcPr>
            <w:tcW w:w="30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 </w:t>
            </w:r>
          </w:p>
        </w:tc>
        <w:tc>
          <w:tcPr>
            <w:tcW w:w="50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115.303.436,77 </w:t>
            </w:r>
          </w:p>
        </w:tc>
      </w:tr>
      <w:tr w:rsidR="003A3F89" w:rsidRPr="003A3F89" w:rsidTr="003A3F89">
        <w:trPr>
          <w:trHeight w:val="210"/>
        </w:trPr>
        <w:tc>
          <w:tcPr>
            <w:tcW w:w="1039" w:type="pct"/>
            <w:tcBorders>
              <w:top w:val="nil"/>
              <w:left w:val="nil"/>
              <w:bottom w:val="nil"/>
              <w:right w:val="nil"/>
            </w:tcBorders>
            <w:shd w:val="clear" w:color="000000" w:fill="FFFFFF"/>
            <w:noWrap/>
            <w:vAlign w:val="bottom"/>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68" w:type="pct"/>
            <w:tcBorders>
              <w:top w:val="nil"/>
              <w:left w:val="nil"/>
              <w:bottom w:val="nil"/>
              <w:right w:val="nil"/>
            </w:tcBorders>
            <w:shd w:val="clear" w:color="000000" w:fill="FFFFFF"/>
            <w:noWrap/>
            <w:vAlign w:val="bottom"/>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12" w:type="pct"/>
            <w:tcBorders>
              <w:top w:val="nil"/>
              <w:left w:val="nil"/>
              <w:bottom w:val="nil"/>
              <w:right w:val="nil"/>
            </w:tcBorders>
            <w:shd w:val="clear" w:color="000000" w:fill="FFFFFF"/>
            <w:noWrap/>
            <w:vAlign w:val="bottom"/>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74" w:type="pct"/>
            <w:tcBorders>
              <w:top w:val="nil"/>
              <w:left w:val="nil"/>
              <w:bottom w:val="nil"/>
              <w:right w:val="nil"/>
            </w:tcBorders>
            <w:shd w:val="clear" w:color="000000" w:fill="FFFFFF"/>
            <w:noWrap/>
            <w:vAlign w:val="bottom"/>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36" w:type="pct"/>
            <w:tcBorders>
              <w:top w:val="nil"/>
              <w:left w:val="nil"/>
              <w:bottom w:val="nil"/>
              <w:right w:val="nil"/>
            </w:tcBorders>
            <w:shd w:val="clear" w:color="000000" w:fill="FFFFFF"/>
            <w:noWrap/>
            <w:vAlign w:val="bottom"/>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nil"/>
              <w:right w:val="nil"/>
            </w:tcBorders>
            <w:shd w:val="clear" w:color="000000" w:fill="FFFFFF"/>
            <w:noWrap/>
            <w:vAlign w:val="bottom"/>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nil"/>
              <w:right w:val="nil"/>
            </w:tcBorders>
            <w:shd w:val="clear" w:color="000000" w:fill="FFFFFF"/>
            <w:noWrap/>
            <w:vAlign w:val="bottom"/>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nil"/>
              <w:right w:val="nil"/>
            </w:tcBorders>
            <w:shd w:val="clear" w:color="000000" w:fill="FFFFFF"/>
            <w:noWrap/>
            <w:vAlign w:val="bottom"/>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nil"/>
              <w:right w:val="nil"/>
            </w:tcBorders>
            <w:shd w:val="clear" w:color="000000" w:fill="FFFFFF"/>
            <w:noWrap/>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w:t>
            </w:r>
          </w:p>
        </w:tc>
        <w:tc>
          <w:tcPr>
            <w:tcW w:w="383" w:type="pct"/>
            <w:tcBorders>
              <w:top w:val="nil"/>
              <w:left w:val="nil"/>
              <w:bottom w:val="nil"/>
              <w:right w:val="nil"/>
            </w:tcBorders>
            <w:shd w:val="clear" w:color="000000" w:fill="FFFFFF"/>
            <w:noWrap/>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w:t>
            </w:r>
          </w:p>
        </w:tc>
        <w:tc>
          <w:tcPr>
            <w:tcW w:w="306" w:type="pct"/>
            <w:tcBorders>
              <w:top w:val="nil"/>
              <w:left w:val="nil"/>
              <w:bottom w:val="nil"/>
              <w:right w:val="nil"/>
            </w:tcBorders>
            <w:shd w:val="clear" w:color="000000" w:fill="FFFFFF"/>
            <w:noWrap/>
            <w:vAlign w:val="bottom"/>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w:t>
            </w:r>
          </w:p>
        </w:tc>
        <w:tc>
          <w:tcPr>
            <w:tcW w:w="500" w:type="pct"/>
            <w:tcBorders>
              <w:top w:val="nil"/>
              <w:left w:val="nil"/>
              <w:bottom w:val="nil"/>
              <w:right w:val="nil"/>
            </w:tcBorders>
            <w:shd w:val="clear" w:color="000000" w:fill="FFFFFF"/>
            <w:noWrap/>
            <w:vAlign w:val="bottom"/>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r>
      <w:tr w:rsidR="003A3F89" w:rsidRPr="003A3F89" w:rsidTr="003A3F89">
        <w:trPr>
          <w:trHeight w:val="240"/>
        </w:trPr>
        <w:tc>
          <w:tcPr>
            <w:tcW w:w="3020" w:type="pct"/>
            <w:gridSpan w:val="7"/>
            <w:tcBorders>
              <w:top w:val="nil"/>
              <w:left w:val="nil"/>
              <w:bottom w:val="single" w:sz="4" w:space="0" w:color="auto"/>
              <w:right w:val="nil"/>
            </w:tcBorders>
            <w:shd w:val="clear" w:color="auto" w:fill="auto"/>
            <w:noWrap/>
            <w:vAlign w:val="bottom"/>
            <w:hideMark/>
          </w:tcPr>
          <w:p w:rsidR="003A3F89" w:rsidRPr="003A3F89" w:rsidRDefault="003A3F89" w:rsidP="003A3F89">
            <w:pPr>
              <w:rPr>
                <w:rFonts w:ascii="Lucida Bright" w:hAnsi="Lucida Bright" w:cs="Calibri"/>
                <w:b/>
                <w:bCs/>
                <w:sz w:val="18"/>
                <w:szCs w:val="18"/>
                <w:lang w:val="es-ES"/>
              </w:rPr>
            </w:pPr>
            <w:r w:rsidRPr="003A3F89">
              <w:rPr>
                <w:rFonts w:ascii="Lucida Bright" w:hAnsi="Lucida Bright" w:cs="Calibri"/>
                <w:b/>
                <w:bCs/>
                <w:sz w:val="18"/>
                <w:szCs w:val="18"/>
                <w:lang w:val="es-ES"/>
              </w:rPr>
              <w:t>CUADRO: AMORTIZACIÓN ACUMULADA DE LAS INVERSIONES INMOBILIARIAS 2022</w:t>
            </w:r>
          </w:p>
        </w:tc>
        <w:tc>
          <w:tcPr>
            <w:tcW w:w="440" w:type="pct"/>
            <w:tcBorders>
              <w:top w:val="nil"/>
              <w:left w:val="nil"/>
              <w:bottom w:val="nil"/>
              <w:right w:val="nil"/>
            </w:tcBorders>
            <w:shd w:val="clear" w:color="000000" w:fill="FFFFFF"/>
            <w:noWrap/>
            <w:vAlign w:val="bottom"/>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(en euros)</w:t>
            </w:r>
          </w:p>
        </w:tc>
        <w:tc>
          <w:tcPr>
            <w:tcW w:w="351" w:type="pct"/>
            <w:tcBorders>
              <w:top w:val="nil"/>
              <w:left w:val="nil"/>
              <w:bottom w:val="nil"/>
              <w:right w:val="nil"/>
            </w:tcBorders>
            <w:shd w:val="clear" w:color="000000" w:fill="FFFFFF"/>
            <w:noWrap/>
            <w:hideMark/>
          </w:tcPr>
          <w:p w:rsidR="003A3F89" w:rsidRPr="003A3F89" w:rsidRDefault="003A3F89" w:rsidP="003A3F89">
            <w:pPr>
              <w:rPr>
                <w:rFonts w:ascii="Lucida Bright" w:hAnsi="Lucida Bright" w:cs="Calibri"/>
                <w:sz w:val="18"/>
                <w:szCs w:val="18"/>
                <w:lang w:val="es-ES"/>
              </w:rPr>
            </w:pPr>
            <w:r w:rsidRPr="003A3F89">
              <w:rPr>
                <w:rFonts w:ascii="Lucida Bright" w:hAnsi="Lucida Bright" w:cs="Calibri"/>
                <w:sz w:val="18"/>
                <w:szCs w:val="18"/>
                <w:lang w:val="es-ES"/>
              </w:rPr>
              <w:t> </w:t>
            </w:r>
          </w:p>
        </w:tc>
        <w:tc>
          <w:tcPr>
            <w:tcW w:w="383" w:type="pct"/>
            <w:tcBorders>
              <w:top w:val="nil"/>
              <w:left w:val="nil"/>
              <w:bottom w:val="nil"/>
              <w:right w:val="nil"/>
            </w:tcBorders>
            <w:shd w:val="clear" w:color="000000" w:fill="FFFFFF"/>
            <w:noWrap/>
            <w:hideMark/>
          </w:tcPr>
          <w:p w:rsidR="003A3F89" w:rsidRPr="003A3F89" w:rsidRDefault="003A3F89" w:rsidP="003A3F89">
            <w:pPr>
              <w:rPr>
                <w:rFonts w:ascii="Lucida Bright" w:hAnsi="Lucida Bright" w:cs="Calibri"/>
                <w:sz w:val="18"/>
                <w:szCs w:val="18"/>
                <w:lang w:val="es-ES"/>
              </w:rPr>
            </w:pPr>
            <w:r w:rsidRPr="003A3F89">
              <w:rPr>
                <w:rFonts w:ascii="Lucida Bright" w:hAnsi="Lucida Bright" w:cs="Calibri"/>
                <w:sz w:val="18"/>
                <w:szCs w:val="18"/>
                <w:lang w:val="es-ES"/>
              </w:rPr>
              <w:t> </w:t>
            </w:r>
          </w:p>
        </w:tc>
        <w:tc>
          <w:tcPr>
            <w:tcW w:w="306" w:type="pct"/>
            <w:tcBorders>
              <w:top w:val="nil"/>
              <w:left w:val="nil"/>
              <w:bottom w:val="nil"/>
              <w:right w:val="nil"/>
            </w:tcBorders>
            <w:shd w:val="clear" w:color="000000" w:fill="FFFFFF"/>
            <w:noWrap/>
            <w:hideMark/>
          </w:tcPr>
          <w:p w:rsidR="003A3F89" w:rsidRPr="003A3F89" w:rsidRDefault="003A3F89" w:rsidP="003A3F89">
            <w:pPr>
              <w:rPr>
                <w:rFonts w:ascii="Lucida Bright" w:hAnsi="Lucida Bright" w:cs="Calibri"/>
                <w:sz w:val="18"/>
                <w:szCs w:val="18"/>
                <w:lang w:val="es-ES"/>
              </w:rPr>
            </w:pPr>
            <w:r w:rsidRPr="003A3F89">
              <w:rPr>
                <w:rFonts w:ascii="Lucida Bright" w:hAnsi="Lucida Bright" w:cs="Calibri"/>
                <w:sz w:val="18"/>
                <w:szCs w:val="18"/>
                <w:lang w:val="es-ES"/>
              </w:rPr>
              <w:t> </w:t>
            </w:r>
          </w:p>
        </w:tc>
        <w:tc>
          <w:tcPr>
            <w:tcW w:w="500" w:type="pct"/>
            <w:tcBorders>
              <w:top w:val="nil"/>
              <w:left w:val="nil"/>
              <w:bottom w:val="nil"/>
              <w:right w:val="nil"/>
            </w:tcBorders>
            <w:shd w:val="clear" w:color="000000" w:fill="FFFFFF"/>
            <w:noWrap/>
            <w:hideMark/>
          </w:tcPr>
          <w:p w:rsidR="003A3F89" w:rsidRPr="003A3F89" w:rsidRDefault="003A3F89" w:rsidP="003A3F89">
            <w:pPr>
              <w:rPr>
                <w:rFonts w:ascii="Lucida Bright" w:hAnsi="Lucida Bright" w:cs="Calibri"/>
                <w:sz w:val="18"/>
                <w:szCs w:val="18"/>
                <w:lang w:val="es-ES"/>
              </w:rPr>
            </w:pPr>
            <w:r w:rsidRPr="003A3F89">
              <w:rPr>
                <w:rFonts w:ascii="Lucida Bright" w:hAnsi="Lucida Bright" w:cs="Calibri"/>
                <w:sz w:val="18"/>
                <w:szCs w:val="18"/>
                <w:lang w:val="es-ES"/>
              </w:rPr>
              <w:t> </w:t>
            </w:r>
          </w:p>
        </w:tc>
      </w:tr>
      <w:tr w:rsidR="003A3F89" w:rsidRPr="003A3F89" w:rsidTr="003A3F89">
        <w:trPr>
          <w:trHeight w:val="720"/>
        </w:trPr>
        <w:tc>
          <w:tcPr>
            <w:tcW w:w="1107" w:type="pct"/>
            <w:gridSpan w:val="2"/>
            <w:tcBorders>
              <w:top w:val="single" w:sz="4" w:space="0" w:color="auto"/>
              <w:left w:val="single" w:sz="4" w:space="0" w:color="auto"/>
              <w:bottom w:val="single" w:sz="4" w:space="0" w:color="auto"/>
              <w:right w:val="single" w:sz="4" w:space="0" w:color="000000"/>
            </w:tcBorders>
            <w:shd w:val="clear" w:color="000000" w:fill="CCFFCC"/>
            <w:vAlign w:val="center"/>
            <w:hideMark/>
          </w:tcPr>
          <w:p w:rsidR="003A3F89" w:rsidRPr="003A3F89" w:rsidRDefault="003A3F89" w:rsidP="003A3F89">
            <w:pPr>
              <w:jc w:val="center"/>
              <w:rPr>
                <w:rFonts w:ascii="Lucida Bright" w:hAnsi="Lucida Bright" w:cs="Calibri"/>
                <w:b/>
                <w:bCs/>
                <w:sz w:val="14"/>
                <w:szCs w:val="14"/>
                <w:lang w:val="es-ES"/>
              </w:rPr>
            </w:pPr>
            <w:r w:rsidRPr="003A3F89">
              <w:rPr>
                <w:rFonts w:ascii="Lucida Bright" w:hAnsi="Lucida Bright" w:cs="Calibri"/>
                <w:b/>
                <w:bCs/>
                <w:sz w:val="14"/>
                <w:szCs w:val="14"/>
                <w:lang w:val="es-ES"/>
              </w:rPr>
              <w:t>CONCEPTO</w:t>
            </w:r>
          </w:p>
        </w:tc>
        <w:tc>
          <w:tcPr>
            <w:tcW w:w="412" w:type="pct"/>
            <w:tcBorders>
              <w:top w:val="nil"/>
              <w:left w:val="nil"/>
              <w:bottom w:val="single" w:sz="4" w:space="0" w:color="auto"/>
              <w:right w:val="single" w:sz="4" w:space="0" w:color="auto"/>
            </w:tcBorders>
            <w:shd w:val="clear" w:color="000000" w:fill="CCFFCC"/>
            <w:vAlign w:val="center"/>
            <w:hideMark/>
          </w:tcPr>
          <w:p w:rsidR="003A3F89" w:rsidRPr="003A3F89" w:rsidRDefault="003A3F89" w:rsidP="003A3F89">
            <w:pPr>
              <w:jc w:val="center"/>
              <w:rPr>
                <w:rFonts w:ascii="Lucida Bright" w:hAnsi="Lucida Bright" w:cs="Calibri"/>
                <w:sz w:val="14"/>
                <w:szCs w:val="14"/>
                <w:lang w:val="es-ES"/>
              </w:rPr>
            </w:pPr>
            <w:r w:rsidRPr="003A3F89">
              <w:rPr>
                <w:rFonts w:ascii="Lucida Bright" w:hAnsi="Lucida Bright" w:cs="Calibri"/>
                <w:sz w:val="14"/>
                <w:szCs w:val="14"/>
                <w:lang w:val="es-ES"/>
              </w:rPr>
              <w:t>Saldo a</w:t>
            </w:r>
            <w:r w:rsidRPr="003A3F89">
              <w:rPr>
                <w:rFonts w:ascii="Lucida Bright" w:hAnsi="Lucida Bright" w:cs="Calibri"/>
                <w:sz w:val="14"/>
                <w:szCs w:val="14"/>
                <w:lang w:val="es-ES"/>
              </w:rPr>
              <w:br/>
              <w:t>31-12-21</w:t>
            </w:r>
          </w:p>
        </w:tc>
        <w:tc>
          <w:tcPr>
            <w:tcW w:w="374" w:type="pct"/>
            <w:tcBorders>
              <w:top w:val="nil"/>
              <w:left w:val="nil"/>
              <w:bottom w:val="single" w:sz="4" w:space="0" w:color="auto"/>
              <w:right w:val="single" w:sz="4" w:space="0" w:color="auto"/>
            </w:tcBorders>
            <w:shd w:val="clear" w:color="000000" w:fill="CCFFCC"/>
            <w:vAlign w:val="center"/>
            <w:hideMark/>
          </w:tcPr>
          <w:p w:rsidR="003A3F89" w:rsidRPr="003A3F89" w:rsidRDefault="003A3F89" w:rsidP="003A3F89">
            <w:pPr>
              <w:jc w:val="center"/>
              <w:rPr>
                <w:rFonts w:ascii="Lucida Bright" w:hAnsi="Lucida Bright" w:cs="Calibri"/>
                <w:sz w:val="14"/>
                <w:szCs w:val="14"/>
                <w:lang w:val="es-ES"/>
              </w:rPr>
            </w:pPr>
            <w:r w:rsidRPr="003A3F89">
              <w:rPr>
                <w:rFonts w:ascii="Lucida Bright" w:hAnsi="Lucida Bright" w:cs="Calibri"/>
                <w:sz w:val="14"/>
                <w:szCs w:val="14"/>
                <w:lang w:val="es-ES"/>
              </w:rPr>
              <w:t>Dotaciones</w:t>
            </w:r>
            <w:r w:rsidRPr="003A3F89">
              <w:rPr>
                <w:rFonts w:ascii="Lucida Bright" w:hAnsi="Lucida Bright" w:cs="Calibri"/>
                <w:sz w:val="14"/>
                <w:szCs w:val="14"/>
                <w:lang w:val="es-ES"/>
              </w:rPr>
              <w:br/>
              <w:t>(+)</w:t>
            </w:r>
          </w:p>
        </w:tc>
        <w:tc>
          <w:tcPr>
            <w:tcW w:w="336" w:type="pct"/>
            <w:tcBorders>
              <w:top w:val="nil"/>
              <w:left w:val="nil"/>
              <w:bottom w:val="single" w:sz="4" w:space="0" w:color="auto"/>
              <w:right w:val="single" w:sz="4" w:space="0" w:color="auto"/>
            </w:tcBorders>
            <w:shd w:val="clear" w:color="000000" w:fill="CCFFCC"/>
            <w:vAlign w:val="center"/>
            <w:hideMark/>
          </w:tcPr>
          <w:p w:rsidR="003A3F89" w:rsidRPr="003A3F89" w:rsidRDefault="003A3F89" w:rsidP="003A3F89">
            <w:pPr>
              <w:jc w:val="center"/>
              <w:rPr>
                <w:rFonts w:ascii="Lucida Bright" w:hAnsi="Lucida Bright" w:cs="Calibri"/>
                <w:sz w:val="14"/>
                <w:szCs w:val="14"/>
                <w:lang w:val="es-ES"/>
              </w:rPr>
            </w:pPr>
            <w:r w:rsidRPr="003A3F89">
              <w:rPr>
                <w:rFonts w:ascii="Lucida Bright" w:hAnsi="Lucida Bright" w:cs="Calibri"/>
                <w:sz w:val="14"/>
                <w:szCs w:val="14"/>
                <w:lang w:val="es-ES"/>
              </w:rPr>
              <w:t>Ventas, retiros y bajas (-)</w:t>
            </w:r>
          </w:p>
        </w:tc>
        <w:tc>
          <w:tcPr>
            <w:tcW w:w="440" w:type="pct"/>
            <w:tcBorders>
              <w:top w:val="nil"/>
              <w:left w:val="nil"/>
              <w:bottom w:val="single" w:sz="4" w:space="0" w:color="auto"/>
              <w:right w:val="single" w:sz="4" w:space="0" w:color="auto"/>
            </w:tcBorders>
            <w:shd w:val="clear" w:color="000000" w:fill="CCFFCC"/>
            <w:vAlign w:val="center"/>
            <w:hideMark/>
          </w:tcPr>
          <w:p w:rsidR="003A3F89" w:rsidRPr="003A3F89" w:rsidRDefault="003A3F89" w:rsidP="003A3F89">
            <w:pPr>
              <w:jc w:val="center"/>
              <w:rPr>
                <w:rFonts w:ascii="Lucida Bright" w:hAnsi="Lucida Bright" w:cs="Calibri"/>
                <w:sz w:val="14"/>
                <w:szCs w:val="14"/>
                <w:lang w:val="es-ES"/>
              </w:rPr>
            </w:pPr>
            <w:r w:rsidRPr="003A3F89">
              <w:rPr>
                <w:rFonts w:ascii="Lucida Bright" w:hAnsi="Lucida Bright" w:cs="Calibri"/>
                <w:sz w:val="14"/>
                <w:szCs w:val="14"/>
                <w:lang w:val="es-ES"/>
              </w:rPr>
              <w:t>Reclasificaciones (+/-)</w:t>
            </w:r>
          </w:p>
        </w:tc>
        <w:tc>
          <w:tcPr>
            <w:tcW w:w="351" w:type="pct"/>
            <w:tcBorders>
              <w:top w:val="nil"/>
              <w:left w:val="nil"/>
              <w:bottom w:val="single" w:sz="4" w:space="0" w:color="auto"/>
              <w:right w:val="single" w:sz="4" w:space="0" w:color="auto"/>
            </w:tcBorders>
            <w:shd w:val="clear" w:color="000000" w:fill="CCFFCC"/>
            <w:vAlign w:val="center"/>
            <w:hideMark/>
          </w:tcPr>
          <w:p w:rsidR="003A3F89" w:rsidRPr="003A3F89" w:rsidRDefault="003A3F89" w:rsidP="003A3F89">
            <w:pPr>
              <w:jc w:val="center"/>
              <w:rPr>
                <w:rFonts w:ascii="Lucida Bright" w:hAnsi="Lucida Bright" w:cs="Calibri"/>
                <w:sz w:val="14"/>
                <w:szCs w:val="14"/>
                <w:lang w:val="es-ES"/>
              </w:rPr>
            </w:pPr>
            <w:r w:rsidRPr="003A3F89">
              <w:rPr>
                <w:rFonts w:ascii="Lucida Bright" w:hAnsi="Lucida Bright" w:cs="Calibri"/>
                <w:sz w:val="14"/>
                <w:szCs w:val="14"/>
                <w:lang w:val="es-ES"/>
              </w:rPr>
              <w:t>Traspaso a/de inmovilizado material (+/-)</w:t>
            </w:r>
          </w:p>
        </w:tc>
        <w:tc>
          <w:tcPr>
            <w:tcW w:w="440" w:type="pct"/>
            <w:tcBorders>
              <w:top w:val="single" w:sz="4" w:space="0" w:color="auto"/>
              <w:left w:val="nil"/>
              <w:bottom w:val="single" w:sz="4" w:space="0" w:color="auto"/>
              <w:right w:val="single" w:sz="4" w:space="0" w:color="auto"/>
            </w:tcBorders>
            <w:shd w:val="clear" w:color="000000" w:fill="CCFFCC"/>
            <w:vAlign w:val="center"/>
            <w:hideMark/>
          </w:tcPr>
          <w:p w:rsidR="003A3F89" w:rsidRPr="003A3F89" w:rsidRDefault="003A3F89" w:rsidP="003A3F89">
            <w:pPr>
              <w:jc w:val="center"/>
              <w:rPr>
                <w:rFonts w:ascii="Lucida Bright" w:hAnsi="Lucida Bright" w:cs="Calibri"/>
                <w:sz w:val="14"/>
                <w:szCs w:val="14"/>
                <w:lang w:val="es-ES"/>
              </w:rPr>
            </w:pPr>
            <w:proofErr w:type="spellStart"/>
            <w:r w:rsidRPr="003A3F89">
              <w:rPr>
                <w:rFonts w:ascii="Lucida Bright" w:hAnsi="Lucida Bright" w:cs="Calibri"/>
                <w:sz w:val="14"/>
                <w:szCs w:val="14"/>
                <w:lang w:val="es-ES"/>
              </w:rPr>
              <w:t>Trasp</w:t>
            </w:r>
            <w:proofErr w:type="spellEnd"/>
            <w:r w:rsidRPr="003A3F89">
              <w:rPr>
                <w:rFonts w:ascii="Lucida Bright" w:hAnsi="Lucida Bright" w:cs="Calibri"/>
                <w:sz w:val="14"/>
                <w:szCs w:val="14"/>
                <w:lang w:val="es-ES"/>
              </w:rPr>
              <w:t>. a activo no corriente mantenido para la venta (-)</w:t>
            </w:r>
          </w:p>
        </w:tc>
        <w:tc>
          <w:tcPr>
            <w:tcW w:w="351" w:type="pct"/>
            <w:tcBorders>
              <w:top w:val="single" w:sz="4" w:space="0" w:color="auto"/>
              <w:left w:val="nil"/>
              <w:bottom w:val="single" w:sz="4" w:space="0" w:color="auto"/>
              <w:right w:val="single" w:sz="4" w:space="0" w:color="auto"/>
            </w:tcBorders>
            <w:shd w:val="clear" w:color="000000" w:fill="CCFFCC"/>
            <w:vAlign w:val="center"/>
            <w:hideMark/>
          </w:tcPr>
          <w:p w:rsidR="003A3F89" w:rsidRPr="003A3F89" w:rsidRDefault="003A3F89" w:rsidP="003A3F89">
            <w:pPr>
              <w:jc w:val="center"/>
              <w:rPr>
                <w:rFonts w:ascii="Lucida Bright" w:hAnsi="Lucida Bright" w:cs="Calibri"/>
                <w:sz w:val="14"/>
                <w:szCs w:val="14"/>
                <w:lang w:val="es-ES"/>
              </w:rPr>
            </w:pPr>
            <w:proofErr w:type="spellStart"/>
            <w:r w:rsidRPr="003A3F89">
              <w:rPr>
                <w:rFonts w:ascii="Lucida Bright" w:hAnsi="Lucida Bright" w:cs="Calibri"/>
                <w:sz w:val="14"/>
                <w:szCs w:val="14"/>
                <w:lang w:val="es-ES"/>
              </w:rPr>
              <w:t>Transf</w:t>
            </w:r>
            <w:proofErr w:type="spellEnd"/>
            <w:r w:rsidRPr="003A3F89">
              <w:rPr>
                <w:rFonts w:ascii="Lucida Bright" w:hAnsi="Lucida Bright" w:cs="Calibri"/>
                <w:sz w:val="14"/>
                <w:szCs w:val="14"/>
                <w:lang w:val="es-ES"/>
              </w:rPr>
              <w:t xml:space="preserve">. </w:t>
            </w:r>
            <w:proofErr w:type="gramStart"/>
            <w:r w:rsidRPr="003A3F89">
              <w:rPr>
                <w:rFonts w:ascii="Lucida Bright" w:hAnsi="Lucida Bright" w:cs="Calibri"/>
                <w:sz w:val="14"/>
                <w:szCs w:val="14"/>
                <w:lang w:val="es-ES"/>
              </w:rPr>
              <w:t>a</w:t>
            </w:r>
            <w:proofErr w:type="gramEnd"/>
            <w:r w:rsidRPr="003A3F89">
              <w:rPr>
                <w:rFonts w:ascii="Lucida Bright" w:hAnsi="Lucida Bright" w:cs="Calibri"/>
                <w:sz w:val="14"/>
                <w:szCs w:val="14"/>
                <w:lang w:val="es-ES"/>
              </w:rPr>
              <w:t xml:space="preserve"> otros </w:t>
            </w:r>
            <w:proofErr w:type="spellStart"/>
            <w:r w:rsidRPr="003A3F89">
              <w:rPr>
                <w:rFonts w:ascii="Lucida Bright" w:hAnsi="Lucida Bright" w:cs="Calibri"/>
                <w:sz w:val="14"/>
                <w:szCs w:val="14"/>
                <w:lang w:val="es-ES"/>
              </w:rPr>
              <w:t>Org</w:t>
            </w:r>
            <w:proofErr w:type="spellEnd"/>
            <w:r w:rsidRPr="003A3F89">
              <w:rPr>
                <w:rFonts w:ascii="Lucida Bright" w:hAnsi="Lucida Bright" w:cs="Calibri"/>
                <w:sz w:val="14"/>
                <w:szCs w:val="14"/>
                <w:lang w:val="es-ES"/>
              </w:rPr>
              <w:t xml:space="preserve">. </w:t>
            </w:r>
            <w:proofErr w:type="spellStart"/>
            <w:r w:rsidRPr="003A3F89">
              <w:rPr>
                <w:rFonts w:ascii="Lucida Bright" w:hAnsi="Lucida Bright" w:cs="Calibri"/>
                <w:sz w:val="14"/>
                <w:szCs w:val="14"/>
                <w:lang w:val="es-ES"/>
              </w:rPr>
              <w:t>Públ</w:t>
            </w:r>
            <w:proofErr w:type="spellEnd"/>
            <w:r w:rsidRPr="003A3F89">
              <w:rPr>
                <w:rFonts w:ascii="Lucida Bright" w:hAnsi="Lucida Bright" w:cs="Calibri"/>
                <w:sz w:val="14"/>
                <w:szCs w:val="14"/>
                <w:lang w:val="es-ES"/>
              </w:rPr>
              <w:t>. y Ajustes contra patrimonio (+/-)</w:t>
            </w:r>
          </w:p>
        </w:tc>
        <w:tc>
          <w:tcPr>
            <w:tcW w:w="383" w:type="pct"/>
            <w:tcBorders>
              <w:top w:val="single" w:sz="4" w:space="0" w:color="auto"/>
              <w:left w:val="nil"/>
              <w:bottom w:val="single" w:sz="4" w:space="0" w:color="auto"/>
              <w:right w:val="single" w:sz="4" w:space="0" w:color="auto"/>
            </w:tcBorders>
            <w:shd w:val="clear" w:color="000000" w:fill="CCFFCC"/>
            <w:vAlign w:val="center"/>
            <w:hideMark/>
          </w:tcPr>
          <w:p w:rsidR="003A3F89" w:rsidRPr="003A3F89" w:rsidRDefault="003A3F89" w:rsidP="003A3F89">
            <w:pPr>
              <w:jc w:val="center"/>
              <w:rPr>
                <w:rFonts w:ascii="Lucida Bright" w:hAnsi="Lucida Bright" w:cs="Calibri"/>
                <w:sz w:val="14"/>
                <w:szCs w:val="14"/>
                <w:lang w:val="es-ES"/>
              </w:rPr>
            </w:pPr>
            <w:r w:rsidRPr="003A3F89">
              <w:rPr>
                <w:rFonts w:ascii="Lucida Bright" w:hAnsi="Lucida Bright" w:cs="Calibri"/>
                <w:sz w:val="14"/>
                <w:szCs w:val="14"/>
                <w:lang w:val="es-ES"/>
              </w:rPr>
              <w:t>Saldo a</w:t>
            </w:r>
            <w:r w:rsidRPr="003A3F89">
              <w:rPr>
                <w:rFonts w:ascii="Lucida Bright" w:hAnsi="Lucida Bright" w:cs="Calibri"/>
                <w:sz w:val="14"/>
                <w:szCs w:val="14"/>
                <w:lang w:val="es-ES"/>
              </w:rPr>
              <w:br/>
              <w:t>31-12-22</w:t>
            </w:r>
          </w:p>
        </w:tc>
        <w:tc>
          <w:tcPr>
            <w:tcW w:w="306" w:type="pct"/>
            <w:tcBorders>
              <w:top w:val="nil"/>
              <w:left w:val="nil"/>
              <w:bottom w:val="nil"/>
              <w:right w:val="nil"/>
            </w:tcBorders>
            <w:shd w:val="clear" w:color="000000" w:fill="FFFFFF"/>
            <w:noWrap/>
            <w:vAlign w:val="bottom"/>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500" w:type="pct"/>
            <w:tcBorders>
              <w:top w:val="nil"/>
              <w:left w:val="nil"/>
              <w:bottom w:val="nil"/>
              <w:right w:val="nil"/>
            </w:tcBorders>
            <w:shd w:val="clear" w:color="000000" w:fill="FFFFFF"/>
            <w:noWrap/>
            <w:vAlign w:val="bottom"/>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r>
      <w:tr w:rsidR="003A3F89" w:rsidRPr="003A3F89" w:rsidTr="003A3F89">
        <w:trPr>
          <w:trHeight w:val="210"/>
        </w:trPr>
        <w:tc>
          <w:tcPr>
            <w:tcW w:w="1107"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A3F89" w:rsidRPr="003A3F89" w:rsidRDefault="003A3F89" w:rsidP="003A3F89">
            <w:pPr>
              <w:rPr>
                <w:rFonts w:ascii="Lucida Bright" w:hAnsi="Lucida Bright" w:cs="Calibri"/>
                <w:b/>
                <w:bCs/>
                <w:sz w:val="14"/>
                <w:szCs w:val="14"/>
                <w:lang w:val="es-ES"/>
              </w:rPr>
            </w:pPr>
            <w:r w:rsidRPr="003A3F89">
              <w:rPr>
                <w:rFonts w:ascii="Lucida Bright" w:hAnsi="Lucida Bright" w:cs="Calibri"/>
                <w:b/>
                <w:bCs/>
                <w:sz w:val="14"/>
                <w:szCs w:val="14"/>
                <w:lang w:val="es-ES"/>
              </w:rPr>
              <w:t xml:space="preserve"> b) Construcciones</w:t>
            </w:r>
          </w:p>
        </w:tc>
        <w:tc>
          <w:tcPr>
            <w:tcW w:w="412"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38.623.311,85 </w:t>
            </w:r>
          </w:p>
        </w:tc>
        <w:tc>
          <w:tcPr>
            <w:tcW w:w="374"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864.743,27 </w:t>
            </w:r>
          </w:p>
        </w:tc>
        <w:tc>
          <w:tcPr>
            <w:tcW w:w="33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 </w:t>
            </w:r>
          </w:p>
        </w:tc>
        <w:tc>
          <w:tcPr>
            <w:tcW w:w="383"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39.488.055,12 </w:t>
            </w:r>
          </w:p>
        </w:tc>
        <w:tc>
          <w:tcPr>
            <w:tcW w:w="306" w:type="pct"/>
            <w:tcBorders>
              <w:top w:val="nil"/>
              <w:left w:val="nil"/>
              <w:bottom w:val="nil"/>
              <w:right w:val="nil"/>
            </w:tcBorders>
            <w:shd w:val="clear" w:color="000000" w:fill="FFFFFF"/>
            <w:noWrap/>
            <w:vAlign w:val="bottom"/>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500" w:type="pct"/>
            <w:tcBorders>
              <w:top w:val="nil"/>
              <w:left w:val="nil"/>
              <w:bottom w:val="nil"/>
              <w:right w:val="nil"/>
            </w:tcBorders>
            <w:shd w:val="clear" w:color="000000" w:fill="FFFFFF"/>
            <w:noWrap/>
            <w:vAlign w:val="bottom"/>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r>
      <w:tr w:rsidR="003A3F89" w:rsidRPr="003A3F89" w:rsidTr="003A3F89">
        <w:trPr>
          <w:trHeight w:val="210"/>
        </w:trPr>
        <w:tc>
          <w:tcPr>
            <w:tcW w:w="110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xml:space="preserve">    Accesos marítimos</w:t>
            </w:r>
          </w:p>
        </w:tc>
        <w:tc>
          <w:tcPr>
            <w:tcW w:w="412"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74"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3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83"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06" w:type="pct"/>
            <w:tcBorders>
              <w:top w:val="nil"/>
              <w:left w:val="nil"/>
              <w:bottom w:val="nil"/>
              <w:right w:val="nil"/>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500" w:type="pct"/>
            <w:tcBorders>
              <w:top w:val="nil"/>
              <w:left w:val="nil"/>
              <w:bottom w:val="nil"/>
              <w:right w:val="nil"/>
            </w:tcBorders>
            <w:shd w:val="clear" w:color="000000" w:fill="FFFFFF"/>
            <w:noWrap/>
            <w:vAlign w:val="center"/>
            <w:hideMark/>
          </w:tcPr>
          <w:p w:rsidR="003A3F89" w:rsidRPr="003A3F89" w:rsidRDefault="003A3F89" w:rsidP="003A3F89">
            <w:pPr>
              <w:rPr>
                <w:rFonts w:ascii="Lucida Bright" w:hAnsi="Lucida Bright" w:cs="Calibri"/>
                <w:b/>
                <w:bCs/>
                <w:sz w:val="14"/>
                <w:szCs w:val="14"/>
                <w:lang w:val="es-ES"/>
              </w:rPr>
            </w:pPr>
            <w:r w:rsidRPr="003A3F89">
              <w:rPr>
                <w:rFonts w:ascii="Lucida Bright" w:hAnsi="Lucida Bright" w:cs="Calibri"/>
                <w:b/>
                <w:bCs/>
                <w:sz w:val="14"/>
                <w:szCs w:val="14"/>
                <w:lang w:val="es-ES"/>
              </w:rPr>
              <w:t> </w:t>
            </w:r>
          </w:p>
        </w:tc>
      </w:tr>
      <w:tr w:rsidR="003A3F89" w:rsidRPr="003A3F89" w:rsidTr="003A3F89">
        <w:trPr>
          <w:trHeight w:val="210"/>
        </w:trPr>
        <w:tc>
          <w:tcPr>
            <w:tcW w:w="110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xml:space="preserve">    Obras de abrigo y defensa</w:t>
            </w:r>
          </w:p>
        </w:tc>
        <w:tc>
          <w:tcPr>
            <w:tcW w:w="412"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74"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3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83"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06" w:type="pct"/>
            <w:tcBorders>
              <w:top w:val="nil"/>
              <w:left w:val="nil"/>
              <w:bottom w:val="nil"/>
              <w:right w:val="nil"/>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500" w:type="pct"/>
            <w:tcBorders>
              <w:top w:val="nil"/>
              <w:left w:val="nil"/>
              <w:bottom w:val="nil"/>
              <w:right w:val="nil"/>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r>
      <w:tr w:rsidR="003A3F89" w:rsidRPr="003A3F89" w:rsidTr="003A3F89">
        <w:trPr>
          <w:trHeight w:val="210"/>
        </w:trPr>
        <w:tc>
          <w:tcPr>
            <w:tcW w:w="110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xml:space="preserve">    Obras de atraque</w:t>
            </w:r>
          </w:p>
        </w:tc>
        <w:tc>
          <w:tcPr>
            <w:tcW w:w="412"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377.798,53 </w:t>
            </w:r>
          </w:p>
        </w:tc>
        <w:tc>
          <w:tcPr>
            <w:tcW w:w="374"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72.104,52 </w:t>
            </w:r>
          </w:p>
        </w:tc>
        <w:tc>
          <w:tcPr>
            <w:tcW w:w="33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83"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449.903,05 </w:t>
            </w:r>
          </w:p>
        </w:tc>
        <w:tc>
          <w:tcPr>
            <w:tcW w:w="306" w:type="pct"/>
            <w:tcBorders>
              <w:top w:val="nil"/>
              <w:left w:val="nil"/>
              <w:bottom w:val="nil"/>
              <w:right w:val="nil"/>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500" w:type="pct"/>
            <w:tcBorders>
              <w:top w:val="nil"/>
              <w:left w:val="nil"/>
              <w:bottom w:val="nil"/>
              <w:right w:val="nil"/>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r>
      <w:tr w:rsidR="003A3F89" w:rsidRPr="003A3F89" w:rsidTr="003A3F89">
        <w:trPr>
          <w:trHeight w:val="210"/>
        </w:trPr>
        <w:tc>
          <w:tcPr>
            <w:tcW w:w="110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xml:space="preserve">    Instalaciones para reparación de barcos</w:t>
            </w:r>
          </w:p>
        </w:tc>
        <w:tc>
          <w:tcPr>
            <w:tcW w:w="412"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1.573.571,81 </w:t>
            </w:r>
          </w:p>
        </w:tc>
        <w:tc>
          <w:tcPr>
            <w:tcW w:w="374"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726,29 </w:t>
            </w:r>
          </w:p>
        </w:tc>
        <w:tc>
          <w:tcPr>
            <w:tcW w:w="33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83"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1.574.298,10 </w:t>
            </w:r>
          </w:p>
        </w:tc>
        <w:tc>
          <w:tcPr>
            <w:tcW w:w="306" w:type="pct"/>
            <w:tcBorders>
              <w:top w:val="nil"/>
              <w:left w:val="nil"/>
              <w:bottom w:val="nil"/>
              <w:right w:val="nil"/>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500" w:type="pct"/>
            <w:tcBorders>
              <w:top w:val="nil"/>
              <w:left w:val="nil"/>
              <w:bottom w:val="nil"/>
              <w:right w:val="nil"/>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r>
      <w:tr w:rsidR="003A3F89" w:rsidRPr="003A3F89" w:rsidTr="003A3F89">
        <w:trPr>
          <w:trHeight w:val="210"/>
        </w:trPr>
        <w:tc>
          <w:tcPr>
            <w:tcW w:w="110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xml:space="preserve">    Edificaciones</w:t>
            </w:r>
          </w:p>
        </w:tc>
        <w:tc>
          <w:tcPr>
            <w:tcW w:w="412"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9.988.959,41 </w:t>
            </w:r>
          </w:p>
        </w:tc>
        <w:tc>
          <w:tcPr>
            <w:tcW w:w="374"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321.464,38 </w:t>
            </w:r>
          </w:p>
        </w:tc>
        <w:tc>
          <w:tcPr>
            <w:tcW w:w="33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83"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10.310.423,79 </w:t>
            </w:r>
          </w:p>
        </w:tc>
        <w:tc>
          <w:tcPr>
            <w:tcW w:w="306" w:type="pct"/>
            <w:tcBorders>
              <w:top w:val="nil"/>
              <w:left w:val="nil"/>
              <w:bottom w:val="nil"/>
              <w:right w:val="nil"/>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500" w:type="pct"/>
            <w:tcBorders>
              <w:top w:val="nil"/>
              <w:left w:val="nil"/>
              <w:bottom w:val="nil"/>
              <w:right w:val="nil"/>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r>
      <w:tr w:rsidR="003A3F89" w:rsidRPr="003A3F89" w:rsidTr="003A3F89">
        <w:trPr>
          <w:trHeight w:val="210"/>
        </w:trPr>
        <w:tc>
          <w:tcPr>
            <w:tcW w:w="110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xml:space="preserve">    Instalaciones generales</w:t>
            </w:r>
          </w:p>
        </w:tc>
        <w:tc>
          <w:tcPr>
            <w:tcW w:w="412"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752.308,85 </w:t>
            </w:r>
          </w:p>
        </w:tc>
        <w:tc>
          <w:tcPr>
            <w:tcW w:w="374"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87.647,54 </w:t>
            </w:r>
          </w:p>
        </w:tc>
        <w:tc>
          <w:tcPr>
            <w:tcW w:w="33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383"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839.956,39 </w:t>
            </w:r>
          </w:p>
        </w:tc>
        <w:tc>
          <w:tcPr>
            <w:tcW w:w="306" w:type="pct"/>
            <w:tcBorders>
              <w:top w:val="nil"/>
              <w:left w:val="nil"/>
              <w:bottom w:val="nil"/>
              <w:right w:val="nil"/>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500" w:type="pct"/>
            <w:tcBorders>
              <w:top w:val="nil"/>
              <w:left w:val="nil"/>
              <w:bottom w:val="nil"/>
              <w:right w:val="nil"/>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r>
      <w:tr w:rsidR="003A3F89" w:rsidRPr="003A3F89" w:rsidTr="003A3F89">
        <w:trPr>
          <w:trHeight w:val="210"/>
        </w:trPr>
        <w:tc>
          <w:tcPr>
            <w:tcW w:w="110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xml:space="preserve">    Pavimentos, calzadas y vías de circulación</w:t>
            </w:r>
          </w:p>
        </w:tc>
        <w:tc>
          <w:tcPr>
            <w:tcW w:w="412"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25.930.673,25 </w:t>
            </w:r>
          </w:p>
        </w:tc>
        <w:tc>
          <w:tcPr>
            <w:tcW w:w="374"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382.800,54 </w:t>
            </w:r>
          </w:p>
        </w:tc>
        <w:tc>
          <w:tcPr>
            <w:tcW w:w="33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 </w:t>
            </w:r>
          </w:p>
        </w:tc>
        <w:tc>
          <w:tcPr>
            <w:tcW w:w="383"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sz w:val="14"/>
                <w:szCs w:val="14"/>
                <w:lang w:val="es-ES"/>
              </w:rPr>
            </w:pPr>
            <w:r w:rsidRPr="003A3F89">
              <w:rPr>
                <w:rFonts w:ascii="Lucida Bright" w:hAnsi="Lucida Bright" w:cs="Calibri"/>
                <w:sz w:val="14"/>
                <w:szCs w:val="14"/>
                <w:lang w:val="es-ES"/>
              </w:rPr>
              <w:t xml:space="preserve">26.313.473,79 </w:t>
            </w:r>
          </w:p>
        </w:tc>
        <w:tc>
          <w:tcPr>
            <w:tcW w:w="306" w:type="pct"/>
            <w:tcBorders>
              <w:top w:val="nil"/>
              <w:left w:val="nil"/>
              <w:bottom w:val="nil"/>
              <w:right w:val="nil"/>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c>
          <w:tcPr>
            <w:tcW w:w="500" w:type="pct"/>
            <w:tcBorders>
              <w:top w:val="nil"/>
              <w:left w:val="nil"/>
              <w:bottom w:val="nil"/>
              <w:right w:val="nil"/>
            </w:tcBorders>
            <w:shd w:val="clear" w:color="000000" w:fill="FFFFFF"/>
            <w:noWrap/>
            <w:vAlign w:val="center"/>
            <w:hideMark/>
          </w:tcPr>
          <w:p w:rsidR="003A3F89" w:rsidRPr="003A3F89" w:rsidRDefault="003A3F89" w:rsidP="003A3F89">
            <w:pPr>
              <w:rPr>
                <w:rFonts w:ascii="Lucida Bright" w:hAnsi="Lucida Bright" w:cs="Calibri"/>
                <w:sz w:val="14"/>
                <w:szCs w:val="14"/>
                <w:lang w:val="es-ES"/>
              </w:rPr>
            </w:pPr>
            <w:r w:rsidRPr="003A3F89">
              <w:rPr>
                <w:rFonts w:ascii="Lucida Bright" w:hAnsi="Lucida Bright" w:cs="Calibri"/>
                <w:sz w:val="14"/>
                <w:szCs w:val="14"/>
                <w:lang w:val="es-ES"/>
              </w:rPr>
              <w:t> </w:t>
            </w:r>
          </w:p>
        </w:tc>
      </w:tr>
      <w:tr w:rsidR="003A3F89" w:rsidRPr="003A3F89" w:rsidTr="003A3F89">
        <w:trPr>
          <w:trHeight w:val="210"/>
        </w:trPr>
        <w:tc>
          <w:tcPr>
            <w:tcW w:w="1039" w:type="pct"/>
            <w:tcBorders>
              <w:top w:val="nil"/>
              <w:left w:val="single" w:sz="4" w:space="0" w:color="auto"/>
              <w:bottom w:val="single" w:sz="4" w:space="0" w:color="auto"/>
              <w:right w:val="nil"/>
            </w:tcBorders>
            <w:shd w:val="clear" w:color="000000" w:fill="FFFFFF"/>
            <w:noWrap/>
            <w:vAlign w:val="center"/>
            <w:hideMark/>
          </w:tcPr>
          <w:p w:rsidR="003A3F89" w:rsidRPr="003A3F89" w:rsidRDefault="003A3F89" w:rsidP="003A3F89">
            <w:pPr>
              <w:jc w:val="center"/>
              <w:rPr>
                <w:rFonts w:ascii="Lucida Bright" w:hAnsi="Lucida Bright" w:cs="Calibri"/>
                <w:b/>
                <w:bCs/>
                <w:sz w:val="14"/>
                <w:szCs w:val="14"/>
                <w:lang w:val="es-ES"/>
              </w:rPr>
            </w:pPr>
            <w:r w:rsidRPr="003A3F89">
              <w:rPr>
                <w:rFonts w:ascii="Lucida Bright" w:hAnsi="Lucida Bright" w:cs="Calibri"/>
                <w:b/>
                <w:bCs/>
                <w:sz w:val="14"/>
                <w:szCs w:val="14"/>
                <w:lang w:val="es-ES"/>
              </w:rPr>
              <w:t>TOTAL</w:t>
            </w:r>
          </w:p>
        </w:tc>
        <w:tc>
          <w:tcPr>
            <w:tcW w:w="68" w:type="pct"/>
            <w:tcBorders>
              <w:top w:val="nil"/>
              <w:left w:val="nil"/>
              <w:bottom w:val="single" w:sz="4" w:space="0" w:color="auto"/>
              <w:right w:val="nil"/>
            </w:tcBorders>
            <w:shd w:val="clear" w:color="000000" w:fill="FFFFFF"/>
            <w:noWrap/>
            <w:vAlign w:val="center"/>
            <w:hideMark/>
          </w:tcPr>
          <w:p w:rsidR="003A3F89" w:rsidRPr="003A3F89" w:rsidRDefault="003A3F89" w:rsidP="003A3F89">
            <w:pPr>
              <w:rPr>
                <w:rFonts w:ascii="Lucida Bright" w:hAnsi="Lucida Bright" w:cs="Calibri"/>
                <w:b/>
                <w:bCs/>
                <w:sz w:val="14"/>
                <w:szCs w:val="14"/>
                <w:lang w:val="es-ES"/>
              </w:rPr>
            </w:pPr>
            <w:r w:rsidRPr="003A3F89">
              <w:rPr>
                <w:rFonts w:ascii="Lucida Bright" w:hAnsi="Lucida Bright" w:cs="Calibri"/>
                <w:b/>
                <w:bCs/>
                <w:sz w:val="14"/>
                <w:szCs w:val="14"/>
                <w:lang w:val="es-ES"/>
              </w:rPr>
              <w:t> </w:t>
            </w:r>
          </w:p>
        </w:tc>
        <w:tc>
          <w:tcPr>
            <w:tcW w:w="412" w:type="pct"/>
            <w:tcBorders>
              <w:top w:val="nil"/>
              <w:left w:val="single" w:sz="4" w:space="0" w:color="auto"/>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38.623.311,85 </w:t>
            </w:r>
          </w:p>
        </w:tc>
        <w:tc>
          <w:tcPr>
            <w:tcW w:w="374"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864.743,27 </w:t>
            </w:r>
          </w:p>
        </w:tc>
        <w:tc>
          <w:tcPr>
            <w:tcW w:w="336"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 </w:t>
            </w:r>
          </w:p>
        </w:tc>
        <w:tc>
          <w:tcPr>
            <w:tcW w:w="440"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 </w:t>
            </w:r>
          </w:p>
        </w:tc>
        <w:tc>
          <w:tcPr>
            <w:tcW w:w="351"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 </w:t>
            </w:r>
          </w:p>
        </w:tc>
        <w:tc>
          <w:tcPr>
            <w:tcW w:w="383" w:type="pct"/>
            <w:tcBorders>
              <w:top w:val="nil"/>
              <w:left w:val="nil"/>
              <w:bottom w:val="single" w:sz="4" w:space="0" w:color="auto"/>
              <w:right w:val="single" w:sz="4" w:space="0" w:color="auto"/>
            </w:tcBorders>
            <w:shd w:val="clear" w:color="000000" w:fill="FFFFFF"/>
            <w:noWrap/>
            <w:vAlign w:val="center"/>
            <w:hideMark/>
          </w:tcPr>
          <w:p w:rsidR="003A3F89" w:rsidRPr="003A3F89" w:rsidRDefault="003A3F89" w:rsidP="003A3F89">
            <w:pPr>
              <w:jc w:val="right"/>
              <w:rPr>
                <w:rFonts w:ascii="Lucida Bright" w:hAnsi="Lucida Bright" w:cs="Calibri"/>
                <w:b/>
                <w:bCs/>
                <w:sz w:val="14"/>
                <w:szCs w:val="14"/>
                <w:lang w:val="es-ES"/>
              </w:rPr>
            </w:pPr>
            <w:r w:rsidRPr="003A3F89">
              <w:rPr>
                <w:rFonts w:ascii="Lucida Bright" w:hAnsi="Lucida Bright" w:cs="Calibri"/>
                <w:b/>
                <w:bCs/>
                <w:sz w:val="14"/>
                <w:szCs w:val="14"/>
                <w:lang w:val="es-ES"/>
              </w:rPr>
              <w:t xml:space="preserve">39.488.055,12 </w:t>
            </w:r>
          </w:p>
        </w:tc>
        <w:tc>
          <w:tcPr>
            <w:tcW w:w="306" w:type="pct"/>
            <w:tcBorders>
              <w:top w:val="nil"/>
              <w:left w:val="nil"/>
              <w:bottom w:val="nil"/>
              <w:right w:val="nil"/>
            </w:tcBorders>
            <w:shd w:val="clear" w:color="auto" w:fill="auto"/>
            <w:noWrap/>
            <w:vAlign w:val="bottom"/>
            <w:hideMark/>
          </w:tcPr>
          <w:p w:rsidR="003A3F89" w:rsidRPr="003A3F89" w:rsidRDefault="003A3F89" w:rsidP="003A3F89">
            <w:pPr>
              <w:rPr>
                <w:rFonts w:ascii="Lucida Bright" w:hAnsi="Lucida Bright" w:cs="Calibri"/>
                <w:color w:val="000000"/>
                <w:sz w:val="14"/>
                <w:szCs w:val="14"/>
                <w:lang w:val="es-ES"/>
              </w:rPr>
            </w:pPr>
          </w:p>
        </w:tc>
        <w:tc>
          <w:tcPr>
            <w:tcW w:w="500" w:type="pct"/>
            <w:tcBorders>
              <w:top w:val="nil"/>
              <w:left w:val="nil"/>
              <w:bottom w:val="nil"/>
              <w:right w:val="nil"/>
            </w:tcBorders>
            <w:shd w:val="clear" w:color="auto" w:fill="auto"/>
            <w:noWrap/>
            <w:vAlign w:val="bottom"/>
            <w:hideMark/>
          </w:tcPr>
          <w:p w:rsidR="003A3F89" w:rsidRPr="003A3F89" w:rsidRDefault="003A3F89" w:rsidP="003A3F89">
            <w:pPr>
              <w:rPr>
                <w:rFonts w:ascii="Lucida Bright" w:hAnsi="Lucida Bright" w:cs="Calibri"/>
                <w:color w:val="000000"/>
                <w:sz w:val="14"/>
                <w:szCs w:val="14"/>
                <w:lang w:val="es-ES"/>
              </w:rPr>
            </w:pPr>
          </w:p>
        </w:tc>
      </w:tr>
    </w:tbl>
    <w:p w:rsidR="00671651" w:rsidRDefault="00671651" w:rsidP="00BF22FE">
      <w:pPr>
        <w:tabs>
          <w:tab w:val="left" w:leader="dot" w:pos="4395"/>
        </w:tabs>
        <w:ind w:firstLine="284"/>
        <w:jc w:val="both"/>
        <w:rPr>
          <w:bCs/>
        </w:rPr>
        <w:sectPr w:rsidR="00671651" w:rsidSect="003A3F89">
          <w:pgSz w:w="16840" w:h="11907" w:orient="landscape" w:code="9"/>
          <w:pgMar w:top="1985" w:right="1701" w:bottom="1418" w:left="1701" w:header="567" w:footer="720" w:gutter="0"/>
          <w:cols w:space="720"/>
          <w:docGrid w:linePitch="272"/>
        </w:sectPr>
      </w:pPr>
    </w:p>
    <w:p w:rsidR="008323F0" w:rsidRDefault="008323F0" w:rsidP="00BF22FE">
      <w:pPr>
        <w:tabs>
          <w:tab w:val="left" w:leader="dot" w:pos="4395"/>
        </w:tabs>
        <w:ind w:firstLine="284"/>
        <w:jc w:val="both"/>
        <w:rPr>
          <w:bCs/>
        </w:rPr>
      </w:pPr>
    </w:p>
    <w:p w:rsidR="004158AB" w:rsidRDefault="004158AB" w:rsidP="00BF22FE">
      <w:pPr>
        <w:tabs>
          <w:tab w:val="left" w:leader="dot" w:pos="4395"/>
        </w:tabs>
        <w:ind w:firstLine="284"/>
        <w:jc w:val="both"/>
        <w:rPr>
          <w:bCs/>
        </w:rPr>
      </w:pPr>
    </w:p>
    <w:p w:rsidR="004158AB" w:rsidRDefault="004158AB" w:rsidP="00BF22FE">
      <w:pPr>
        <w:tabs>
          <w:tab w:val="left" w:leader="dot" w:pos="4395"/>
        </w:tabs>
        <w:ind w:firstLine="284"/>
        <w:jc w:val="both"/>
        <w:rPr>
          <w:bCs/>
        </w:rPr>
      </w:pPr>
    </w:p>
    <w:p w:rsidR="00764B1E" w:rsidRPr="00671651" w:rsidRDefault="00C92258" w:rsidP="0050293A">
      <w:pPr>
        <w:tabs>
          <w:tab w:val="left" w:leader="dot" w:pos="4395"/>
        </w:tabs>
        <w:ind w:firstLine="567"/>
        <w:jc w:val="both"/>
        <w:rPr>
          <w:rFonts w:ascii="NewBaskerville" w:hAnsi="NewBaskerville"/>
          <w:bCs/>
        </w:rPr>
      </w:pPr>
      <w:r w:rsidRPr="00671651">
        <w:rPr>
          <w:rFonts w:ascii="NewBaskerville" w:hAnsi="NewBaskerville"/>
          <w:bCs/>
        </w:rPr>
        <w:t>A</w:t>
      </w:r>
      <w:r w:rsidR="00A723E7" w:rsidRPr="00671651">
        <w:rPr>
          <w:rFonts w:ascii="NewBaskerville" w:hAnsi="NewBaskerville"/>
          <w:bCs/>
        </w:rPr>
        <w:t xml:space="preserve"> 31 de</w:t>
      </w:r>
      <w:r w:rsidR="00D4480F" w:rsidRPr="00671651">
        <w:rPr>
          <w:rFonts w:ascii="NewBaskerville" w:hAnsi="NewBaskerville"/>
          <w:bCs/>
        </w:rPr>
        <w:t xml:space="preserve"> diciembre del 202</w:t>
      </w:r>
      <w:r w:rsidR="003A3F89">
        <w:rPr>
          <w:rFonts w:ascii="NewBaskerville" w:hAnsi="NewBaskerville"/>
          <w:bCs/>
        </w:rPr>
        <w:t>3</w:t>
      </w:r>
      <w:r w:rsidR="00764B1E" w:rsidRPr="00671651">
        <w:rPr>
          <w:rFonts w:ascii="NewBaskerville" w:hAnsi="NewBaskerville"/>
          <w:bCs/>
        </w:rPr>
        <w:t xml:space="preserve"> y 20</w:t>
      </w:r>
      <w:r w:rsidR="00D4480F" w:rsidRPr="00671651">
        <w:rPr>
          <w:rFonts w:ascii="NewBaskerville" w:hAnsi="NewBaskerville"/>
          <w:bCs/>
        </w:rPr>
        <w:t>2</w:t>
      </w:r>
      <w:r w:rsidR="00671651">
        <w:rPr>
          <w:rFonts w:ascii="NewBaskerville" w:hAnsi="NewBaskerville"/>
          <w:bCs/>
        </w:rPr>
        <w:t>2</w:t>
      </w:r>
      <w:r w:rsidR="00764B1E" w:rsidRPr="00671651">
        <w:rPr>
          <w:rFonts w:ascii="NewBaskerville" w:hAnsi="NewBaskerville"/>
          <w:bCs/>
        </w:rPr>
        <w:t xml:space="preserve"> no existen indicios de deterioro de inversiones  inmobiliarias.</w:t>
      </w:r>
    </w:p>
    <w:p w:rsidR="00FC6508" w:rsidRPr="00671651" w:rsidRDefault="00FC6508" w:rsidP="00BF22FE">
      <w:pPr>
        <w:tabs>
          <w:tab w:val="left" w:leader="dot" w:pos="4395"/>
        </w:tabs>
        <w:ind w:firstLine="284"/>
        <w:jc w:val="both"/>
        <w:rPr>
          <w:rFonts w:ascii="NewBaskerville" w:hAnsi="NewBaskerville"/>
          <w:bCs/>
        </w:rPr>
      </w:pPr>
    </w:p>
    <w:p w:rsidR="00FC6508" w:rsidRPr="00671651" w:rsidRDefault="00FC6508" w:rsidP="0050293A">
      <w:pPr>
        <w:tabs>
          <w:tab w:val="left" w:leader="dot" w:pos="4395"/>
        </w:tabs>
        <w:ind w:firstLine="567"/>
        <w:jc w:val="both"/>
        <w:rPr>
          <w:rFonts w:ascii="NewBaskerville" w:hAnsi="NewBaskerville"/>
          <w:bCs/>
        </w:rPr>
      </w:pPr>
      <w:r w:rsidRPr="00671651">
        <w:rPr>
          <w:rFonts w:ascii="NewBaskerville" w:hAnsi="NewBaskerville"/>
          <w:bCs/>
        </w:rPr>
        <w:t xml:space="preserve">Las inversiones inmobiliarias totalmente amortizadas por epígrafe corresponden </w:t>
      </w:r>
      <w:r w:rsidR="003F24D6" w:rsidRPr="00671651">
        <w:rPr>
          <w:rFonts w:ascii="NewBaskerville" w:hAnsi="NewBaskerville"/>
          <w:bCs/>
        </w:rPr>
        <w:t>a:</w:t>
      </w:r>
    </w:p>
    <w:p w:rsidR="00FC791B" w:rsidRDefault="00FC791B" w:rsidP="00BF22FE">
      <w:pPr>
        <w:tabs>
          <w:tab w:val="left" w:leader="dot" w:pos="4395"/>
        </w:tabs>
        <w:ind w:firstLine="284"/>
        <w:jc w:val="both"/>
        <w:rPr>
          <w:bCs/>
        </w:rPr>
      </w:pPr>
    </w:p>
    <w:tbl>
      <w:tblPr>
        <w:tblW w:w="7400" w:type="dxa"/>
        <w:tblInd w:w="60" w:type="dxa"/>
        <w:tblCellMar>
          <w:left w:w="70" w:type="dxa"/>
          <w:right w:w="70" w:type="dxa"/>
        </w:tblCellMar>
        <w:tblLook w:val="04A0" w:firstRow="1" w:lastRow="0" w:firstColumn="1" w:lastColumn="0" w:noHBand="0" w:noVBand="1"/>
      </w:tblPr>
      <w:tblGrid>
        <w:gridCol w:w="3940"/>
        <w:gridCol w:w="1700"/>
        <w:gridCol w:w="1760"/>
      </w:tblGrid>
      <w:tr w:rsidR="003A3F89" w:rsidRPr="003A3F89" w:rsidTr="003A3F89">
        <w:trPr>
          <w:trHeight w:val="315"/>
        </w:trPr>
        <w:tc>
          <w:tcPr>
            <w:tcW w:w="3940" w:type="dxa"/>
            <w:tcBorders>
              <w:top w:val="single" w:sz="8" w:space="0" w:color="000000"/>
              <w:left w:val="single" w:sz="8" w:space="0" w:color="000000"/>
              <w:bottom w:val="single" w:sz="8" w:space="0" w:color="000000"/>
              <w:right w:val="single" w:sz="8" w:space="0" w:color="000000"/>
            </w:tcBorders>
            <w:shd w:val="clear" w:color="000000" w:fill="CCFFCC"/>
            <w:vAlign w:val="center"/>
            <w:hideMark/>
          </w:tcPr>
          <w:p w:rsidR="003A3F89" w:rsidRPr="003A3F89" w:rsidRDefault="003A3F89" w:rsidP="003A3F89">
            <w:pPr>
              <w:jc w:val="center"/>
              <w:rPr>
                <w:rFonts w:ascii="Lucida Bright" w:hAnsi="Lucida Bright" w:cs="Calibri"/>
                <w:b/>
                <w:bCs/>
                <w:color w:val="000000"/>
                <w:sz w:val="18"/>
                <w:szCs w:val="18"/>
                <w:lang w:val="es-ES"/>
              </w:rPr>
            </w:pPr>
            <w:r w:rsidRPr="003A3F89">
              <w:rPr>
                <w:rFonts w:ascii="Lucida Bright" w:hAnsi="Lucida Bright" w:cs="Calibri"/>
                <w:b/>
                <w:bCs/>
                <w:color w:val="000000"/>
                <w:sz w:val="18"/>
                <w:szCs w:val="18"/>
                <w:lang w:val="es-ES"/>
              </w:rPr>
              <w:t>Epígrafe</w:t>
            </w:r>
          </w:p>
        </w:tc>
        <w:tc>
          <w:tcPr>
            <w:tcW w:w="1700" w:type="dxa"/>
            <w:tcBorders>
              <w:top w:val="single" w:sz="8" w:space="0" w:color="000000"/>
              <w:left w:val="nil"/>
              <w:bottom w:val="single" w:sz="8" w:space="0" w:color="000000"/>
              <w:right w:val="single" w:sz="8" w:space="0" w:color="000000"/>
            </w:tcBorders>
            <w:shd w:val="clear" w:color="000000" w:fill="CCFFCC"/>
            <w:noWrap/>
            <w:vAlign w:val="center"/>
            <w:hideMark/>
          </w:tcPr>
          <w:p w:rsidR="003A3F89" w:rsidRPr="003A3F89" w:rsidRDefault="003A3F89" w:rsidP="003A3F89">
            <w:pPr>
              <w:jc w:val="center"/>
              <w:rPr>
                <w:rFonts w:ascii="Lucida Bright" w:hAnsi="Lucida Bright" w:cs="Calibri"/>
                <w:b/>
                <w:bCs/>
                <w:color w:val="000000"/>
                <w:sz w:val="18"/>
                <w:szCs w:val="18"/>
                <w:lang w:val="es-ES"/>
              </w:rPr>
            </w:pPr>
            <w:r w:rsidRPr="003A3F89">
              <w:rPr>
                <w:rFonts w:ascii="Lucida Bright" w:hAnsi="Lucida Bright" w:cs="Calibri"/>
                <w:b/>
                <w:bCs/>
                <w:color w:val="000000"/>
                <w:sz w:val="18"/>
                <w:szCs w:val="18"/>
                <w:lang w:val="es-ES"/>
              </w:rPr>
              <w:t>2023</w:t>
            </w:r>
          </w:p>
        </w:tc>
        <w:tc>
          <w:tcPr>
            <w:tcW w:w="1760" w:type="dxa"/>
            <w:tcBorders>
              <w:top w:val="single" w:sz="8" w:space="0" w:color="000000"/>
              <w:left w:val="nil"/>
              <w:bottom w:val="single" w:sz="8" w:space="0" w:color="000000"/>
              <w:right w:val="single" w:sz="8" w:space="0" w:color="000000"/>
            </w:tcBorders>
            <w:shd w:val="clear" w:color="000000" w:fill="CCFFCC"/>
            <w:noWrap/>
            <w:vAlign w:val="center"/>
            <w:hideMark/>
          </w:tcPr>
          <w:p w:rsidR="003A3F89" w:rsidRPr="003A3F89" w:rsidRDefault="003A3F89" w:rsidP="003A3F89">
            <w:pPr>
              <w:jc w:val="center"/>
              <w:rPr>
                <w:rFonts w:ascii="Lucida Bright" w:hAnsi="Lucida Bright" w:cs="Calibri"/>
                <w:b/>
                <w:bCs/>
                <w:color w:val="000000"/>
                <w:sz w:val="18"/>
                <w:szCs w:val="18"/>
                <w:lang w:val="es-ES"/>
              </w:rPr>
            </w:pPr>
            <w:r w:rsidRPr="003A3F89">
              <w:rPr>
                <w:rFonts w:ascii="Lucida Bright" w:hAnsi="Lucida Bright" w:cs="Calibri"/>
                <w:b/>
                <w:bCs/>
                <w:color w:val="000000"/>
                <w:sz w:val="18"/>
                <w:szCs w:val="18"/>
                <w:lang w:val="es-ES"/>
              </w:rPr>
              <w:t>2022</w:t>
            </w:r>
          </w:p>
        </w:tc>
      </w:tr>
      <w:tr w:rsidR="003A3F89" w:rsidRPr="003A3F89" w:rsidTr="003A3F89">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3A3F89" w:rsidRPr="003A3F89" w:rsidRDefault="003A3F89" w:rsidP="003A3F89">
            <w:pPr>
              <w:rPr>
                <w:rFonts w:ascii="Lucida Bright" w:hAnsi="Lucida Bright" w:cs="Calibri"/>
                <w:color w:val="000000"/>
                <w:sz w:val="18"/>
                <w:szCs w:val="18"/>
                <w:lang w:val="es-ES"/>
              </w:rPr>
            </w:pPr>
            <w:r w:rsidRPr="003A3F89">
              <w:rPr>
                <w:rFonts w:ascii="Lucida Bright" w:hAnsi="Lucida Bright" w:cs="Calibri"/>
                <w:color w:val="000000"/>
                <w:sz w:val="18"/>
                <w:szCs w:val="18"/>
                <w:lang w:val="es-ES"/>
              </w:rPr>
              <w:t>Instalaciones para reparación de barcos</w:t>
            </w:r>
          </w:p>
        </w:tc>
        <w:tc>
          <w:tcPr>
            <w:tcW w:w="1700" w:type="dxa"/>
            <w:tcBorders>
              <w:top w:val="nil"/>
              <w:left w:val="nil"/>
              <w:bottom w:val="single" w:sz="8" w:space="0" w:color="000000"/>
              <w:right w:val="single" w:sz="8" w:space="0" w:color="000000"/>
            </w:tcBorders>
            <w:shd w:val="clear" w:color="000000" w:fill="FFFFFF"/>
            <w:noWrap/>
            <w:vAlign w:val="center"/>
            <w:hideMark/>
          </w:tcPr>
          <w:p w:rsidR="003A3F89" w:rsidRPr="003A3F89" w:rsidRDefault="003A3F89" w:rsidP="003A3F89">
            <w:pPr>
              <w:jc w:val="right"/>
              <w:rPr>
                <w:rFonts w:ascii="Lucida Bright" w:hAnsi="Lucida Bright" w:cs="Calibri"/>
                <w:color w:val="000000"/>
                <w:sz w:val="18"/>
                <w:szCs w:val="18"/>
                <w:lang w:val="es-ES"/>
              </w:rPr>
            </w:pPr>
            <w:r w:rsidRPr="003A3F89">
              <w:rPr>
                <w:rFonts w:ascii="Lucida Bright" w:hAnsi="Lucida Bright" w:cs="Calibri"/>
                <w:color w:val="000000"/>
                <w:sz w:val="18"/>
                <w:szCs w:val="18"/>
                <w:lang w:val="es-ES"/>
              </w:rPr>
              <w:t>1.557.284,13</w:t>
            </w:r>
          </w:p>
        </w:tc>
        <w:tc>
          <w:tcPr>
            <w:tcW w:w="1760" w:type="dxa"/>
            <w:tcBorders>
              <w:top w:val="nil"/>
              <w:left w:val="nil"/>
              <w:bottom w:val="single" w:sz="8" w:space="0" w:color="000000"/>
              <w:right w:val="single" w:sz="8" w:space="0" w:color="000000"/>
            </w:tcBorders>
            <w:shd w:val="clear" w:color="000000" w:fill="FFFFFF"/>
            <w:noWrap/>
            <w:vAlign w:val="center"/>
            <w:hideMark/>
          </w:tcPr>
          <w:p w:rsidR="003A3F89" w:rsidRPr="003A3F89" w:rsidRDefault="003A3F89" w:rsidP="003A3F89">
            <w:pPr>
              <w:jc w:val="right"/>
              <w:rPr>
                <w:rFonts w:ascii="Lucida Bright" w:hAnsi="Lucida Bright" w:cs="Calibri"/>
                <w:color w:val="000000"/>
                <w:sz w:val="18"/>
                <w:szCs w:val="18"/>
                <w:lang w:val="es-ES"/>
              </w:rPr>
            </w:pPr>
            <w:r w:rsidRPr="003A3F89">
              <w:rPr>
                <w:rFonts w:ascii="Lucida Bright" w:hAnsi="Lucida Bright" w:cs="Calibri"/>
                <w:color w:val="000000"/>
                <w:sz w:val="18"/>
                <w:szCs w:val="18"/>
                <w:lang w:val="es-ES"/>
              </w:rPr>
              <w:t>1.557.284,13</w:t>
            </w:r>
          </w:p>
        </w:tc>
      </w:tr>
      <w:tr w:rsidR="003A3F89" w:rsidRPr="003A3F89" w:rsidTr="003A3F89">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3A3F89" w:rsidRPr="003A3F89" w:rsidRDefault="003A3F89" w:rsidP="003A3F89">
            <w:pPr>
              <w:rPr>
                <w:rFonts w:ascii="Lucida Bright" w:hAnsi="Lucida Bright" w:cs="Calibri"/>
                <w:color w:val="000000"/>
                <w:sz w:val="18"/>
                <w:szCs w:val="18"/>
                <w:lang w:val="es-ES"/>
              </w:rPr>
            </w:pPr>
            <w:r w:rsidRPr="003A3F89">
              <w:rPr>
                <w:rFonts w:ascii="Lucida Bright" w:hAnsi="Lucida Bright" w:cs="Calibri"/>
                <w:color w:val="000000"/>
                <w:sz w:val="18"/>
                <w:szCs w:val="18"/>
                <w:lang w:val="es-ES"/>
              </w:rPr>
              <w:t>Edificaciones</w:t>
            </w:r>
          </w:p>
        </w:tc>
        <w:tc>
          <w:tcPr>
            <w:tcW w:w="1700" w:type="dxa"/>
            <w:tcBorders>
              <w:top w:val="nil"/>
              <w:left w:val="nil"/>
              <w:bottom w:val="single" w:sz="8" w:space="0" w:color="000000"/>
              <w:right w:val="single" w:sz="8" w:space="0" w:color="000000"/>
            </w:tcBorders>
            <w:shd w:val="clear" w:color="000000" w:fill="FFFFFF"/>
            <w:noWrap/>
            <w:vAlign w:val="center"/>
            <w:hideMark/>
          </w:tcPr>
          <w:p w:rsidR="003A3F89" w:rsidRPr="003A3F89" w:rsidRDefault="003A3F89" w:rsidP="003A3F89">
            <w:pPr>
              <w:jc w:val="right"/>
              <w:rPr>
                <w:rFonts w:ascii="Lucida Bright" w:hAnsi="Lucida Bright" w:cs="Calibri"/>
                <w:color w:val="000000"/>
                <w:sz w:val="18"/>
                <w:szCs w:val="18"/>
                <w:lang w:val="es-ES"/>
              </w:rPr>
            </w:pPr>
            <w:r w:rsidRPr="003A3F89">
              <w:rPr>
                <w:rFonts w:ascii="Lucida Bright" w:hAnsi="Lucida Bright" w:cs="Calibri"/>
                <w:color w:val="000000"/>
                <w:sz w:val="18"/>
                <w:szCs w:val="18"/>
                <w:lang w:val="es-ES"/>
              </w:rPr>
              <w:t>5.475.840,25</w:t>
            </w:r>
          </w:p>
        </w:tc>
        <w:tc>
          <w:tcPr>
            <w:tcW w:w="1760" w:type="dxa"/>
            <w:tcBorders>
              <w:top w:val="nil"/>
              <w:left w:val="nil"/>
              <w:bottom w:val="single" w:sz="8" w:space="0" w:color="000000"/>
              <w:right w:val="single" w:sz="8" w:space="0" w:color="000000"/>
            </w:tcBorders>
            <w:shd w:val="clear" w:color="000000" w:fill="FFFFFF"/>
            <w:noWrap/>
            <w:vAlign w:val="center"/>
            <w:hideMark/>
          </w:tcPr>
          <w:p w:rsidR="003A3F89" w:rsidRPr="003A3F89" w:rsidRDefault="003A3F89" w:rsidP="003A3F89">
            <w:pPr>
              <w:jc w:val="right"/>
              <w:rPr>
                <w:rFonts w:ascii="Lucida Bright" w:hAnsi="Lucida Bright" w:cs="Calibri"/>
                <w:color w:val="000000"/>
                <w:sz w:val="18"/>
                <w:szCs w:val="18"/>
                <w:lang w:val="es-ES"/>
              </w:rPr>
            </w:pPr>
            <w:r w:rsidRPr="003A3F89">
              <w:rPr>
                <w:rFonts w:ascii="Lucida Bright" w:hAnsi="Lucida Bright" w:cs="Calibri"/>
                <w:color w:val="000000"/>
                <w:sz w:val="18"/>
                <w:szCs w:val="18"/>
                <w:lang w:val="es-ES"/>
              </w:rPr>
              <w:t>5.475.840,25</w:t>
            </w:r>
          </w:p>
        </w:tc>
      </w:tr>
      <w:tr w:rsidR="003A3F89" w:rsidRPr="003A3F89" w:rsidTr="003A3F89">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3A3F89" w:rsidRPr="003A3F89" w:rsidRDefault="003A3F89" w:rsidP="003A3F89">
            <w:pPr>
              <w:rPr>
                <w:rFonts w:ascii="Lucida Bright" w:hAnsi="Lucida Bright" w:cs="Calibri"/>
                <w:color w:val="000000"/>
                <w:sz w:val="18"/>
                <w:szCs w:val="18"/>
                <w:lang w:val="es-ES"/>
              </w:rPr>
            </w:pPr>
            <w:r w:rsidRPr="003A3F89">
              <w:rPr>
                <w:rFonts w:ascii="Lucida Bright" w:hAnsi="Lucida Bright" w:cs="Calibri"/>
                <w:color w:val="000000"/>
                <w:sz w:val="18"/>
                <w:szCs w:val="18"/>
                <w:lang w:val="es-ES"/>
              </w:rPr>
              <w:t>Instalaciones generales</w:t>
            </w:r>
          </w:p>
        </w:tc>
        <w:tc>
          <w:tcPr>
            <w:tcW w:w="1700" w:type="dxa"/>
            <w:tcBorders>
              <w:top w:val="nil"/>
              <w:left w:val="nil"/>
              <w:bottom w:val="single" w:sz="8" w:space="0" w:color="000000"/>
              <w:right w:val="single" w:sz="8" w:space="0" w:color="000000"/>
            </w:tcBorders>
            <w:shd w:val="clear" w:color="000000" w:fill="FFFFFF"/>
            <w:noWrap/>
            <w:vAlign w:val="center"/>
            <w:hideMark/>
          </w:tcPr>
          <w:p w:rsidR="003A3F89" w:rsidRPr="003A3F89" w:rsidRDefault="003A3F89" w:rsidP="003A3F89">
            <w:pPr>
              <w:jc w:val="right"/>
              <w:rPr>
                <w:rFonts w:ascii="Lucida Bright" w:hAnsi="Lucida Bright" w:cs="Calibri"/>
                <w:color w:val="000000"/>
                <w:sz w:val="18"/>
                <w:szCs w:val="18"/>
                <w:lang w:val="es-ES"/>
              </w:rPr>
            </w:pPr>
            <w:r w:rsidRPr="003A3F89">
              <w:rPr>
                <w:rFonts w:ascii="Lucida Bright" w:hAnsi="Lucida Bright" w:cs="Calibri"/>
                <w:color w:val="000000"/>
                <w:sz w:val="18"/>
                <w:szCs w:val="18"/>
                <w:lang w:val="es-ES"/>
              </w:rPr>
              <w:t>876.476,18</w:t>
            </w:r>
          </w:p>
        </w:tc>
        <w:tc>
          <w:tcPr>
            <w:tcW w:w="1760" w:type="dxa"/>
            <w:tcBorders>
              <w:top w:val="nil"/>
              <w:left w:val="nil"/>
              <w:bottom w:val="single" w:sz="8" w:space="0" w:color="000000"/>
              <w:right w:val="single" w:sz="8" w:space="0" w:color="000000"/>
            </w:tcBorders>
            <w:shd w:val="clear" w:color="000000" w:fill="FFFFFF"/>
            <w:noWrap/>
            <w:vAlign w:val="center"/>
            <w:hideMark/>
          </w:tcPr>
          <w:p w:rsidR="003A3F89" w:rsidRPr="003A3F89" w:rsidRDefault="003A3F89" w:rsidP="003A3F89">
            <w:pPr>
              <w:jc w:val="right"/>
              <w:rPr>
                <w:rFonts w:ascii="Lucida Bright" w:hAnsi="Lucida Bright" w:cs="Calibri"/>
                <w:color w:val="000000"/>
                <w:sz w:val="18"/>
                <w:szCs w:val="18"/>
                <w:lang w:val="es-ES"/>
              </w:rPr>
            </w:pPr>
            <w:r w:rsidRPr="003A3F89">
              <w:rPr>
                <w:rFonts w:ascii="Lucida Bright" w:hAnsi="Lucida Bright" w:cs="Calibri"/>
                <w:color w:val="000000"/>
                <w:sz w:val="18"/>
                <w:szCs w:val="18"/>
                <w:lang w:val="es-ES"/>
              </w:rPr>
              <w:t>0,00</w:t>
            </w:r>
          </w:p>
        </w:tc>
      </w:tr>
      <w:tr w:rsidR="003A3F89" w:rsidRPr="003A3F89" w:rsidTr="003A3F89">
        <w:trPr>
          <w:trHeight w:val="300"/>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3A3F89" w:rsidRPr="003A3F89" w:rsidRDefault="003A3F89" w:rsidP="003A3F89">
            <w:pPr>
              <w:rPr>
                <w:rFonts w:ascii="Lucida Bright" w:hAnsi="Lucida Bright" w:cs="Calibri"/>
                <w:color w:val="000000"/>
                <w:sz w:val="18"/>
                <w:szCs w:val="18"/>
                <w:lang w:val="es-ES"/>
              </w:rPr>
            </w:pPr>
            <w:r w:rsidRPr="003A3F89">
              <w:rPr>
                <w:rFonts w:ascii="Lucida Bright" w:hAnsi="Lucida Bright" w:cs="Calibri"/>
                <w:color w:val="000000"/>
                <w:sz w:val="18"/>
                <w:szCs w:val="18"/>
                <w:lang w:val="es-ES"/>
              </w:rPr>
              <w:t>Pavimentos, calzadas y vías de circulación</w:t>
            </w:r>
          </w:p>
        </w:tc>
        <w:tc>
          <w:tcPr>
            <w:tcW w:w="1700" w:type="dxa"/>
            <w:tcBorders>
              <w:top w:val="nil"/>
              <w:left w:val="nil"/>
              <w:bottom w:val="single" w:sz="8" w:space="0" w:color="000000"/>
              <w:right w:val="single" w:sz="8" w:space="0" w:color="000000"/>
            </w:tcBorders>
            <w:shd w:val="clear" w:color="000000" w:fill="FFFFFF"/>
            <w:noWrap/>
            <w:vAlign w:val="center"/>
            <w:hideMark/>
          </w:tcPr>
          <w:p w:rsidR="003A3F89" w:rsidRPr="003A3F89" w:rsidRDefault="003A3F89" w:rsidP="003A3F89">
            <w:pPr>
              <w:jc w:val="right"/>
              <w:rPr>
                <w:rFonts w:ascii="Lucida Bright" w:hAnsi="Lucida Bright" w:cs="Calibri"/>
                <w:color w:val="000000"/>
                <w:sz w:val="18"/>
                <w:szCs w:val="18"/>
                <w:lang w:val="es-ES"/>
              </w:rPr>
            </w:pPr>
            <w:r w:rsidRPr="003A3F89">
              <w:rPr>
                <w:rFonts w:ascii="Lucida Bright" w:hAnsi="Lucida Bright" w:cs="Calibri"/>
                <w:color w:val="000000"/>
                <w:sz w:val="18"/>
                <w:szCs w:val="18"/>
                <w:lang w:val="es-ES"/>
              </w:rPr>
              <w:t>25.335.651,41</w:t>
            </w:r>
          </w:p>
        </w:tc>
        <w:tc>
          <w:tcPr>
            <w:tcW w:w="1760" w:type="dxa"/>
            <w:tcBorders>
              <w:top w:val="nil"/>
              <w:left w:val="nil"/>
              <w:bottom w:val="single" w:sz="8" w:space="0" w:color="000000"/>
              <w:right w:val="single" w:sz="8" w:space="0" w:color="000000"/>
            </w:tcBorders>
            <w:shd w:val="clear" w:color="000000" w:fill="FFFFFF"/>
            <w:noWrap/>
            <w:vAlign w:val="center"/>
            <w:hideMark/>
          </w:tcPr>
          <w:p w:rsidR="003A3F89" w:rsidRPr="003A3F89" w:rsidRDefault="003A3F89" w:rsidP="003A3F89">
            <w:pPr>
              <w:jc w:val="right"/>
              <w:rPr>
                <w:rFonts w:ascii="Lucida Bright" w:hAnsi="Lucida Bright" w:cs="Calibri"/>
                <w:color w:val="000000"/>
                <w:sz w:val="18"/>
                <w:szCs w:val="18"/>
                <w:lang w:val="es-ES"/>
              </w:rPr>
            </w:pPr>
            <w:r w:rsidRPr="003A3F89">
              <w:rPr>
                <w:rFonts w:ascii="Lucida Bright" w:hAnsi="Lucida Bright" w:cs="Calibri"/>
                <w:color w:val="000000"/>
                <w:sz w:val="18"/>
                <w:szCs w:val="18"/>
                <w:lang w:val="es-ES"/>
              </w:rPr>
              <w:t>24.362.139,96</w:t>
            </w:r>
          </w:p>
        </w:tc>
      </w:tr>
      <w:tr w:rsidR="003A3F89" w:rsidRPr="003A3F89" w:rsidTr="003A3F89">
        <w:trPr>
          <w:trHeight w:val="315"/>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3A3F89" w:rsidRPr="003A3F89" w:rsidRDefault="003A3F89" w:rsidP="003A3F89">
            <w:pPr>
              <w:ind w:firstLineChars="200" w:firstLine="361"/>
              <w:jc w:val="right"/>
              <w:rPr>
                <w:rFonts w:ascii="Lucida Bright" w:hAnsi="Lucida Bright" w:cs="Calibri"/>
                <w:b/>
                <w:bCs/>
                <w:color w:val="000000"/>
                <w:sz w:val="18"/>
                <w:szCs w:val="18"/>
                <w:lang w:val="es-ES"/>
              </w:rPr>
            </w:pPr>
            <w:r w:rsidRPr="003A3F89">
              <w:rPr>
                <w:rFonts w:ascii="Lucida Bright" w:hAnsi="Lucida Bright" w:cs="Calibri"/>
                <w:b/>
                <w:bCs/>
                <w:color w:val="000000"/>
                <w:sz w:val="18"/>
                <w:szCs w:val="18"/>
                <w:lang w:val="es-ES"/>
              </w:rPr>
              <w:t>TOTAL</w:t>
            </w:r>
          </w:p>
        </w:tc>
        <w:tc>
          <w:tcPr>
            <w:tcW w:w="1700" w:type="dxa"/>
            <w:tcBorders>
              <w:top w:val="nil"/>
              <w:left w:val="nil"/>
              <w:bottom w:val="single" w:sz="8" w:space="0" w:color="000000"/>
              <w:right w:val="single" w:sz="8" w:space="0" w:color="000000"/>
            </w:tcBorders>
            <w:shd w:val="clear" w:color="auto" w:fill="auto"/>
            <w:noWrap/>
            <w:vAlign w:val="center"/>
            <w:hideMark/>
          </w:tcPr>
          <w:p w:rsidR="003A3F89" w:rsidRPr="003A3F89" w:rsidRDefault="003A3F89" w:rsidP="003A3F89">
            <w:pPr>
              <w:jc w:val="right"/>
              <w:rPr>
                <w:rFonts w:ascii="Lucida Bright" w:hAnsi="Lucida Bright" w:cs="Calibri"/>
                <w:b/>
                <w:bCs/>
                <w:color w:val="000000"/>
                <w:sz w:val="18"/>
                <w:szCs w:val="18"/>
                <w:lang w:val="es-ES"/>
              </w:rPr>
            </w:pPr>
            <w:r w:rsidRPr="003A3F89">
              <w:rPr>
                <w:rFonts w:ascii="Lucida Bright" w:hAnsi="Lucida Bright" w:cs="Calibri"/>
                <w:b/>
                <w:bCs/>
                <w:color w:val="000000"/>
                <w:sz w:val="18"/>
                <w:szCs w:val="18"/>
                <w:lang w:val="es-ES"/>
              </w:rPr>
              <w:t>33.245.251,97</w:t>
            </w:r>
          </w:p>
        </w:tc>
        <w:tc>
          <w:tcPr>
            <w:tcW w:w="1760" w:type="dxa"/>
            <w:tcBorders>
              <w:top w:val="nil"/>
              <w:left w:val="nil"/>
              <w:bottom w:val="single" w:sz="8" w:space="0" w:color="000000"/>
              <w:right w:val="single" w:sz="8" w:space="0" w:color="000000"/>
            </w:tcBorders>
            <w:shd w:val="clear" w:color="auto" w:fill="auto"/>
            <w:noWrap/>
            <w:vAlign w:val="center"/>
            <w:hideMark/>
          </w:tcPr>
          <w:p w:rsidR="003A3F89" w:rsidRPr="003A3F89" w:rsidRDefault="003A3F89" w:rsidP="003A3F89">
            <w:pPr>
              <w:jc w:val="right"/>
              <w:rPr>
                <w:rFonts w:ascii="Lucida Bright" w:hAnsi="Lucida Bright" w:cs="Calibri"/>
                <w:b/>
                <w:bCs/>
                <w:color w:val="000000"/>
                <w:sz w:val="18"/>
                <w:szCs w:val="18"/>
                <w:lang w:val="es-ES"/>
              </w:rPr>
            </w:pPr>
            <w:r w:rsidRPr="003A3F89">
              <w:rPr>
                <w:rFonts w:ascii="Lucida Bright" w:hAnsi="Lucida Bright" w:cs="Calibri"/>
                <w:b/>
                <w:bCs/>
                <w:color w:val="000000"/>
                <w:sz w:val="18"/>
                <w:szCs w:val="18"/>
                <w:lang w:val="es-ES"/>
              </w:rPr>
              <w:t>31.395.264,34</w:t>
            </w:r>
          </w:p>
        </w:tc>
      </w:tr>
    </w:tbl>
    <w:p w:rsidR="00FC791B" w:rsidRDefault="00FC791B" w:rsidP="00BF22FE">
      <w:pPr>
        <w:tabs>
          <w:tab w:val="left" w:leader="dot" w:pos="4395"/>
        </w:tabs>
        <w:ind w:firstLine="284"/>
        <w:jc w:val="both"/>
        <w:rPr>
          <w:bCs/>
        </w:rPr>
      </w:pPr>
    </w:p>
    <w:p w:rsidR="003A3F89" w:rsidRDefault="003A3F89" w:rsidP="00BF22FE">
      <w:pPr>
        <w:tabs>
          <w:tab w:val="left" w:leader="dot" w:pos="4395"/>
        </w:tabs>
        <w:ind w:firstLine="284"/>
        <w:jc w:val="both"/>
        <w:rPr>
          <w:bCs/>
        </w:rPr>
      </w:pPr>
    </w:p>
    <w:p w:rsidR="00A96998" w:rsidRDefault="00A96998" w:rsidP="00A96998">
      <w:pPr>
        <w:tabs>
          <w:tab w:val="right" w:pos="8364"/>
        </w:tabs>
        <w:ind w:firstLine="540"/>
        <w:jc w:val="both"/>
        <w:rPr>
          <w:rFonts w:ascii="NewBaskerville" w:hAnsi="NewBaskerville"/>
          <w:bCs/>
        </w:rPr>
      </w:pPr>
      <w:r>
        <w:rPr>
          <w:rFonts w:ascii="NewBaskerville" w:hAnsi="NewBaskerville"/>
          <w:bCs/>
        </w:rPr>
        <w:t>Bajas y retiros:</w:t>
      </w:r>
    </w:p>
    <w:p w:rsidR="00A96998" w:rsidRDefault="00A96998" w:rsidP="00A96998">
      <w:pPr>
        <w:tabs>
          <w:tab w:val="right" w:pos="8364"/>
        </w:tabs>
        <w:ind w:firstLine="540"/>
        <w:jc w:val="both"/>
        <w:rPr>
          <w:rFonts w:ascii="NewBaskerville" w:hAnsi="NewBaskerville"/>
          <w:bCs/>
        </w:rPr>
      </w:pPr>
    </w:p>
    <w:p w:rsidR="00A96998" w:rsidRDefault="00A96998" w:rsidP="00A96998">
      <w:pPr>
        <w:tabs>
          <w:tab w:val="right" w:pos="8364"/>
        </w:tabs>
        <w:ind w:firstLine="540"/>
        <w:jc w:val="both"/>
        <w:rPr>
          <w:rFonts w:ascii="NewBaskerville" w:hAnsi="NewBaskerville"/>
          <w:bCs/>
        </w:rPr>
      </w:pPr>
      <w:r>
        <w:rPr>
          <w:rFonts w:ascii="NewBaskerville" w:hAnsi="NewBaskerville"/>
          <w:bCs/>
        </w:rPr>
        <w:t>Durante el ejercicio 2023 se han producido bajas en inversiones inmobiliarias debido a:</w:t>
      </w:r>
    </w:p>
    <w:p w:rsidR="00A96998" w:rsidRDefault="00A96998" w:rsidP="00A96998">
      <w:pPr>
        <w:tabs>
          <w:tab w:val="right" w:pos="8364"/>
        </w:tabs>
        <w:ind w:firstLine="540"/>
        <w:jc w:val="both"/>
        <w:rPr>
          <w:rFonts w:ascii="NewBaskerville" w:hAnsi="NewBaskerville"/>
          <w:bCs/>
        </w:rPr>
      </w:pPr>
    </w:p>
    <w:p w:rsidR="00A96998" w:rsidRDefault="00A96998" w:rsidP="00A96998">
      <w:pPr>
        <w:pStyle w:val="Prrafodelista"/>
        <w:numPr>
          <w:ilvl w:val="0"/>
          <w:numId w:val="6"/>
        </w:numPr>
        <w:tabs>
          <w:tab w:val="right" w:pos="8364"/>
        </w:tabs>
        <w:jc w:val="both"/>
        <w:rPr>
          <w:rFonts w:ascii="NewBaskerville" w:hAnsi="NewBaskerville"/>
          <w:bCs/>
        </w:rPr>
      </w:pPr>
      <w:r>
        <w:rPr>
          <w:rFonts w:ascii="NewBaskerville" w:hAnsi="NewBaskerville"/>
          <w:bCs/>
        </w:rPr>
        <w:t>Por pasar a situación de fuera de uso tras finalizar su vida útil, o por su antigüedad en el final de la misma.</w:t>
      </w:r>
    </w:p>
    <w:p w:rsidR="00A96998" w:rsidRDefault="00A96998" w:rsidP="00A96998">
      <w:pPr>
        <w:pStyle w:val="Prrafodelista"/>
        <w:numPr>
          <w:ilvl w:val="0"/>
          <w:numId w:val="6"/>
        </w:numPr>
        <w:tabs>
          <w:tab w:val="right" w:pos="8364"/>
        </w:tabs>
        <w:jc w:val="both"/>
        <w:rPr>
          <w:rFonts w:ascii="NewBaskerville" w:hAnsi="NewBaskerville"/>
          <w:bCs/>
        </w:rPr>
      </w:pPr>
      <w:r>
        <w:rPr>
          <w:rFonts w:ascii="NewBaskerville" w:hAnsi="NewBaskerville"/>
          <w:bCs/>
        </w:rPr>
        <w:t>Por su desaparición física constatada mediante inventario físico.</w:t>
      </w:r>
    </w:p>
    <w:p w:rsidR="00A96998" w:rsidRDefault="00A96998" w:rsidP="00A96998">
      <w:pPr>
        <w:tabs>
          <w:tab w:val="right" w:pos="8364"/>
        </w:tabs>
        <w:jc w:val="both"/>
        <w:rPr>
          <w:rFonts w:ascii="NewBaskerville" w:hAnsi="NewBaskerville"/>
          <w:bCs/>
        </w:rPr>
      </w:pPr>
    </w:p>
    <w:p w:rsidR="00A96998" w:rsidRDefault="00A96998" w:rsidP="00A96998">
      <w:pPr>
        <w:tabs>
          <w:tab w:val="right" w:pos="8364"/>
        </w:tabs>
        <w:ind w:firstLine="567"/>
        <w:jc w:val="both"/>
        <w:rPr>
          <w:rFonts w:ascii="NewBaskerville" w:hAnsi="NewBaskerville"/>
          <w:bCs/>
        </w:rPr>
      </w:pPr>
      <w:r>
        <w:rPr>
          <w:rFonts w:ascii="NewBaskerville" w:hAnsi="NewBaskerville"/>
          <w:bCs/>
        </w:rPr>
        <w:t xml:space="preserve">En </w:t>
      </w:r>
      <w:r w:rsidR="00350D1C">
        <w:rPr>
          <w:rFonts w:ascii="NewBaskerville" w:hAnsi="NewBaskerville"/>
          <w:bCs/>
        </w:rPr>
        <w:t>ningún caso se esperaba</w:t>
      </w:r>
      <w:r>
        <w:rPr>
          <w:rFonts w:ascii="NewBaskerville" w:hAnsi="NewBaskerville"/>
          <w:bCs/>
        </w:rPr>
        <w:t xml:space="preserve"> obtener de estas inversiones inmobiliarias beneficios o rendimientos económicos futuros.</w:t>
      </w:r>
    </w:p>
    <w:p w:rsidR="00A96998" w:rsidRDefault="00A96998" w:rsidP="00A96998">
      <w:pPr>
        <w:tabs>
          <w:tab w:val="right" w:pos="8364"/>
        </w:tabs>
        <w:ind w:firstLine="567"/>
        <w:jc w:val="both"/>
        <w:rPr>
          <w:rFonts w:ascii="NewBaskerville" w:hAnsi="NewBaskerville"/>
          <w:bCs/>
        </w:rPr>
      </w:pPr>
    </w:p>
    <w:p w:rsidR="00A96998" w:rsidRPr="00E56AB5" w:rsidRDefault="00A96998" w:rsidP="00A96998">
      <w:pPr>
        <w:tabs>
          <w:tab w:val="right" w:pos="8364"/>
        </w:tabs>
        <w:ind w:firstLine="567"/>
        <w:jc w:val="both"/>
        <w:rPr>
          <w:rFonts w:ascii="NewBaskerville" w:hAnsi="NewBaskerville"/>
          <w:bCs/>
        </w:rPr>
      </w:pPr>
      <w:r>
        <w:rPr>
          <w:rFonts w:ascii="NewBaskerville" w:hAnsi="NewBaskerville"/>
          <w:bCs/>
        </w:rPr>
        <w:t>El resultado por bajas ha sido:</w:t>
      </w:r>
    </w:p>
    <w:p w:rsidR="00CC17F7" w:rsidRDefault="00CC17F7" w:rsidP="00F348FE">
      <w:pPr>
        <w:tabs>
          <w:tab w:val="right" w:pos="8364"/>
        </w:tabs>
        <w:ind w:left="567" w:hanging="567"/>
        <w:jc w:val="both"/>
        <w:rPr>
          <w:b/>
          <w:bCs/>
          <w:sz w:val="24"/>
          <w:szCs w:val="24"/>
        </w:rPr>
      </w:pPr>
    </w:p>
    <w:tbl>
      <w:tblPr>
        <w:tblW w:w="8440" w:type="dxa"/>
        <w:tblInd w:w="70" w:type="dxa"/>
        <w:tblCellMar>
          <w:left w:w="70" w:type="dxa"/>
          <w:right w:w="70" w:type="dxa"/>
        </w:tblCellMar>
        <w:tblLook w:val="04A0" w:firstRow="1" w:lastRow="0" w:firstColumn="1" w:lastColumn="0" w:noHBand="0" w:noVBand="1"/>
      </w:tblPr>
      <w:tblGrid>
        <w:gridCol w:w="1026"/>
        <w:gridCol w:w="1168"/>
        <w:gridCol w:w="1584"/>
        <w:gridCol w:w="1165"/>
        <w:gridCol w:w="1184"/>
        <w:gridCol w:w="1141"/>
        <w:gridCol w:w="1172"/>
      </w:tblGrid>
      <w:tr w:rsidR="00A96998" w:rsidRPr="00A96998" w:rsidTr="00A96998">
        <w:trPr>
          <w:trHeight w:val="300"/>
        </w:trPr>
        <w:tc>
          <w:tcPr>
            <w:tcW w:w="8440" w:type="dxa"/>
            <w:gridSpan w:val="7"/>
            <w:vMerge w:val="restart"/>
            <w:tcBorders>
              <w:top w:val="nil"/>
              <w:left w:val="nil"/>
              <w:bottom w:val="nil"/>
              <w:right w:val="nil"/>
            </w:tcBorders>
            <w:shd w:val="clear" w:color="000000" w:fill="FFFFFF"/>
            <w:vAlign w:val="center"/>
            <w:hideMark/>
          </w:tcPr>
          <w:p w:rsidR="00A96998" w:rsidRPr="00A96998" w:rsidRDefault="00A96998" w:rsidP="00A96998">
            <w:pPr>
              <w:rPr>
                <w:rFonts w:ascii="Lucida Bright" w:hAnsi="Lucida Bright" w:cs="Calibri"/>
                <w:b/>
                <w:bCs/>
                <w:sz w:val="18"/>
                <w:szCs w:val="18"/>
                <w:lang w:val="es-ES"/>
              </w:rPr>
            </w:pPr>
            <w:r w:rsidRPr="00A96998">
              <w:rPr>
                <w:rFonts w:ascii="Lucida Bright" w:hAnsi="Lucida Bright" w:cs="Calibri"/>
                <w:b/>
                <w:bCs/>
                <w:sz w:val="18"/>
                <w:szCs w:val="18"/>
                <w:lang w:val="es-ES"/>
              </w:rPr>
              <w:t xml:space="preserve">CUADRO: RESULTADO POR ENAJENACIONES Y BAJAS DE INVERSIONES INMOBILIARIAS 2023 </w:t>
            </w:r>
            <w:r w:rsidRPr="00A96998">
              <w:rPr>
                <w:rFonts w:ascii="Lucida Bright" w:hAnsi="Lucida Bright" w:cs="Calibri"/>
                <w:sz w:val="14"/>
                <w:szCs w:val="14"/>
                <w:lang w:val="es-ES"/>
              </w:rPr>
              <w:t>(en euros)</w:t>
            </w:r>
          </w:p>
        </w:tc>
      </w:tr>
      <w:tr w:rsidR="00A96998" w:rsidRPr="00A96998" w:rsidTr="00A96998">
        <w:trPr>
          <w:trHeight w:val="300"/>
        </w:trPr>
        <w:tc>
          <w:tcPr>
            <w:tcW w:w="8440" w:type="dxa"/>
            <w:gridSpan w:val="7"/>
            <w:vMerge/>
            <w:tcBorders>
              <w:top w:val="nil"/>
              <w:left w:val="nil"/>
              <w:bottom w:val="nil"/>
              <w:right w:val="nil"/>
            </w:tcBorders>
            <w:vAlign w:val="center"/>
            <w:hideMark/>
          </w:tcPr>
          <w:p w:rsidR="00A96998" w:rsidRPr="00A96998" w:rsidRDefault="00A96998" w:rsidP="00A96998">
            <w:pPr>
              <w:rPr>
                <w:rFonts w:ascii="Lucida Bright" w:hAnsi="Lucida Bright" w:cs="Calibri"/>
                <w:b/>
                <w:bCs/>
                <w:sz w:val="18"/>
                <w:szCs w:val="18"/>
                <w:lang w:val="es-ES"/>
              </w:rPr>
            </w:pPr>
          </w:p>
        </w:tc>
      </w:tr>
      <w:tr w:rsidR="00A96998" w:rsidRPr="00A96998" w:rsidTr="00A96998">
        <w:trPr>
          <w:trHeight w:val="720"/>
        </w:trPr>
        <w:tc>
          <w:tcPr>
            <w:tcW w:w="1026"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A96998" w:rsidRPr="00A96998" w:rsidRDefault="00A96998" w:rsidP="00A96998">
            <w:pPr>
              <w:jc w:val="center"/>
              <w:rPr>
                <w:rFonts w:ascii="Lucida Bright" w:hAnsi="Lucida Bright" w:cs="Calibri"/>
                <w:b/>
                <w:bCs/>
                <w:sz w:val="14"/>
                <w:szCs w:val="14"/>
                <w:lang w:val="es-ES"/>
              </w:rPr>
            </w:pPr>
            <w:r w:rsidRPr="00A96998">
              <w:rPr>
                <w:rFonts w:ascii="Lucida Bright" w:hAnsi="Lucida Bright" w:cs="Calibri"/>
                <w:b/>
                <w:bCs/>
                <w:sz w:val="14"/>
                <w:szCs w:val="14"/>
                <w:lang w:val="es-ES"/>
              </w:rPr>
              <w:t>Fecha</w:t>
            </w:r>
          </w:p>
        </w:tc>
        <w:tc>
          <w:tcPr>
            <w:tcW w:w="1168" w:type="dxa"/>
            <w:tcBorders>
              <w:top w:val="single" w:sz="4" w:space="0" w:color="auto"/>
              <w:left w:val="nil"/>
              <w:bottom w:val="single" w:sz="4" w:space="0" w:color="auto"/>
              <w:right w:val="single" w:sz="4" w:space="0" w:color="auto"/>
            </w:tcBorders>
            <w:shd w:val="clear" w:color="000000" w:fill="CCFFCC"/>
            <w:vAlign w:val="center"/>
            <w:hideMark/>
          </w:tcPr>
          <w:p w:rsidR="00A96998" w:rsidRPr="00A96998" w:rsidRDefault="00A96998" w:rsidP="00A96998">
            <w:pPr>
              <w:jc w:val="center"/>
              <w:rPr>
                <w:rFonts w:ascii="Lucida Bright" w:hAnsi="Lucida Bright" w:cs="Calibri"/>
                <w:b/>
                <w:bCs/>
                <w:sz w:val="14"/>
                <w:szCs w:val="14"/>
                <w:lang w:val="es-ES"/>
              </w:rPr>
            </w:pPr>
            <w:r w:rsidRPr="00A96998">
              <w:rPr>
                <w:rFonts w:ascii="Lucida Bright" w:hAnsi="Lucida Bright" w:cs="Calibri"/>
                <w:b/>
                <w:bCs/>
                <w:sz w:val="14"/>
                <w:szCs w:val="14"/>
                <w:lang w:val="es-ES"/>
              </w:rPr>
              <w:t>Operación</w:t>
            </w:r>
            <w:r w:rsidRPr="00A96998">
              <w:rPr>
                <w:rFonts w:ascii="Lucida Bright" w:hAnsi="Lucida Bright" w:cs="Calibri"/>
                <w:b/>
                <w:bCs/>
                <w:sz w:val="14"/>
                <w:szCs w:val="14"/>
                <w:lang w:val="es-ES"/>
              </w:rPr>
              <w:br/>
              <w:t xml:space="preserve">(Venta, retiro, </w:t>
            </w:r>
            <w:proofErr w:type="spellStart"/>
            <w:r w:rsidRPr="00A96998">
              <w:rPr>
                <w:rFonts w:ascii="Lucida Bright" w:hAnsi="Lucida Bright" w:cs="Calibri"/>
                <w:b/>
                <w:bCs/>
                <w:sz w:val="14"/>
                <w:szCs w:val="14"/>
                <w:lang w:val="es-ES"/>
              </w:rPr>
              <w:t>etc</w:t>
            </w:r>
            <w:proofErr w:type="spellEnd"/>
            <w:r w:rsidRPr="00A96998">
              <w:rPr>
                <w:rFonts w:ascii="Lucida Bright" w:hAnsi="Lucida Bright" w:cs="Calibri"/>
                <w:b/>
                <w:bCs/>
                <w:sz w:val="14"/>
                <w:szCs w:val="14"/>
                <w:lang w:val="es-ES"/>
              </w:rPr>
              <w:t>)</w:t>
            </w:r>
          </w:p>
        </w:tc>
        <w:tc>
          <w:tcPr>
            <w:tcW w:w="1584" w:type="dxa"/>
            <w:tcBorders>
              <w:top w:val="single" w:sz="4" w:space="0" w:color="auto"/>
              <w:left w:val="nil"/>
              <w:bottom w:val="single" w:sz="4" w:space="0" w:color="auto"/>
              <w:right w:val="nil"/>
            </w:tcBorders>
            <w:shd w:val="clear" w:color="000000" w:fill="CCFFCC"/>
            <w:vAlign w:val="center"/>
            <w:hideMark/>
          </w:tcPr>
          <w:p w:rsidR="00A96998" w:rsidRPr="00A96998" w:rsidRDefault="00A96998" w:rsidP="00A96998">
            <w:pPr>
              <w:jc w:val="center"/>
              <w:rPr>
                <w:rFonts w:ascii="Lucida Bright" w:hAnsi="Lucida Bright" w:cs="Calibri"/>
                <w:b/>
                <w:bCs/>
                <w:sz w:val="14"/>
                <w:szCs w:val="14"/>
                <w:lang w:val="es-ES"/>
              </w:rPr>
            </w:pPr>
            <w:r w:rsidRPr="00A96998">
              <w:rPr>
                <w:rFonts w:ascii="Lucida Bright" w:hAnsi="Lucida Bright" w:cs="Calibri"/>
                <w:b/>
                <w:bCs/>
                <w:sz w:val="14"/>
                <w:szCs w:val="14"/>
                <w:lang w:val="es-ES"/>
              </w:rPr>
              <w:t>Descripción/Grupo funcional del activo</w:t>
            </w:r>
          </w:p>
        </w:tc>
        <w:tc>
          <w:tcPr>
            <w:tcW w:w="1165"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A96998" w:rsidRPr="00A96998" w:rsidRDefault="00A96998" w:rsidP="00A96998">
            <w:pPr>
              <w:jc w:val="center"/>
              <w:rPr>
                <w:rFonts w:ascii="Lucida Bright" w:hAnsi="Lucida Bright" w:cs="Calibri"/>
                <w:b/>
                <w:bCs/>
                <w:sz w:val="14"/>
                <w:szCs w:val="14"/>
                <w:lang w:val="es-ES"/>
              </w:rPr>
            </w:pPr>
            <w:r w:rsidRPr="00A96998">
              <w:rPr>
                <w:rFonts w:ascii="Lucida Bright" w:hAnsi="Lucida Bright" w:cs="Calibri"/>
                <w:b/>
                <w:bCs/>
                <w:sz w:val="14"/>
                <w:szCs w:val="14"/>
                <w:lang w:val="es-ES"/>
              </w:rPr>
              <w:t>Valor</w:t>
            </w:r>
            <w:r w:rsidRPr="00A96998">
              <w:rPr>
                <w:rFonts w:ascii="Lucida Bright" w:hAnsi="Lucida Bright" w:cs="Calibri"/>
                <w:b/>
                <w:bCs/>
                <w:sz w:val="14"/>
                <w:szCs w:val="14"/>
                <w:lang w:val="es-ES"/>
              </w:rPr>
              <w:br/>
              <w:t>contable</w:t>
            </w:r>
            <w:r w:rsidRPr="00A96998">
              <w:rPr>
                <w:rFonts w:ascii="Lucida Bright" w:hAnsi="Lucida Bright" w:cs="Calibri"/>
                <w:b/>
                <w:bCs/>
                <w:sz w:val="14"/>
                <w:szCs w:val="14"/>
                <w:lang w:val="es-ES"/>
              </w:rPr>
              <w:br/>
              <w:t>bruto</w:t>
            </w:r>
          </w:p>
        </w:tc>
        <w:tc>
          <w:tcPr>
            <w:tcW w:w="1184" w:type="dxa"/>
            <w:tcBorders>
              <w:top w:val="single" w:sz="4" w:space="0" w:color="auto"/>
              <w:left w:val="nil"/>
              <w:bottom w:val="single" w:sz="4" w:space="0" w:color="auto"/>
              <w:right w:val="single" w:sz="4" w:space="0" w:color="auto"/>
            </w:tcBorders>
            <w:shd w:val="clear" w:color="000000" w:fill="CCFFCC"/>
            <w:vAlign w:val="center"/>
            <w:hideMark/>
          </w:tcPr>
          <w:p w:rsidR="00A96998" w:rsidRPr="00A96998" w:rsidRDefault="00A96998" w:rsidP="00A96998">
            <w:pPr>
              <w:jc w:val="center"/>
              <w:rPr>
                <w:rFonts w:ascii="Lucida Bright" w:hAnsi="Lucida Bright" w:cs="Calibri"/>
                <w:b/>
                <w:bCs/>
                <w:sz w:val="14"/>
                <w:szCs w:val="14"/>
                <w:lang w:val="es-ES"/>
              </w:rPr>
            </w:pPr>
            <w:r w:rsidRPr="00A96998">
              <w:rPr>
                <w:rFonts w:ascii="Lucida Bright" w:hAnsi="Lucida Bright" w:cs="Calibri"/>
                <w:b/>
                <w:bCs/>
                <w:sz w:val="14"/>
                <w:szCs w:val="14"/>
                <w:lang w:val="es-ES"/>
              </w:rPr>
              <w:t>Amortización</w:t>
            </w:r>
            <w:r w:rsidRPr="00A96998">
              <w:rPr>
                <w:rFonts w:ascii="Lucida Bright" w:hAnsi="Lucida Bright" w:cs="Calibri"/>
                <w:b/>
                <w:bCs/>
                <w:sz w:val="14"/>
                <w:szCs w:val="14"/>
                <w:lang w:val="es-ES"/>
              </w:rPr>
              <w:br/>
              <w:t>acumulada/</w:t>
            </w:r>
            <w:r w:rsidRPr="00A96998">
              <w:rPr>
                <w:rFonts w:ascii="Lucida Bright" w:hAnsi="Lucida Bright" w:cs="Calibri"/>
                <w:b/>
                <w:bCs/>
                <w:sz w:val="14"/>
                <w:szCs w:val="14"/>
                <w:lang w:val="es-ES"/>
              </w:rPr>
              <w:br/>
              <w:t>Deterioro de valor aplicado</w:t>
            </w:r>
          </w:p>
        </w:tc>
        <w:tc>
          <w:tcPr>
            <w:tcW w:w="1141" w:type="dxa"/>
            <w:tcBorders>
              <w:top w:val="single" w:sz="4" w:space="0" w:color="auto"/>
              <w:left w:val="nil"/>
              <w:bottom w:val="single" w:sz="4" w:space="0" w:color="auto"/>
              <w:right w:val="nil"/>
            </w:tcBorders>
            <w:shd w:val="clear" w:color="000000" w:fill="CCFFCC"/>
            <w:vAlign w:val="center"/>
            <w:hideMark/>
          </w:tcPr>
          <w:p w:rsidR="00A96998" w:rsidRPr="00A96998" w:rsidRDefault="00A96998" w:rsidP="00A96998">
            <w:pPr>
              <w:jc w:val="center"/>
              <w:rPr>
                <w:rFonts w:ascii="Lucida Bright" w:hAnsi="Lucida Bright" w:cs="Calibri"/>
                <w:b/>
                <w:bCs/>
                <w:sz w:val="14"/>
                <w:szCs w:val="14"/>
                <w:lang w:val="es-ES"/>
              </w:rPr>
            </w:pPr>
            <w:r w:rsidRPr="00A96998">
              <w:rPr>
                <w:rFonts w:ascii="Lucida Bright" w:hAnsi="Lucida Bright" w:cs="Calibri"/>
                <w:b/>
                <w:bCs/>
                <w:sz w:val="14"/>
                <w:szCs w:val="14"/>
                <w:lang w:val="es-ES"/>
              </w:rPr>
              <w:t>Precio de</w:t>
            </w:r>
            <w:r w:rsidRPr="00A96998">
              <w:rPr>
                <w:rFonts w:ascii="Lucida Bright" w:hAnsi="Lucida Bright" w:cs="Calibri"/>
                <w:b/>
                <w:bCs/>
                <w:sz w:val="14"/>
                <w:szCs w:val="14"/>
                <w:lang w:val="es-ES"/>
              </w:rPr>
              <w:br/>
              <w:t>venta</w:t>
            </w:r>
          </w:p>
        </w:tc>
        <w:tc>
          <w:tcPr>
            <w:tcW w:w="1172"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A96998" w:rsidRPr="00A96998" w:rsidRDefault="00A96998" w:rsidP="00A96998">
            <w:pPr>
              <w:jc w:val="center"/>
              <w:rPr>
                <w:rFonts w:ascii="Lucida Bright" w:hAnsi="Lucida Bright" w:cs="Calibri"/>
                <w:b/>
                <w:bCs/>
                <w:sz w:val="14"/>
                <w:szCs w:val="14"/>
                <w:lang w:val="es-ES"/>
              </w:rPr>
            </w:pPr>
            <w:r w:rsidRPr="00A96998">
              <w:rPr>
                <w:rFonts w:ascii="Lucida Bright" w:hAnsi="Lucida Bright" w:cs="Calibri"/>
                <w:b/>
                <w:bCs/>
                <w:sz w:val="14"/>
                <w:szCs w:val="14"/>
                <w:lang w:val="es-ES"/>
              </w:rPr>
              <w:t>Resultado de</w:t>
            </w:r>
            <w:r w:rsidRPr="00A96998">
              <w:rPr>
                <w:rFonts w:ascii="Lucida Bright" w:hAnsi="Lucida Bright" w:cs="Calibri"/>
                <w:b/>
                <w:bCs/>
                <w:sz w:val="14"/>
                <w:szCs w:val="14"/>
                <w:lang w:val="es-ES"/>
              </w:rPr>
              <w:br/>
              <w:t>la operación</w:t>
            </w:r>
          </w:p>
        </w:tc>
      </w:tr>
      <w:tr w:rsidR="00A96998" w:rsidRPr="00A96998" w:rsidTr="00A96998">
        <w:trPr>
          <w:trHeight w:val="300"/>
        </w:trPr>
        <w:tc>
          <w:tcPr>
            <w:tcW w:w="2194"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A96998" w:rsidRPr="00A96998" w:rsidRDefault="00A96998" w:rsidP="00A96998">
            <w:pPr>
              <w:rPr>
                <w:rFonts w:ascii="Lucida Bright" w:hAnsi="Lucida Bright" w:cs="Calibri"/>
                <w:b/>
                <w:bCs/>
                <w:sz w:val="14"/>
                <w:szCs w:val="14"/>
                <w:lang w:val="es-ES"/>
              </w:rPr>
            </w:pPr>
            <w:r w:rsidRPr="00A96998">
              <w:rPr>
                <w:rFonts w:ascii="Lucida Bright" w:hAnsi="Lucida Bright" w:cs="Calibri"/>
                <w:b/>
                <w:bCs/>
                <w:sz w:val="14"/>
                <w:szCs w:val="14"/>
                <w:lang w:val="es-ES"/>
              </w:rPr>
              <w:t>Inversión inmobiliaria</w:t>
            </w:r>
          </w:p>
        </w:tc>
        <w:tc>
          <w:tcPr>
            <w:tcW w:w="1584" w:type="dxa"/>
            <w:tcBorders>
              <w:top w:val="single" w:sz="4" w:space="0" w:color="auto"/>
              <w:left w:val="nil"/>
              <w:bottom w:val="nil"/>
              <w:right w:val="nil"/>
            </w:tcBorders>
            <w:shd w:val="clear" w:color="000000" w:fill="FFFFFF"/>
            <w:noWrap/>
            <w:vAlign w:val="bottom"/>
            <w:hideMark/>
          </w:tcPr>
          <w:p w:rsidR="00A96998" w:rsidRPr="00A96998" w:rsidRDefault="00A96998" w:rsidP="00A96998">
            <w:pPr>
              <w:rPr>
                <w:rFonts w:ascii="Lucida Bright" w:hAnsi="Lucida Bright" w:cs="Calibri"/>
                <w:sz w:val="14"/>
                <w:szCs w:val="14"/>
                <w:lang w:val="es-ES"/>
              </w:rPr>
            </w:pPr>
            <w:r w:rsidRPr="00A96998">
              <w:rPr>
                <w:rFonts w:ascii="Lucida Bright" w:hAnsi="Lucida Bright" w:cs="Calibri"/>
                <w:sz w:val="14"/>
                <w:szCs w:val="14"/>
                <w:lang w:val="es-ES"/>
              </w:rPr>
              <w:t> </w:t>
            </w:r>
          </w:p>
        </w:tc>
        <w:tc>
          <w:tcPr>
            <w:tcW w:w="1165" w:type="dxa"/>
            <w:tcBorders>
              <w:top w:val="single" w:sz="4" w:space="0" w:color="auto"/>
              <w:left w:val="nil"/>
              <w:bottom w:val="nil"/>
              <w:right w:val="nil"/>
            </w:tcBorders>
            <w:shd w:val="clear" w:color="000000" w:fill="FFFFFF"/>
            <w:noWrap/>
            <w:vAlign w:val="bottom"/>
            <w:hideMark/>
          </w:tcPr>
          <w:p w:rsidR="00A96998" w:rsidRPr="00A96998" w:rsidRDefault="00A96998" w:rsidP="00A96998">
            <w:pPr>
              <w:rPr>
                <w:rFonts w:ascii="Lucida Bright" w:hAnsi="Lucida Bright" w:cs="Calibri"/>
                <w:sz w:val="14"/>
                <w:szCs w:val="14"/>
                <w:lang w:val="es-ES"/>
              </w:rPr>
            </w:pPr>
            <w:r w:rsidRPr="00A96998">
              <w:rPr>
                <w:rFonts w:ascii="Lucida Bright" w:hAnsi="Lucida Bright" w:cs="Calibri"/>
                <w:sz w:val="14"/>
                <w:szCs w:val="14"/>
                <w:lang w:val="es-ES"/>
              </w:rPr>
              <w:t> </w:t>
            </w:r>
          </w:p>
        </w:tc>
        <w:tc>
          <w:tcPr>
            <w:tcW w:w="1184" w:type="dxa"/>
            <w:tcBorders>
              <w:top w:val="single" w:sz="4" w:space="0" w:color="auto"/>
              <w:left w:val="nil"/>
              <w:bottom w:val="nil"/>
              <w:right w:val="nil"/>
            </w:tcBorders>
            <w:shd w:val="clear" w:color="000000" w:fill="FFFFFF"/>
            <w:noWrap/>
            <w:vAlign w:val="bottom"/>
            <w:hideMark/>
          </w:tcPr>
          <w:p w:rsidR="00A96998" w:rsidRPr="00A96998" w:rsidRDefault="00A96998" w:rsidP="00A96998">
            <w:pPr>
              <w:rPr>
                <w:rFonts w:ascii="Lucida Bright" w:hAnsi="Lucida Bright" w:cs="Calibri"/>
                <w:sz w:val="14"/>
                <w:szCs w:val="14"/>
                <w:lang w:val="es-ES"/>
              </w:rPr>
            </w:pPr>
            <w:r w:rsidRPr="00A96998">
              <w:rPr>
                <w:rFonts w:ascii="Lucida Bright" w:hAnsi="Lucida Bright" w:cs="Calibri"/>
                <w:sz w:val="14"/>
                <w:szCs w:val="14"/>
                <w:lang w:val="es-ES"/>
              </w:rPr>
              <w:t> </w:t>
            </w:r>
          </w:p>
        </w:tc>
        <w:tc>
          <w:tcPr>
            <w:tcW w:w="1141" w:type="dxa"/>
            <w:tcBorders>
              <w:top w:val="single" w:sz="4" w:space="0" w:color="auto"/>
              <w:left w:val="nil"/>
              <w:bottom w:val="nil"/>
              <w:right w:val="nil"/>
            </w:tcBorders>
            <w:shd w:val="clear" w:color="000000" w:fill="FFFFFF"/>
            <w:noWrap/>
            <w:vAlign w:val="bottom"/>
            <w:hideMark/>
          </w:tcPr>
          <w:p w:rsidR="00A96998" w:rsidRPr="00A96998" w:rsidRDefault="00A96998" w:rsidP="00A96998">
            <w:pPr>
              <w:rPr>
                <w:rFonts w:ascii="Lucida Bright" w:hAnsi="Lucida Bright" w:cs="Calibri"/>
                <w:sz w:val="14"/>
                <w:szCs w:val="14"/>
                <w:lang w:val="es-ES"/>
              </w:rPr>
            </w:pPr>
            <w:r w:rsidRPr="00A96998">
              <w:rPr>
                <w:rFonts w:ascii="Lucida Bright" w:hAnsi="Lucida Bright" w:cs="Calibri"/>
                <w:sz w:val="14"/>
                <w:szCs w:val="14"/>
                <w:lang w:val="es-ES"/>
              </w:rPr>
              <w:t> </w:t>
            </w:r>
          </w:p>
        </w:tc>
        <w:tc>
          <w:tcPr>
            <w:tcW w:w="1172" w:type="dxa"/>
            <w:tcBorders>
              <w:top w:val="single" w:sz="4" w:space="0" w:color="auto"/>
              <w:left w:val="nil"/>
              <w:bottom w:val="nil"/>
              <w:right w:val="single" w:sz="4" w:space="0" w:color="auto"/>
            </w:tcBorders>
            <w:shd w:val="clear" w:color="000000" w:fill="FFFFFF"/>
            <w:noWrap/>
            <w:vAlign w:val="bottom"/>
            <w:hideMark/>
          </w:tcPr>
          <w:p w:rsidR="00A96998" w:rsidRPr="00A96998" w:rsidRDefault="00A96998" w:rsidP="00A96998">
            <w:pPr>
              <w:rPr>
                <w:rFonts w:ascii="Lucida Bright" w:hAnsi="Lucida Bright" w:cs="Calibri"/>
                <w:sz w:val="14"/>
                <w:szCs w:val="14"/>
                <w:lang w:val="es-ES"/>
              </w:rPr>
            </w:pPr>
            <w:r w:rsidRPr="00A96998">
              <w:rPr>
                <w:rFonts w:ascii="Lucida Bright" w:hAnsi="Lucida Bright" w:cs="Calibri"/>
                <w:sz w:val="14"/>
                <w:szCs w:val="14"/>
                <w:lang w:val="es-ES"/>
              </w:rPr>
              <w:t> </w:t>
            </w:r>
          </w:p>
        </w:tc>
      </w:tr>
      <w:tr w:rsidR="00A96998" w:rsidRPr="00A96998" w:rsidTr="00A96998">
        <w:trPr>
          <w:trHeight w:val="540"/>
        </w:trPr>
        <w:tc>
          <w:tcPr>
            <w:tcW w:w="1026" w:type="dxa"/>
            <w:tcBorders>
              <w:top w:val="nil"/>
              <w:left w:val="single" w:sz="4" w:space="0" w:color="auto"/>
              <w:bottom w:val="single" w:sz="4" w:space="0" w:color="auto"/>
              <w:right w:val="single" w:sz="4" w:space="0" w:color="auto"/>
            </w:tcBorders>
            <w:shd w:val="clear" w:color="000000" w:fill="FFFFFF"/>
            <w:noWrap/>
            <w:vAlign w:val="center"/>
            <w:hideMark/>
          </w:tcPr>
          <w:p w:rsidR="00A96998" w:rsidRPr="00A96998" w:rsidRDefault="00A96998" w:rsidP="00A96998">
            <w:pPr>
              <w:jc w:val="center"/>
              <w:rPr>
                <w:rFonts w:ascii="Lucida Bright" w:hAnsi="Lucida Bright" w:cs="Calibri"/>
                <w:sz w:val="14"/>
                <w:szCs w:val="14"/>
                <w:lang w:val="es-ES"/>
              </w:rPr>
            </w:pPr>
            <w:r w:rsidRPr="00A96998">
              <w:rPr>
                <w:rFonts w:ascii="Lucida Bright" w:hAnsi="Lucida Bright" w:cs="Calibri"/>
                <w:sz w:val="14"/>
                <w:szCs w:val="14"/>
                <w:lang w:val="es-ES"/>
              </w:rPr>
              <w:t>03/10/2023</w:t>
            </w:r>
          </w:p>
        </w:tc>
        <w:tc>
          <w:tcPr>
            <w:tcW w:w="1168" w:type="dxa"/>
            <w:tcBorders>
              <w:top w:val="nil"/>
              <w:left w:val="nil"/>
              <w:bottom w:val="single" w:sz="4" w:space="0" w:color="auto"/>
              <w:right w:val="single" w:sz="4" w:space="0" w:color="auto"/>
            </w:tcBorders>
            <w:shd w:val="clear" w:color="000000" w:fill="FFFFFF"/>
            <w:noWrap/>
            <w:vAlign w:val="center"/>
            <w:hideMark/>
          </w:tcPr>
          <w:p w:rsidR="00A96998" w:rsidRPr="00A96998" w:rsidRDefault="00A96998" w:rsidP="00A96998">
            <w:pPr>
              <w:rPr>
                <w:rFonts w:ascii="Lucida Bright" w:hAnsi="Lucida Bright" w:cs="Calibri"/>
                <w:sz w:val="14"/>
                <w:szCs w:val="14"/>
                <w:lang w:val="es-ES"/>
              </w:rPr>
            </w:pPr>
            <w:r w:rsidRPr="00A96998">
              <w:rPr>
                <w:rFonts w:ascii="Lucida Bright" w:hAnsi="Lucida Bright" w:cs="Calibri"/>
                <w:sz w:val="14"/>
                <w:szCs w:val="14"/>
                <w:lang w:val="es-ES"/>
              </w:rPr>
              <w:t>Baja</w:t>
            </w:r>
          </w:p>
        </w:tc>
        <w:tc>
          <w:tcPr>
            <w:tcW w:w="1584" w:type="dxa"/>
            <w:tcBorders>
              <w:top w:val="single" w:sz="4" w:space="0" w:color="auto"/>
              <w:left w:val="nil"/>
              <w:bottom w:val="single" w:sz="4" w:space="0" w:color="auto"/>
              <w:right w:val="single" w:sz="4" w:space="0" w:color="auto"/>
            </w:tcBorders>
            <w:shd w:val="clear" w:color="auto" w:fill="auto"/>
            <w:vAlign w:val="center"/>
            <w:hideMark/>
          </w:tcPr>
          <w:p w:rsidR="00A96998" w:rsidRPr="00A96998" w:rsidRDefault="00A96998" w:rsidP="00A96998">
            <w:pPr>
              <w:rPr>
                <w:rFonts w:ascii="Arial" w:hAnsi="Arial" w:cs="Arial"/>
                <w:color w:val="000000"/>
                <w:sz w:val="14"/>
                <w:szCs w:val="14"/>
                <w:lang w:val="es-ES"/>
              </w:rPr>
            </w:pPr>
            <w:r w:rsidRPr="00A96998">
              <w:rPr>
                <w:rFonts w:ascii="Arial" w:hAnsi="Arial" w:cs="Arial"/>
                <w:color w:val="000000"/>
                <w:sz w:val="14"/>
                <w:szCs w:val="14"/>
                <w:lang w:val="es-ES"/>
              </w:rPr>
              <w:t>Mejora de locales de la entreplanta de la EM Ibiza</w:t>
            </w:r>
          </w:p>
        </w:tc>
        <w:tc>
          <w:tcPr>
            <w:tcW w:w="1165" w:type="dxa"/>
            <w:tcBorders>
              <w:top w:val="single" w:sz="4" w:space="0" w:color="auto"/>
              <w:left w:val="nil"/>
              <w:bottom w:val="single" w:sz="4" w:space="0" w:color="auto"/>
              <w:right w:val="single" w:sz="4" w:space="0" w:color="auto"/>
            </w:tcBorders>
            <w:shd w:val="clear" w:color="000000" w:fill="FFFFFF"/>
            <w:noWrap/>
            <w:vAlign w:val="center"/>
            <w:hideMark/>
          </w:tcPr>
          <w:p w:rsidR="00A96998" w:rsidRPr="00A96998" w:rsidRDefault="00A96998" w:rsidP="00A96998">
            <w:pPr>
              <w:jc w:val="right"/>
              <w:rPr>
                <w:rFonts w:ascii="Lucida Bright" w:hAnsi="Lucida Bright" w:cs="Calibri"/>
                <w:sz w:val="14"/>
                <w:szCs w:val="14"/>
                <w:lang w:val="es-ES"/>
              </w:rPr>
            </w:pPr>
            <w:r w:rsidRPr="00A96998">
              <w:rPr>
                <w:rFonts w:ascii="Lucida Bright" w:hAnsi="Lucida Bright" w:cs="Calibri"/>
                <w:sz w:val="14"/>
                <w:szCs w:val="14"/>
                <w:lang w:val="es-ES"/>
              </w:rPr>
              <w:t xml:space="preserve">12.953,00 </w:t>
            </w:r>
          </w:p>
        </w:tc>
        <w:tc>
          <w:tcPr>
            <w:tcW w:w="1184" w:type="dxa"/>
            <w:tcBorders>
              <w:top w:val="single" w:sz="4" w:space="0" w:color="auto"/>
              <w:left w:val="nil"/>
              <w:bottom w:val="single" w:sz="4" w:space="0" w:color="auto"/>
              <w:right w:val="single" w:sz="4" w:space="0" w:color="auto"/>
            </w:tcBorders>
            <w:shd w:val="clear" w:color="000000" w:fill="FFFFFF"/>
            <w:noWrap/>
            <w:vAlign w:val="center"/>
            <w:hideMark/>
          </w:tcPr>
          <w:p w:rsidR="00A96998" w:rsidRPr="00A96998" w:rsidRDefault="00A96998" w:rsidP="00A96998">
            <w:pPr>
              <w:jc w:val="right"/>
              <w:rPr>
                <w:rFonts w:ascii="Lucida Bright" w:hAnsi="Lucida Bright" w:cs="Calibri"/>
                <w:sz w:val="14"/>
                <w:szCs w:val="14"/>
                <w:lang w:val="es-ES"/>
              </w:rPr>
            </w:pPr>
            <w:r w:rsidRPr="00A96998">
              <w:rPr>
                <w:rFonts w:ascii="Lucida Bright" w:hAnsi="Lucida Bright" w:cs="Calibri"/>
                <w:sz w:val="14"/>
                <w:szCs w:val="14"/>
                <w:lang w:val="es-ES"/>
              </w:rPr>
              <w:t xml:space="preserve">(5.964,64) </w:t>
            </w:r>
          </w:p>
        </w:tc>
        <w:tc>
          <w:tcPr>
            <w:tcW w:w="1141" w:type="dxa"/>
            <w:tcBorders>
              <w:top w:val="single" w:sz="4" w:space="0" w:color="auto"/>
              <w:left w:val="nil"/>
              <w:bottom w:val="single" w:sz="4" w:space="0" w:color="auto"/>
              <w:right w:val="single" w:sz="4" w:space="0" w:color="auto"/>
            </w:tcBorders>
            <w:shd w:val="clear" w:color="000000" w:fill="FFFFFF"/>
            <w:noWrap/>
            <w:vAlign w:val="center"/>
            <w:hideMark/>
          </w:tcPr>
          <w:p w:rsidR="00A96998" w:rsidRPr="00A96998" w:rsidRDefault="00A96998" w:rsidP="00A96998">
            <w:pPr>
              <w:jc w:val="right"/>
              <w:rPr>
                <w:rFonts w:ascii="Lucida Bright" w:hAnsi="Lucida Bright" w:cs="Calibri"/>
                <w:sz w:val="14"/>
                <w:szCs w:val="14"/>
                <w:lang w:val="es-ES"/>
              </w:rPr>
            </w:pPr>
            <w:r w:rsidRPr="00A96998">
              <w:rPr>
                <w:rFonts w:ascii="Lucida Bright" w:hAnsi="Lucida Bright" w:cs="Calibri"/>
                <w:sz w:val="14"/>
                <w:szCs w:val="14"/>
                <w:lang w:val="es-ES"/>
              </w:rPr>
              <w:t xml:space="preserve">- </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A96998" w:rsidRPr="00A96998" w:rsidRDefault="00A96998" w:rsidP="00A96998">
            <w:pPr>
              <w:jc w:val="right"/>
              <w:rPr>
                <w:rFonts w:ascii="Lucida Bright" w:hAnsi="Lucida Bright" w:cs="Calibri"/>
                <w:sz w:val="14"/>
                <w:szCs w:val="14"/>
                <w:lang w:val="es-ES"/>
              </w:rPr>
            </w:pPr>
            <w:r w:rsidRPr="00A96998">
              <w:rPr>
                <w:rFonts w:ascii="Lucida Bright" w:hAnsi="Lucida Bright" w:cs="Calibri"/>
                <w:sz w:val="14"/>
                <w:szCs w:val="14"/>
                <w:lang w:val="es-ES"/>
              </w:rPr>
              <w:t xml:space="preserve">(6.988,36) </w:t>
            </w:r>
          </w:p>
        </w:tc>
      </w:tr>
      <w:tr w:rsidR="00A96998" w:rsidRPr="00A96998" w:rsidTr="00A96998">
        <w:trPr>
          <w:trHeight w:val="360"/>
        </w:trPr>
        <w:tc>
          <w:tcPr>
            <w:tcW w:w="1026" w:type="dxa"/>
            <w:tcBorders>
              <w:top w:val="nil"/>
              <w:left w:val="single" w:sz="4" w:space="0" w:color="auto"/>
              <w:bottom w:val="single" w:sz="4" w:space="0" w:color="auto"/>
              <w:right w:val="single" w:sz="4" w:space="0" w:color="auto"/>
            </w:tcBorders>
            <w:shd w:val="clear" w:color="000000" w:fill="FFFFFF"/>
            <w:noWrap/>
            <w:vAlign w:val="center"/>
            <w:hideMark/>
          </w:tcPr>
          <w:p w:rsidR="00A96998" w:rsidRPr="00A96998" w:rsidRDefault="00A96998" w:rsidP="00A96998">
            <w:pPr>
              <w:jc w:val="center"/>
              <w:rPr>
                <w:rFonts w:ascii="Lucida Bright" w:hAnsi="Lucida Bright" w:cs="Calibri"/>
                <w:sz w:val="14"/>
                <w:szCs w:val="14"/>
                <w:lang w:val="es-ES"/>
              </w:rPr>
            </w:pPr>
            <w:r w:rsidRPr="00A96998">
              <w:rPr>
                <w:rFonts w:ascii="Lucida Bright" w:hAnsi="Lucida Bright" w:cs="Calibri"/>
                <w:sz w:val="14"/>
                <w:szCs w:val="14"/>
                <w:lang w:val="es-ES"/>
              </w:rPr>
              <w:t>03/10/2023</w:t>
            </w:r>
          </w:p>
        </w:tc>
        <w:tc>
          <w:tcPr>
            <w:tcW w:w="1168" w:type="dxa"/>
            <w:tcBorders>
              <w:top w:val="nil"/>
              <w:left w:val="nil"/>
              <w:bottom w:val="single" w:sz="4" w:space="0" w:color="auto"/>
              <w:right w:val="single" w:sz="4" w:space="0" w:color="auto"/>
            </w:tcBorders>
            <w:shd w:val="clear" w:color="000000" w:fill="FFFFFF"/>
            <w:noWrap/>
            <w:vAlign w:val="center"/>
            <w:hideMark/>
          </w:tcPr>
          <w:p w:rsidR="00A96998" w:rsidRPr="00A96998" w:rsidRDefault="00A96998" w:rsidP="00A96998">
            <w:pPr>
              <w:rPr>
                <w:rFonts w:ascii="Lucida Bright" w:hAnsi="Lucida Bright" w:cs="Calibri"/>
                <w:sz w:val="14"/>
                <w:szCs w:val="14"/>
                <w:lang w:val="es-ES"/>
              </w:rPr>
            </w:pPr>
            <w:r w:rsidRPr="00A96998">
              <w:rPr>
                <w:rFonts w:ascii="Lucida Bright" w:hAnsi="Lucida Bright" w:cs="Calibri"/>
                <w:sz w:val="14"/>
                <w:szCs w:val="14"/>
                <w:lang w:val="es-ES"/>
              </w:rPr>
              <w:t>Baja</w:t>
            </w:r>
          </w:p>
        </w:tc>
        <w:tc>
          <w:tcPr>
            <w:tcW w:w="1584" w:type="dxa"/>
            <w:tcBorders>
              <w:top w:val="nil"/>
              <w:left w:val="nil"/>
              <w:bottom w:val="single" w:sz="4" w:space="0" w:color="auto"/>
              <w:right w:val="single" w:sz="4" w:space="0" w:color="auto"/>
            </w:tcBorders>
            <w:shd w:val="clear" w:color="auto" w:fill="auto"/>
            <w:vAlign w:val="center"/>
            <w:hideMark/>
          </w:tcPr>
          <w:p w:rsidR="00A96998" w:rsidRPr="00A96998" w:rsidRDefault="00A96998" w:rsidP="00A96998">
            <w:pPr>
              <w:rPr>
                <w:rFonts w:ascii="Arial" w:hAnsi="Arial" w:cs="Arial"/>
                <w:color w:val="000000"/>
                <w:sz w:val="14"/>
                <w:szCs w:val="14"/>
                <w:lang w:val="es-ES"/>
              </w:rPr>
            </w:pPr>
            <w:proofErr w:type="spellStart"/>
            <w:r w:rsidRPr="00A96998">
              <w:rPr>
                <w:rFonts w:ascii="Arial" w:hAnsi="Arial" w:cs="Arial"/>
                <w:color w:val="000000"/>
                <w:sz w:val="14"/>
                <w:szCs w:val="14"/>
                <w:lang w:val="es-ES"/>
              </w:rPr>
              <w:t>Acond</w:t>
            </w:r>
            <w:proofErr w:type="spellEnd"/>
            <w:r w:rsidRPr="00A96998">
              <w:rPr>
                <w:rFonts w:ascii="Arial" w:hAnsi="Arial" w:cs="Arial"/>
                <w:color w:val="000000"/>
                <w:sz w:val="14"/>
                <w:szCs w:val="14"/>
                <w:lang w:val="es-ES"/>
              </w:rPr>
              <w:t>. planta 1ª de la E.M. Contramuelle Ibiza</w:t>
            </w:r>
          </w:p>
        </w:tc>
        <w:tc>
          <w:tcPr>
            <w:tcW w:w="1165" w:type="dxa"/>
            <w:tcBorders>
              <w:top w:val="nil"/>
              <w:left w:val="nil"/>
              <w:bottom w:val="single" w:sz="4" w:space="0" w:color="auto"/>
              <w:right w:val="single" w:sz="4" w:space="0" w:color="auto"/>
            </w:tcBorders>
            <w:shd w:val="clear" w:color="000000" w:fill="FFFFFF"/>
            <w:noWrap/>
            <w:vAlign w:val="center"/>
            <w:hideMark/>
          </w:tcPr>
          <w:p w:rsidR="00A96998" w:rsidRPr="00A96998" w:rsidRDefault="00A96998" w:rsidP="00A96998">
            <w:pPr>
              <w:jc w:val="right"/>
              <w:rPr>
                <w:rFonts w:ascii="Lucida Bright" w:hAnsi="Lucida Bright" w:cs="Calibri"/>
                <w:sz w:val="14"/>
                <w:szCs w:val="14"/>
                <w:lang w:val="es-ES"/>
              </w:rPr>
            </w:pPr>
            <w:r w:rsidRPr="00A96998">
              <w:rPr>
                <w:rFonts w:ascii="Lucida Bright" w:hAnsi="Lucida Bright" w:cs="Calibri"/>
                <w:sz w:val="14"/>
                <w:szCs w:val="14"/>
                <w:lang w:val="es-ES"/>
              </w:rPr>
              <w:t xml:space="preserve">43.099,57 </w:t>
            </w:r>
          </w:p>
        </w:tc>
        <w:tc>
          <w:tcPr>
            <w:tcW w:w="1184" w:type="dxa"/>
            <w:tcBorders>
              <w:top w:val="nil"/>
              <w:left w:val="nil"/>
              <w:bottom w:val="single" w:sz="4" w:space="0" w:color="auto"/>
              <w:right w:val="single" w:sz="4" w:space="0" w:color="auto"/>
            </w:tcBorders>
            <w:shd w:val="clear" w:color="000000" w:fill="FFFFFF"/>
            <w:noWrap/>
            <w:vAlign w:val="center"/>
            <w:hideMark/>
          </w:tcPr>
          <w:p w:rsidR="00A96998" w:rsidRPr="00A96998" w:rsidRDefault="00A96998" w:rsidP="00A96998">
            <w:pPr>
              <w:jc w:val="right"/>
              <w:rPr>
                <w:rFonts w:ascii="Lucida Bright" w:hAnsi="Lucida Bright" w:cs="Calibri"/>
                <w:sz w:val="14"/>
                <w:szCs w:val="14"/>
                <w:lang w:val="es-ES"/>
              </w:rPr>
            </w:pPr>
            <w:r w:rsidRPr="00A96998">
              <w:rPr>
                <w:rFonts w:ascii="Lucida Bright" w:hAnsi="Lucida Bright" w:cs="Calibri"/>
                <w:sz w:val="14"/>
                <w:szCs w:val="14"/>
                <w:lang w:val="es-ES"/>
              </w:rPr>
              <w:t xml:space="preserve">(19.497,80) </w:t>
            </w:r>
          </w:p>
        </w:tc>
        <w:tc>
          <w:tcPr>
            <w:tcW w:w="1141" w:type="dxa"/>
            <w:tcBorders>
              <w:top w:val="nil"/>
              <w:left w:val="nil"/>
              <w:bottom w:val="single" w:sz="4" w:space="0" w:color="auto"/>
              <w:right w:val="single" w:sz="4" w:space="0" w:color="auto"/>
            </w:tcBorders>
            <w:shd w:val="clear" w:color="000000" w:fill="FFFFFF"/>
            <w:noWrap/>
            <w:vAlign w:val="center"/>
            <w:hideMark/>
          </w:tcPr>
          <w:p w:rsidR="00A96998" w:rsidRPr="00A96998" w:rsidRDefault="00A96998" w:rsidP="00A96998">
            <w:pPr>
              <w:jc w:val="right"/>
              <w:rPr>
                <w:rFonts w:ascii="Lucida Bright" w:hAnsi="Lucida Bright" w:cs="Calibri"/>
                <w:sz w:val="14"/>
                <w:szCs w:val="14"/>
                <w:lang w:val="es-ES"/>
              </w:rPr>
            </w:pPr>
            <w:r w:rsidRPr="00A96998">
              <w:rPr>
                <w:rFonts w:ascii="Lucida Bright" w:hAnsi="Lucida Bright" w:cs="Calibri"/>
                <w:sz w:val="14"/>
                <w:szCs w:val="14"/>
                <w:lang w:val="es-ES"/>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rsidR="00A96998" w:rsidRPr="00A96998" w:rsidRDefault="00A96998" w:rsidP="00A96998">
            <w:pPr>
              <w:jc w:val="right"/>
              <w:rPr>
                <w:rFonts w:ascii="Lucida Bright" w:hAnsi="Lucida Bright" w:cs="Calibri"/>
                <w:sz w:val="14"/>
                <w:szCs w:val="14"/>
                <w:lang w:val="es-ES"/>
              </w:rPr>
            </w:pPr>
            <w:r w:rsidRPr="00A96998">
              <w:rPr>
                <w:rFonts w:ascii="Lucida Bright" w:hAnsi="Lucida Bright" w:cs="Calibri"/>
                <w:sz w:val="14"/>
                <w:szCs w:val="14"/>
                <w:lang w:val="es-ES"/>
              </w:rPr>
              <w:t xml:space="preserve">(23.601,77) </w:t>
            </w:r>
          </w:p>
        </w:tc>
      </w:tr>
      <w:tr w:rsidR="00A96998" w:rsidRPr="00A96998" w:rsidTr="00A96998">
        <w:trPr>
          <w:trHeight w:val="360"/>
        </w:trPr>
        <w:tc>
          <w:tcPr>
            <w:tcW w:w="1026" w:type="dxa"/>
            <w:tcBorders>
              <w:top w:val="nil"/>
              <w:left w:val="single" w:sz="4" w:space="0" w:color="auto"/>
              <w:bottom w:val="single" w:sz="4" w:space="0" w:color="auto"/>
              <w:right w:val="single" w:sz="4" w:space="0" w:color="auto"/>
            </w:tcBorders>
            <w:shd w:val="clear" w:color="000000" w:fill="FFFFFF"/>
            <w:noWrap/>
            <w:vAlign w:val="center"/>
            <w:hideMark/>
          </w:tcPr>
          <w:p w:rsidR="00A96998" w:rsidRPr="00A96998" w:rsidRDefault="00A96998" w:rsidP="00A96998">
            <w:pPr>
              <w:jc w:val="center"/>
              <w:rPr>
                <w:rFonts w:ascii="Lucida Bright" w:hAnsi="Lucida Bright" w:cs="Calibri"/>
                <w:sz w:val="14"/>
                <w:szCs w:val="14"/>
                <w:lang w:val="es-ES"/>
              </w:rPr>
            </w:pPr>
            <w:r w:rsidRPr="00A96998">
              <w:rPr>
                <w:rFonts w:ascii="Lucida Bright" w:hAnsi="Lucida Bright" w:cs="Calibri"/>
                <w:sz w:val="14"/>
                <w:szCs w:val="14"/>
                <w:lang w:val="es-ES"/>
              </w:rPr>
              <w:t>03/10/2023</w:t>
            </w:r>
          </w:p>
        </w:tc>
        <w:tc>
          <w:tcPr>
            <w:tcW w:w="1168" w:type="dxa"/>
            <w:tcBorders>
              <w:top w:val="nil"/>
              <w:left w:val="nil"/>
              <w:bottom w:val="single" w:sz="4" w:space="0" w:color="auto"/>
              <w:right w:val="single" w:sz="4" w:space="0" w:color="auto"/>
            </w:tcBorders>
            <w:shd w:val="clear" w:color="000000" w:fill="FFFFFF"/>
            <w:noWrap/>
            <w:vAlign w:val="center"/>
            <w:hideMark/>
          </w:tcPr>
          <w:p w:rsidR="00A96998" w:rsidRPr="00A96998" w:rsidRDefault="00A96998" w:rsidP="00A96998">
            <w:pPr>
              <w:rPr>
                <w:rFonts w:ascii="Lucida Bright" w:hAnsi="Lucida Bright" w:cs="Calibri"/>
                <w:sz w:val="14"/>
                <w:szCs w:val="14"/>
                <w:lang w:val="es-ES"/>
              </w:rPr>
            </w:pPr>
            <w:r w:rsidRPr="00A96998">
              <w:rPr>
                <w:rFonts w:ascii="Lucida Bright" w:hAnsi="Lucida Bright" w:cs="Calibri"/>
                <w:sz w:val="14"/>
                <w:szCs w:val="14"/>
                <w:lang w:val="es-ES"/>
              </w:rPr>
              <w:t>Baja</w:t>
            </w:r>
          </w:p>
        </w:tc>
        <w:tc>
          <w:tcPr>
            <w:tcW w:w="1584" w:type="dxa"/>
            <w:tcBorders>
              <w:top w:val="nil"/>
              <w:left w:val="nil"/>
              <w:bottom w:val="single" w:sz="4" w:space="0" w:color="auto"/>
              <w:right w:val="single" w:sz="4" w:space="0" w:color="auto"/>
            </w:tcBorders>
            <w:shd w:val="clear" w:color="auto" w:fill="auto"/>
            <w:vAlign w:val="center"/>
            <w:hideMark/>
          </w:tcPr>
          <w:p w:rsidR="00A96998" w:rsidRPr="00A96998" w:rsidRDefault="00A96998" w:rsidP="00A96998">
            <w:pPr>
              <w:rPr>
                <w:rFonts w:ascii="Arial" w:hAnsi="Arial" w:cs="Arial"/>
                <w:color w:val="000000"/>
                <w:sz w:val="14"/>
                <w:szCs w:val="14"/>
                <w:lang w:val="es-ES"/>
              </w:rPr>
            </w:pPr>
            <w:proofErr w:type="spellStart"/>
            <w:r w:rsidRPr="00A96998">
              <w:rPr>
                <w:rFonts w:ascii="Arial" w:hAnsi="Arial" w:cs="Arial"/>
                <w:color w:val="000000"/>
                <w:sz w:val="14"/>
                <w:szCs w:val="14"/>
                <w:lang w:val="es-ES"/>
              </w:rPr>
              <w:t>Sist</w:t>
            </w:r>
            <w:proofErr w:type="spellEnd"/>
            <w:r w:rsidRPr="00A96998">
              <w:rPr>
                <w:rFonts w:ascii="Arial" w:hAnsi="Arial" w:cs="Arial"/>
                <w:color w:val="000000"/>
                <w:sz w:val="14"/>
                <w:szCs w:val="14"/>
                <w:lang w:val="es-ES"/>
              </w:rPr>
              <w:t>. climatización E.M. Contramuelle Ibiza</w:t>
            </w:r>
          </w:p>
        </w:tc>
        <w:tc>
          <w:tcPr>
            <w:tcW w:w="1165" w:type="dxa"/>
            <w:tcBorders>
              <w:top w:val="nil"/>
              <w:left w:val="nil"/>
              <w:bottom w:val="single" w:sz="4" w:space="0" w:color="auto"/>
              <w:right w:val="single" w:sz="4" w:space="0" w:color="auto"/>
            </w:tcBorders>
            <w:shd w:val="clear" w:color="000000" w:fill="FFFFFF"/>
            <w:noWrap/>
            <w:vAlign w:val="center"/>
            <w:hideMark/>
          </w:tcPr>
          <w:p w:rsidR="00A96998" w:rsidRPr="00A96998" w:rsidRDefault="00A96998" w:rsidP="00A96998">
            <w:pPr>
              <w:jc w:val="right"/>
              <w:rPr>
                <w:rFonts w:ascii="Lucida Bright" w:hAnsi="Lucida Bright" w:cs="Calibri"/>
                <w:sz w:val="14"/>
                <w:szCs w:val="14"/>
                <w:lang w:val="es-ES"/>
              </w:rPr>
            </w:pPr>
            <w:r w:rsidRPr="00A96998">
              <w:rPr>
                <w:rFonts w:ascii="Lucida Bright" w:hAnsi="Lucida Bright" w:cs="Calibri"/>
                <w:sz w:val="14"/>
                <w:szCs w:val="14"/>
                <w:lang w:val="es-ES"/>
              </w:rPr>
              <w:t xml:space="preserve">35.619,05 </w:t>
            </w:r>
          </w:p>
        </w:tc>
        <w:tc>
          <w:tcPr>
            <w:tcW w:w="1184" w:type="dxa"/>
            <w:tcBorders>
              <w:top w:val="nil"/>
              <w:left w:val="nil"/>
              <w:bottom w:val="single" w:sz="4" w:space="0" w:color="auto"/>
              <w:right w:val="single" w:sz="4" w:space="0" w:color="auto"/>
            </w:tcBorders>
            <w:shd w:val="clear" w:color="000000" w:fill="FFFFFF"/>
            <w:noWrap/>
            <w:vAlign w:val="center"/>
            <w:hideMark/>
          </w:tcPr>
          <w:p w:rsidR="00A96998" w:rsidRPr="00A96998" w:rsidRDefault="00A96998" w:rsidP="00A96998">
            <w:pPr>
              <w:jc w:val="right"/>
              <w:rPr>
                <w:rFonts w:ascii="Lucida Bright" w:hAnsi="Lucida Bright" w:cs="Calibri"/>
                <w:sz w:val="14"/>
                <w:szCs w:val="14"/>
                <w:lang w:val="es-ES"/>
              </w:rPr>
            </w:pPr>
            <w:r w:rsidRPr="00A96998">
              <w:rPr>
                <w:rFonts w:ascii="Lucida Bright" w:hAnsi="Lucida Bright" w:cs="Calibri"/>
                <w:sz w:val="14"/>
                <w:szCs w:val="14"/>
                <w:lang w:val="es-ES"/>
              </w:rPr>
              <w:t xml:space="preserve">(15.520,21) </w:t>
            </w:r>
          </w:p>
        </w:tc>
        <w:tc>
          <w:tcPr>
            <w:tcW w:w="1141" w:type="dxa"/>
            <w:tcBorders>
              <w:top w:val="nil"/>
              <w:left w:val="nil"/>
              <w:bottom w:val="single" w:sz="4" w:space="0" w:color="auto"/>
              <w:right w:val="single" w:sz="4" w:space="0" w:color="auto"/>
            </w:tcBorders>
            <w:shd w:val="clear" w:color="000000" w:fill="FFFFFF"/>
            <w:noWrap/>
            <w:vAlign w:val="center"/>
            <w:hideMark/>
          </w:tcPr>
          <w:p w:rsidR="00A96998" w:rsidRPr="00A96998" w:rsidRDefault="00A96998" w:rsidP="00A96998">
            <w:pPr>
              <w:jc w:val="right"/>
              <w:rPr>
                <w:rFonts w:ascii="Lucida Bright" w:hAnsi="Lucida Bright" w:cs="Calibri"/>
                <w:sz w:val="14"/>
                <w:szCs w:val="14"/>
                <w:lang w:val="es-ES"/>
              </w:rPr>
            </w:pPr>
            <w:r w:rsidRPr="00A96998">
              <w:rPr>
                <w:rFonts w:ascii="Lucida Bright" w:hAnsi="Lucida Bright" w:cs="Calibri"/>
                <w:sz w:val="14"/>
                <w:szCs w:val="14"/>
                <w:lang w:val="es-ES"/>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rsidR="00A96998" w:rsidRPr="00A96998" w:rsidRDefault="00A96998" w:rsidP="00A96998">
            <w:pPr>
              <w:jc w:val="right"/>
              <w:rPr>
                <w:rFonts w:ascii="Lucida Bright" w:hAnsi="Lucida Bright" w:cs="Calibri"/>
                <w:sz w:val="14"/>
                <w:szCs w:val="14"/>
                <w:lang w:val="es-ES"/>
              </w:rPr>
            </w:pPr>
            <w:r w:rsidRPr="00A96998">
              <w:rPr>
                <w:rFonts w:ascii="Lucida Bright" w:hAnsi="Lucida Bright" w:cs="Calibri"/>
                <w:sz w:val="14"/>
                <w:szCs w:val="14"/>
                <w:lang w:val="es-ES"/>
              </w:rPr>
              <w:t xml:space="preserve">(20.098,84) </w:t>
            </w:r>
          </w:p>
        </w:tc>
      </w:tr>
      <w:tr w:rsidR="00A96998" w:rsidRPr="00A96998" w:rsidTr="00A96998">
        <w:trPr>
          <w:trHeight w:val="300"/>
        </w:trPr>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A96998" w:rsidRPr="00A96998" w:rsidRDefault="00A96998" w:rsidP="00A96998">
            <w:pPr>
              <w:jc w:val="center"/>
              <w:rPr>
                <w:rFonts w:ascii="Lucida Bright" w:hAnsi="Lucida Bright" w:cs="Calibri"/>
                <w:b/>
                <w:bCs/>
                <w:sz w:val="14"/>
                <w:szCs w:val="14"/>
                <w:lang w:val="es-ES"/>
              </w:rPr>
            </w:pPr>
            <w:r w:rsidRPr="00A96998">
              <w:rPr>
                <w:rFonts w:ascii="Lucida Bright" w:hAnsi="Lucida Bright" w:cs="Calibri"/>
                <w:b/>
                <w:bCs/>
                <w:sz w:val="14"/>
                <w:szCs w:val="14"/>
                <w:lang w:val="es-ES"/>
              </w:rPr>
              <w:t>TOTAL</w:t>
            </w:r>
          </w:p>
        </w:tc>
        <w:tc>
          <w:tcPr>
            <w:tcW w:w="1168" w:type="dxa"/>
            <w:tcBorders>
              <w:top w:val="nil"/>
              <w:left w:val="nil"/>
              <w:bottom w:val="single" w:sz="4" w:space="0" w:color="auto"/>
              <w:right w:val="single" w:sz="4" w:space="0" w:color="auto"/>
            </w:tcBorders>
            <w:shd w:val="clear" w:color="auto" w:fill="auto"/>
            <w:noWrap/>
            <w:vAlign w:val="center"/>
            <w:hideMark/>
          </w:tcPr>
          <w:p w:rsidR="00A96998" w:rsidRPr="00A96998" w:rsidRDefault="00A96998" w:rsidP="00A96998">
            <w:pPr>
              <w:rPr>
                <w:rFonts w:ascii="Lucida Bright" w:hAnsi="Lucida Bright" w:cs="Calibri"/>
                <w:b/>
                <w:bCs/>
                <w:sz w:val="14"/>
                <w:szCs w:val="14"/>
                <w:lang w:val="es-ES"/>
              </w:rPr>
            </w:pPr>
            <w:r w:rsidRPr="00A96998">
              <w:rPr>
                <w:rFonts w:ascii="Lucida Bright" w:hAnsi="Lucida Bright" w:cs="Calibri"/>
                <w:b/>
                <w:bCs/>
                <w:sz w:val="14"/>
                <w:szCs w:val="14"/>
                <w:lang w:val="es-ES"/>
              </w:rPr>
              <w:t> </w:t>
            </w:r>
          </w:p>
        </w:tc>
        <w:tc>
          <w:tcPr>
            <w:tcW w:w="1584" w:type="dxa"/>
            <w:tcBorders>
              <w:top w:val="nil"/>
              <w:left w:val="nil"/>
              <w:bottom w:val="single" w:sz="4" w:space="0" w:color="auto"/>
              <w:right w:val="single" w:sz="4" w:space="0" w:color="auto"/>
            </w:tcBorders>
            <w:shd w:val="clear" w:color="auto" w:fill="auto"/>
            <w:noWrap/>
            <w:vAlign w:val="center"/>
            <w:hideMark/>
          </w:tcPr>
          <w:p w:rsidR="00A96998" w:rsidRPr="00A96998" w:rsidRDefault="00A96998" w:rsidP="00A96998">
            <w:pPr>
              <w:rPr>
                <w:rFonts w:ascii="Lucida Bright" w:hAnsi="Lucida Bright" w:cs="Calibri"/>
                <w:b/>
                <w:bCs/>
                <w:sz w:val="14"/>
                <w:szCs w:val="14"/>
                <w:lang w:val="es-ES"/>
              </w:rPr>
            </w:pPr>
            <w:r w:rsidRPr="00A96998">
              <w:rPr>
                <w:rFonts w:ascii="Lucida Bright" w:hAnsi="Lucida Bright" w:cs="Calibri"/>
                <w:b/>
                <w:bCs/>
                <w:sz w:val="14"/>
                <w:szCs w:val="14"/>
                <w:lang w:val="es-ES"/>
              </w:rPr>
              <w:t> </w:t>
            </w:r>
          </w:p>
        </w:tc>
        <w:tc>
          <w:tcPr>
            <w:tcW w:w="1165" w:type="dxa"/>
            <w:tcBorders>
              <w:top w:val="nil"/>
              <w:left w:val="nil"/>
              <w:bottom w:val="single" w:sz="4" w:space="0" w:color="auto"/>
              <w:right w:val="single" w:sz="4" w:space="0" w:color="auto"/>
            </w:tcBorders>
            <w:shd w:val="clear" w:color="auto" w:fill="auto"/>
            <w:noWrap/>
            <w:vAlign w:val="center"/>
            <w:hideMark/>
          </w:tcPr>
          <w:p w:rsidR="00A96998" w:rsidRPr="00A96998" w:rsidRDefault="00A96998" w:rsidP="00A96998">
            <w:pPr>
              <w:jc w:val="right"/>
              <w:rPr>
                <w:rFonts w:ascii="Lucida Bright" w:hAnsi="Lucida Bright" w:cs="Calibri"/>
                <w:b/>
                <w:bCs/>
                <w:sz w:val="14"/>
                <w:szCs w:val="14"/>
                <w:lang w:val="es-ES"/>
              </w:rPr>
            </w:pPr>
            <w:r w:rsidRPr="00A96998">
              <w:rPr>
                <w:rFonts w:ascii="Lucida Bright" w:hAnsi="Lucida Bright" w:cs="Calibri"/>
                <w:b/>
                <w:bCs/>
                <w:sz w:val="14"/>
                <w:szCs w:val="14"/>
                <w:lang w:val="es-ES"/>
              </w:rPr>
              <w:t xml:space="preserve">91.671,62 </w:t>
            </w:r>
          </w:p>
        </w:tc>
        <w:tc>
          <w:tcPr>
            <w:tcW w:w="1184" w:type="dxa"/>
            <w:tcBorders>
              <w:top w:val="nil"/>
              <w:left w:val="nil"/>
              <w:bottom w:val="single" w:sz="4" w:space="0" w:color="auto"/>
              <w:right w:val="single" w:sz="4" w:space="0" w:color="auto"/>
            </w:tcBorders>
            <w:shd w:val="clear" w:color="auto" w:fill="auto"/>
            <w:noWrap/>
            <w:vAlign w:val="center"/>
            <w:hideMark/>
          </w:tcPr>
          <w:p w:rsidR="00A96998" w:rsidRPr="00A96998" w:rsidRDefault="00A96998" w:rsidP="00A96998">
            <w:pPr>
              <w:jc w:val="right"/>
              <w:rPr>
                <w:rFonts w:ascii="Lucida Bright" w:hAnsi="Lucida Bright" w:cs="Calibri"/>
                <w:b/>
                <w:bCs/>
                <w:sz w:val="14"/>
                <w:szCs w:val="14"/>
                <w:lang w:val="es-ES"/>
              </w:rPr>
            </w:pPr>
            <w:r w:rsidRPr="00A96998">
              <w:rPr>
                <w:rFonts w:ascii="Lucida Bright" w:hAnsi="Lucida Bright" w:cs="Calibri"/>
                <w:b/>
                <w:bCs/>
                <w:sz w:val="14"/>
                <w:szCs w:val="14"/>
                <w:lang w:val="es-ES"/>
              </w:rPr>
              <w:t xml:space="preserve">(40.982,65) </w:t>
            </w:r>
          </w:p>
        </w:tc>
        <w:tc>
          <w:tcPr>
            <w:tcW w:w="1141" w:type="dxa"/>
            <w:tcBorders>
              <w:top w:val="nil"/>
              <w:left w:val="nil"/>
              <w:bottom w:val="single" w:sz="4" w:space="0" w:color="auto"/>
              <w:right w:val="single" w:sz="4" w:space="0" w:color="auto"/>
            </w:tcBorders>
            <w:shd w:val="clear" w:color="auto" w:fill="auto"/>
            <w:noWrap/>
            <w:vAlign w:val="center"/>
            <w:hideMark/>
          </w:tcPr>
          <w:p w:rsidR="00A96998" w:rsidRPr="00A96998" w:rsidRDefault="00A96998" w:rsidP="00A96998">
            <w:pPr>
              <w:jc w:val="right"/>
              <w:rPr>
                <w:rFonts w:ascii="Lucida Bright" w:hAnsi="Lucida Bright" w:cs="Calibri"/>
                <w:b/>
                <w:bCs/>
                <w:sz w:val="14"/>
                <w:szCs w:val="14"/>
                <w:lang w:val="es-ES"/>
              </w:rPr>
            </w:pPr>
            <w:r w:rsidRPr="00A96998">
              <w:rPr>
                <w:rFonts w:ascii="Lucida Bright" w:hAnsi="Lucida Bright" w:cs="Calibri"/>
                <w:b/>
                <w:bCs/>
                <w:sz w:val="14"/>
                <w:szCs w:val="14"/>
                <w:lang w:val="es-ES"/>
              </w:rPr>
              <w:t xml:space="preserve">- </w:t>
            </w:r>
          </w:p>
        </w:tc>
        <w:tc>
          <w:tcPr>
            <w:tcW w:w="1172" w:type="dxa"/>
            <w:tcBorders>
              <w:top w:val="nil"/>
              <w:left w:val="nil"/>
              <w:bottom w:val="single" w:sz="4" w:space="0" w:color="auto"/>
              <w:right w:val="single" w:sz="4" w:space="0" w:color="auto"/>
            </w:tcBorders>
            <w:shd w:val="clear" w:color="auto" w:fill="auto"/>
            <w:noWrap/>
            <w:vAlign w:val="center"/>
            <w:hideMark/>
          </w:tcPr>
          <w:p w:rsidR="00A96998" w:rsidRPr="00A96998" w:rsidRDefault="00A96998" w:rsidP="00A96998">
            <w:pPr>
              <w:jc w:val="right"/>
              <w:rPr>
                <w:rFonts w:ascii="Lucida Bright" w:hAnsi="Lucida Bright" w:cs="Calibri"/>
                <w:b/>
                <w:bCs/>
                <w:sz w:val="14"/>
                <w:szCs w:val="14"/>
                <w:lang w:val="es-ES"/>
              </w:rPr>
            </w:pPr>
            <w:r w:rsidRPr="00A96998">
              <w:rPr>
                <w:rFonts w:ascii="Lucida Bright" w:hAnsi="Lucida Bright" w:cs="Calibri"/>
                <w:b/>
                <w:bCs/>
                <w:sz w:val="14"/>
                <w:szCs w:val="14"/>
                <w:lang w:val="es-ES"/>
              </w:rPr>
              <w:t xml:space="preserve">(50.688,97) </w:t>
            </w:r>
          </w:p>
        </w:tc>
      </w:tr>
      <w:tr w:rsidR="00A96998" w:rsidRPr="00A96998" w:rsidTr="00A96998">
        <w:trPr>
          <w:trHeight w:val="300"/>
        </w:trPr>
        <w:tc>
          <w:tcPr>
            <w:tcW w:w="1026" w:type="dxa"/>
            <w:tcBorders>
              <w:top w:val="nil"/>
              <w:left w:val="nil"/>
              <w:bottom w:val="nil"/>
              <w:right w:val="nil"/>
            </w:tcBorders>
            <w:shd w:val="clear" w:color="000000" w:fill="FFFFFF"/>
            <w:noWrap/>
            <w:vAlign w:val="bottom"/>
            <w:hideMark/>
          </w:tcPr>
          <w:p w:rsidR="00A96998" w:rsidRPr="00A96998" w:rsidRDefault="00A96998" w:rsidP="00A96998">
            <w:pPr>
              <w:jc w:val="center"/>
              <w:rPr>
                <w:rFonts w:ascii="Lucida Bright" w:hAnsi="Lucida Bright" w:cs="Calibri"/>
                <w:sz w:val="14"/>
                <w:szCs w:val="14"/>
                <w:lang w:val="es-ES"/>
              </w:rPr>
            </w:pPr>
            <w:r w:rsidRPr="00A96998">
              <w:rPr>
                <w:rFonts w:ascii="Lucida Bright" w:hAnsi="Lucida Bright" w:cs="Calibri"/>
                <w:sz w:val="14"/>
                <w:szCs w:val="14"/>
                <w:lang w:val="es-ES"/>
              </w:rPr>
              <w:t> </w:t>
            </w:r>
          </w:p>
        </w:tc>
        <w:tc>
          <w:tcPr>
            <w:tcW w:w="1168" w:type="dxa"/>
            <w:tcBorders>
              <w:top w:val="nil"/>
              <w:left w:val="nil"/>
              <w:bottom w:val="nil"/>
              <w:right w:val="nil"/>
            </w:tcBorders>
            <w:shd w:val="clear" w:color="000000" w:fill="FFFFFF"/>
            <w:noWrap/>
            <w:vAlign w:val="bottom"/>
            <w:hideMark/>
          </w:tcPr>
          <w:p w:rsidR="00A96998" w:rsidRPr="00A96998" w:rsidRDefault="00A96998" w:rsidP="00A96998">
            <w:pPr>
              <w:jc w:val="center"/>
              <w:rPr>
                <w:rFonts w:ascii="Lucida Bright" w:hAnsi="Lucida Bright" w:cs="Calibri"/>
                <w:sz w:val="14"/>
                <w:szCs w:val="14"/>
                <w:lang w:val="es-ES"/>
              </w:rPr>
            </w:pPr>
            <w:r w:rsidRPr="00A96998">
              <w:rPr>
                <w:rFonts w:ascii="Lucida Bright" w:hAnsi="Lucida Bright" w:cs="Calibri"/>
                <w:sz w:val="14"/>
                <w:szCs w:val="14"/>
                <w:lang w:val="es-ES"/>
              </w:rPr>
              <w:t> </w:t>
            </w:r>
          </w:p>
        </w:tc>
        <w:tc>
          <w:tcPr>
            <w:tcW w:w="1584" w:type="dxa"/>
            <w:tcBorders>
              <w:top w:val="nil"/>
              <w:left w:val="nil"/>
              <w:bottom w:val="nil"/>
              <w:right w:val="nil"/>
            </w:tcBorders>
            <w:shd w:val="clear" w:color="000000" w:fill="FFFFFF"/>
            <w:noWrap/>
            <w:vAlign w:val="bottom"/>
            <w:hideMark/>
          </w:tcPr>
          <w:p w:rsidR="00A96998" w:rsidRPr="00A96998" w:rsidRDefault="00A96998" w:rsidP="00A96998">
            <w:pPr>
              <w:jc w:val="center"/>
              <w:rPr>
                <w:rFonts w:ascii="Lucida Bright" w:hAnsi="Lucida Bright" w:cs="Calibri"/>
                <w:sz w:val="14"/>
                <w:szCs w:val="14"/>
                <w:lang w:val="es-ES"/>
              </w:rPr>
            </w:pPr>
            <w:r w:rsidRPr="00A96998">
              <w:rPr>
                <w:rFonts w:ascii="Lucida Bright" w:hAnsi="Lucida Bright" w:cs="Calibri"/>
                <w:sz w:val="14"/>
                <w:szCs w:val="14"/>
                <w:lang w:val="es-ES"/>
              </w:rPr>
              <w:t> </w:t>
            </w:r>
          </w:p>
        </w:tc>
        <w:tc>
          <w:tcPr>
            <w:tcW w:w="1165" w:type="dxa"/>
            <w:tcBorders>
              <w:top w:val="nil"/>
              <w:left w:val="nil"/>
              <w:bottom w:val="nil"/>
              <w:right w:val="nil"/>
            </w:tcBorders>
            <w:shd w:val="clear" w:color="000000" w:fill="FFFFFF"/>
            <w:noWrap/>
            <w:vAlign w:val="bottom"/>
            <w:hideMark/>
          </w:tcPr>
          <w:p w:rsidR="00A96998" w:rsidRPr="00A96998" w:rsidRDefault="00A96998" w:rsidP="00A96998">
            <w:pPr>
              <w:rPr>
                <w:rFonts w:ascii="Lucida Bright" w:hAnsi="Lucida Bright" w:cs="Calibri"/>
                <w:sz w:val="14"/>
                <w:szCs w:val="14"/>
                <w:lang w:val="es-ES"/>
              </w:rPr>
            </w:pPr>
            <w:r w:rsidRPr="00A96998">
              <w:rPr>
                <w:rFonts w:ascii="Lucida Bright" w:hAnsi="Lucida Bright" w:cs="Calibri"/>
                <w:sz w:val="14"/>
                <w:szCs w:val="14"/>
                <w:lang w:val="es-ES"/>
              </w:rPr>
              <w:t> </w:t>
            </w:r>
          </w:p>
        </w:tc>
        <w:tc>
          <w:tcPr>
            <w:tcW w:w="1184" w:type="dxa"/>
            <w:tcBorders>
              <w:top w:val="nil"/>
              <w:left w:val="nil"/>
              <w:bottom w:val="single" w:sz="4" w:space="0" w:color="auto"/>
              <w:right w:val="nil"/>
            </w:tcBorders>
            <w:shd w:val="clear" w:color="auto" w:fill="auto"/>
            <w:noWrap/>
            <w:vAlign w:val="center"/>
            <w:hideMark/>
          </w:tcPr>
          <w:p w:rsidR="00A96998" w:rsidRPr="00A96998" w:rsidRDefault="00A96998" w:rsidP="00A96998">
            <w:pPr>
              <w:rPr>
                <w:rFonts w:ascii="Lucida Bright" w:hAnsi="Lucida Bright" w:cs="Calibri"/>
                <w:b/>
                <w:bCs/>
                <w:sz w:val="14"/>
                <w:szCs w:val="14"/>
                <w:lang w:val="es-ES"/>
              </w:rPr>
            </w:pPr>
            <w:r w:rsidRPr="00A96998">
              <w:rPr>
                <w:rFonts w:ascii="Lucida Bright" w:hAnsi="Lucida Bright" w:cs="Calibri"/>
                <w:b/>
                <w:bCs/>
                <w:sz w:val="14"/>
                <w:szCs w:val="14"/>
                <w:lang w:val="es-ES"/>
              </w:rPr>
              <w:t> </w:t>
            </w:r>
          </w:p>
        </w:tc>
        <w:tc>
          <w:tcPr>
            <w:tcW w:w="1141" w:type="dxa"/>
            <w:tcBorders>
              <w:top w:val="nil"/>
              <w:left w:val="nil"/>
              <w:bottom w:val="single" w:sz="4" w:space="0" w:color="auto"/>
              <w:right w:val="nil"/>
            </w:tcBorders>
            <w:shd w:val="clear" w:color="auto" w:fill="auto"/>
            <w:noWrap/>
            <w:vAlign w:val="center"/>
            <w:hideMark/>
          </w:tcPr>
          <w:p w:rsidR="00A96998" w:rsidRPr="00A96998" w:rsidRDefault="00A96998" w:rsidP="00A96998">
            <w:pPr>
              <w:rPr>
                <w:rFonts w:ascii="Lucida Bright" w:hAnsi="Lucida Bright" w:cs="Calibri"/>
                <w:b/>
                <w:bCs/>
                <w:sz w:val="14"/>
                <w:szCs w:val="14"/>
                <w:lang w:val="es-ES"/>
              </w:rPr>
            </w:pPr>
            <w:r w:rsidRPr="00A96998">
              <w:rPr>
                <w:rFonts w:ascii="Lucida Bright" w:hAnsi="Lucida Bright" w:cs="Calibri"/>
                <w:b/>
                <w:bCs/>
                <w:sz w:val="14"/>
                <w:szCs w:val="14"/>
                <w:lang w:val="es-ES"/>
              </w:rPr>
              <w:t> </w:t>
            </w:r>
          </w:p>
        </w:tc>
        <w:tc>
          <w:tcPr>
            <w:tcW w:w="1172" w:type="dxa"/>
            <w:tcBorders>
              <w:top w:val="nil"/>
              <w:left w:val="nil"/>
              <w:bottom w:val="single" w:sz="4" w:space="0" w:color="auto"/>
              <w:right w:val="nil"/>
            </w:tcBorders>
            <w:shd w:val="clear" w:color="auto" w:fill="auto"/>
            <w:noWrap/>
            <w:vAlign w:val="center"/>
            <w:hideMark/>
          </w:tcPr>
          <w:p w:rsidR="00A96998" w:rsidRPr="00A96998" w:rsidRDefault="00A96998" w:rsidP="00A96998">
            <w:pPr>
              <w:rPr>
                <w:rFonts w:ascii="Lucida Bright" w:hAnsi="Lucida Bright" w:cs="Calibri"/>
                <w:b/>
                <w:bCs/>
                <w:sz w:val="14"/>
                <w:szCs w:val="14"/>
                <w:lang w:val="es-ES"/>
              </w:rPr>
            </w:pPr>
            <w:r w:rsidRPr="00A96998">
              <w:rPr>
                <w:rFonts w:ascii="Lucida Bright" w:hAnsi="Lucida Bright" w:cs="Calibri"/>
                <w:b/>
                <w:bCs/>
                <w:sz w:val="14"/>
                <w:szCs w:val="14"/>
                <w:lang w:val="es-ES"/>
              </w:rPr>
              <w:t> </w:t>
            </w:r>
          </w:p>
        </w:tc>
      </w:tr>
      <w:tr w:rsidR="00A96998" w:rsidRPr="00A96998" w:rsidTr="00A96998">
        <w:trPr>
          <w:trHeight w:val="300"/>
        </w:trPr>
        <w:tc>
          <w:tcPr>
            <w:tcW w:w="1026" w:type="dxa"/>
            <w:tcBorders>
              <w:top w:val="nil"/>
              <w:left w:val="nil"/>
              <w:bottom w:val="nil"/>
              <w:right w:val="nil"/>
            </w:tcBorders>
            <w:shd w:val="clear" w:color="000000" w:fill="FFFFFF"/>
            <w:noWrap/>
            <w:vAlign w:val="bottom"/>
            <w:hideMark/>
          </w:tcPr>
          <w:p w:rsidR="00A96998" w:rsidRPr="00A96998" w:rsidRDefault="00A96998" w:rsidP="00A96998">
            <w:pPr>
              <w:rPr>
                <w:rFonts w:ascii="Lucida Bright" w:hAnsi="Lucida Bright" w:cs="Calibri"/>
                <w:sz w:val="14"/>
                <w:szCs w:val="14"/>
                <w:lang w:val="es-ES"/>
              </w:rPr>
            </w:pPr>
            <w:r w:rsidRPr="00A96998">
              <w:rPr>
                <w:rFonts w:ascii="Lucida Bright" w:hAnsi="Lucida Bright" w:cs="Calibri"/>
                <w:sz w:val="14"/>
                <w:szCs w:val="14"/>
                <w:lang w:val="es-ES"/>
              </w:rPr>
              <w:t> </w:t>
            </w:r>
          </w:p>
        </w:tc>
        <w:tc>
          <w:tcPr>
            <w:tcW w:w="1168" w:type="dxa"/>
            <w:tcBorders>
              <w:top w:val="nil"/>
              <w:left w:val="nil"/>
              <w:bottom w:val="nil"/>
              <w:right w:val="nil"/>
            </w:tcBorders>
            <w:shd w:val="clear" w:color="000000" w:fill="FFFFFF"/>
            <w:noWrap/>
            <w:vAlign w:val="bottom"/>
            <w:hideMark/>
          </w:tcPr>
          <w:p w:rsidR="00A96998" w:rsidRPr="00A96998" w:rsidRDefault="00A96998" w:rsidP="00A96998">
            <w:pPr>
              <w:jc w:val="center"/>
              <w:rPr>
                <w:rFonts w:ascii="Lucida Bright" w:hAnsi="Lucida Bright" w:cs="Calibri"/>
                <w:sz w:val="14"/>
                <w:szCs w:val="14"/>
                <w:lang w:val="es-ES"/>
              </w:rPr>
            </w:pPr>
            <w:r w:rsidRPr="00A96998">
              <w:rPr>
                <w:rFonts w:ascii="Lucida Bright" w:hAnsi="Lucida Bright" w:cs="Calibri"/>
                <w:sz w:val="14"/>
                <w:szCs w:val="14"/>
                <w:lang w:val="es-ES"/>
              </w:rPr>
              <w:t> </w:t>
            </w:r>
          </w:p>
        </w:tc>
        <w:tc>
          <w:tcPr>
            <w:tcW w:w="1584" w:type="dxa"/>
            <w:tcBorders>
              <w:top w:val="nil"/>
              <w:left w:val="nil"/>
              <w:bottom w:val="nil"/>
              <w:right w:val="nil"/>
            </w:tcBorders>
            <w:shd w:val="clear" w:color="000000" w:fill="FFFFFF"/>
            <w:noWrap/>
            <w:vAlign w:val="bottom"/>
            <w:hideMark/>
          </w:tcPr>
          <w:p w:rsidR="00A96998" w:rsidRPr="00A96998" w:rsidRDefault="00A96998" w:rsidP="00A96998">
            <w:pPr>
              <w:jc w:val="center"/>
              <w:rPr>
                <w:rFonts w:ascii="Lucida Bright" w:hAnsi="Lucida Bright" w:cs="Calibri"/>
                <w:sz w:val="14"/>
                <w:szCs w:val="14"/>
                <w:lang w:val="es-ES"/>
              </w:rPr>
            </w:pPr>
            <w:r w:rsidRPr="00A96998">
              <w:rPr>
                <w:rFonts w:ascii="Lucida Bright" w:hAnsi="Lucida Bright" w:cs="Calibri"/>
                <w:sz w:val="14"/>
                <w:szCs w:val="14"/>
                <w:lang w:val="es-ES"/>
              </w:rPr>
              <w:t> </w:t>
            </w:r>
          </w:p>
        </w:tc>
        <w:tc>
          <w:tcPr>
            <w:tcW w:w="1165" w:type="dxa"/>
            <w:tcBorders>
              <w:top w:val="nil"/>
              <w:left w:val="nil"/>
              <w:bottom w:val="nil"/>
              <w:right w:val="nil"/>
            </w:tcBorders>
            <w:shd w:val="clear" w:color="000000" w:fill="FFFFFF"/>
            <w:noWrap/>
            <w:vAlign w:val="bottom"/>
            <w:hideMark/>
          </w:tcPr>
          <w:p w:rsidR="00A96998" w:rsidRPr="00A96998" w:rsidRDefault="00A96998" w:rsidP="00A96998">
            <w:pPr>
              <w:rPr>
                <w:rFonts w:ascii="Lucida Bright" w:hAnsi="Lucida Bright" w:cs="Calibri"/>
                <w:sz w:val="14"/>
                <w:szCs w:val="14"/>
                <w:lang w:val="es-ES"/>
              </w:rPr>
            </w:pPr>
            <w:r w:rsidRPr="00A96998">
              <w:rPr>
                <w:rFonts w:ascii="Lucida Bright" w:hAnsi="Lucida Bright" w:cs="Calibri"/>
                <w:sz w:val="14"/>
                <w:szCs w:val="14"/>
                <w:lang w:val="es-ES"/>
              </w:rPr>
              <w:t> </w:t>
            </w:r>
          </w:p>
        </w:tc>
        <w:tc>
          <w:tcPr>
            <w:tcW w:w="1184" w:type="dxa"/>
            <w:tcBorders>
              <w:top w:val="nil"/>
              <w:left w:val="single" w:sz="4" w:space="0" w:color="auto"/>
              <w:bottom w:val="single" w:sz="4" w:space="0" w:color="auto"/>
              <w:right w:val="nil"/>
            </w:tcBorders>
            <w:shd w:val="clear" w:color="000000" w:fill="FFFFFF"/>
            <w:noWrap/>
            <w:vAlign w:val="bottom"/>
            <w:hideMark/>
          </w:tcPr>
          <w:p w:rsidR="00A96998" w:rsidRPr="00A96998" w:rsidRDefault="00A96998" w:rsidP="00A96998">
            <w:pPr>
              <w:rPr>
                <w:rFonts w:ascii="Lucida Bright" w:hAnsi="Lucida Bright" w:cs="Calibri"/>
                <w:sz w:val="14"/>
                <w:szCs w:val="14"/>
                <w:lang w:val="es-ES"/>
              </w:rPr>
            </w:pPr>
            <w:r w:rsidRPr="00A96998">
              <w:rPr>
                <w:rFonts w:ascii="Lucida Bright" w:hAnsi="Lucida Bright" w:cs="Calibri"/>
                <w:sz w:val="14"/>
                <w:szCs w:val="14"/>
                <w:lang w:val="es-ES"/>
              </w:rPr>
              <w:t> </w:t>
            </w:r>
          </w:p>
        </w:tc>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A96998" w:rsidRPr="00A96998" w:rsidRDefault="00A96998" w:rsidP="00A96998">
            <w:pPr>
              <w:jc w:val="right"/>
              <w:rPr>
                <w:rFonts w:ascii="Lucida Bright" w:hAnsi="Lucida Bright" w:cs="Calibri"/>
                <w:b/>
                <w:bCs/>
                <w:sz w:val="14"/>
                <w:szCs w:val="14"/>
                <w:lang w:val="es-ES"/>
              </w:rPr>
            </w:pPr>
            <w:r w:rsidRPr="00A96998">
              <w:rPr>
                <w:rFonts w:ascii="Lucida Bright" w:hAnsi="Lucida Bright" w:cs="Calibri"/>
                <w:b/>
                <w:bCs/>
                <w:sz w:val="14"/>
                <w:szCs w:val="14"/>
                <w:lang w:val="es-ES"/>
              </w:rPr>
              <w:t xml:space="preserve">Total Beneficios </w:t>
            </w:r>
          </w:p>
        </w:tc>
        <w:tc>
          <w:tcPr>
            <w:tcW w:w="1172" w:type="dxa"/>
            <w:tcBorders>
              <w:top w:val="nil"/>
              <w:left w:val="nil"/>
              <w:bottom w:val="nil"/>
              <w:right w:val="single" w:sz="4" w:space="0" w:color="auto"/>
            </w:tcBorders>
            <w:shd w:val="clear" w:color="auto" w:fill="auto"/>
            <w:noWrap/>
            <w:vAlign w:val="center"/>
            <w:hideMark/>
          </w:tcPr>
          <w:p w:rsidR="00A96998" w:rsidRPr="00A96998" w:rsidRDefault="00A96998" w:rsidP="00A96998">
            <w:pPr>
              <w:rPr>
                <w:rFonts w:ascii="Lucida Bright" w:hAnsi="Lucida Bright" w:cs="Calibri"/>
                <w:b/>
                <w:bCs/>
                <w:sz w:val="14"/>
                <w:szCs w:val="14"/>
                <w:lang w:val="es-ES"/>
              </w:rPr>
            </w:pPr>
            <w:r w:rsidRPr="00A96998">
              <w:rPr>
                <w:rFonts w:ascii="Lucida Bright" w:hAnsi="Lucida Bright" w:cs="Calibri"/>
                <w:b/>
                <w:bCs/>
                <w:sz w:val="14"/>
                <w:szCs w:val="14"/>
                <w:lang w:val="es-ES"/>
              </w:rPr>
              <w:t> </w:t>
            </w:r>
          </w:p>
        </w:tc>
      </w:tr>
      <w:tr w:rsidR="00A96998" w:rsidRPr="00A96998" w:rsidTr="00A96998">
        <w:trPr>
          <w:trHeight w:val="300"/>
        </w:trPr>
        <w:tc>
          <w:tcPr>
            <w:tcW w:w="1026" w:type="dxa"/>
            <w:tcBorders>
              <w:top w:val="nil"/>
              <w:left w:val="nil"/>
              <w:bottom w:val="nil"/>
              <w:right w:val="nil"/>
            </w:tcBorders>
            <w:shd w:val="clear" w:color="000000" w:fill="FFFFFF"/>
            <w:noWrap/>
            <w:vAlign w:val="bottom"/>
            <w:hideMark/>
          </w:tcPr>
          <w:p w:rsidR="00A96998" w:rsidRPr="00A96998" w:rsidRDefault="00A96998" w:rsidP="00A96998">
            <w:pPr>
              <w:rPr>
                <w:rFonts w:ascii="Lucida Bright" w:hAnsi="Lucida Bright" w:cs="Calibri"/>
                <w:sz w:val="14"/>
                <w:szCs w:val="14"/>
                <w:lang w:val="es-ES"/>
              </w:rPr>
            </w:pPr>
            <w:r w:rsidRPr="00A96998">
              <w:rPr>
                <w:rFonts w:ascii="Lucida Bright" w:hAnsi="Lucida Bright" w:cs="Calibri"/>
                <w:sz w:val="14"/>
                <w:szCs w:val="14"/>
                <w:lang w:val="es-ES"/>
              </w:rPr>
              <w:t> </w:t>
            </w:r>
          </w:p>
        </w:tc>
        <w:tc>
          <w:tcPr>
            <w:tcW w:w="1168" w:type="dxa"/>
            <w:tcBorders>
              <w:top w:val="nil"/>
              <w:left w:val="nil"/>
              <w:bottom w:val="nil"/>
              <w:right w:val="nil"/>
            </w:tcBorders>
            <w:shd w:val="clear" w:color="000000" w:fill="FFFFFF"/>
            <w:noWrap/>
            <w:vAlign w:val="bottom"/>
            <w:hideMark/>
          </w:tcPr>
          <w:p w:rsidR="00A96998" w:rsidRPr="00A96998" w:rsidRDefault="00A96998" w:rsidP="00A96998">
            <w:pPr>
              <w:jc w:val="center"/>
              <w:rPr>
                <w:rFonts w:ascii="Lucida Bright" w:hAnsi="Lucida Bright" w:cs="Calibri"/>
                <w:sz w:val="14"/>
                <w:szCs w:val="14"/>
                <w:lang w:val="es-ES"/>
              </w:rPr>
            </w:pPr>
            <w:r w:rsidRPr="00A96998">
              <w:rPr>
                <w:rFonts w:ascii="Lucida Bright" w:hAnsi="Lucida Bright" w:cs="Calibri"/>
                <w:sz w:val="14"/>
                <w:szCs w:val="14"/>
                <w:lang w:val="es-ES"/>
              </w:rPr>
              <w:t> </w:t>
            </w:r>
          </w:p>
        </w:tc>
        <w:tc>
          <w:tcPr>
            <w:tcW w:w="1584" w:type="dxa"/>
            <w:tcBorders>
              <w:top w:val="nil"/>
              <w:left w:val="nil"/>
              <w:bottom w:val="nil"/>
              <w:right w:val="nil"/>
            </w:tcBorders>
            <w:shd w:val="clear" w:color="000000" w:fill="FFFFFF"/>
            <w:noWrap/>
            <w:vAlign w:val="bottom"/>
            <w:hideMark/>
          </w:tcPr>
          <w:p w:rsidR="00A96998" w:rsidRPr="00A96998" w:rsidRDefault="00A96998" w:rsidP="00A96998">
            <w:pPr>
              <w:jc w:val="center"/>
              <w:rPr>
                <w:rFonts w:ascii="Lucida Bright" w:hAnsi="Lucida Bright" w:cs="Calibri"/>
                <w:sz w:val="14"/>
                <w:szCs w:val="14"/>
                <w:lang w:val="es-ES"/>
              </w:rPr>
            </w:pPr>
            <w:r w:rsidRPr="00A96998">
              <w:rPr>
                <w:rFonts w:ascii="Lucida Bright" w:hAnsi="Lucida Bright" w:cs="Calibri"/>
                <w:sz w:val="14"/>
                <w:szCs w:val="14"/>
                <w:lang w:val="es-ES"/>
              </w:rPr>
              <w:t> </w:t>
            </w:r>
          </w:p>
        </w:tc>
        <w:tc>
          <w:tcPr>
            <w:tcW w:w="1165" w:type="dxa"/>
            <w:tcBorders>
              <w:top w:val="nil"/>
              <w:left w:val="nil"/>
              <w:bottom w:val="nil"/>
              <w:right w:val="nil"/>
            </w:tcBorders>
            <w:shd w:val="clear" w:color="000000" w:fill="FFFFFF"/>
            <w:noWrap/>
            <w:vAlign w:val="bottom"/>
            <w:hideMark/>
          </w:tcPr>
          <w:p w:rsidR="00A96998" w:rsidRPr="00A96998" w:rsidRDefault="00A96998" w:rsidP="00A96998">
            <w:pPr>
              <w:rPr>
                <w:rFonts w:ascii="Lucida Bright" w:hAnsi="Lucida Bright" w:cs="Calibri"/>
                <w:sz w:val="14"/>
                <w:szCs w:val="14"/>
                <w:lang w:val="es-ES"/>
              </w:rPr>
            </w:pPr>
            <w:r w:rsidRPr="00A96998">
              <w:rPr>
                <w:rFonts w:ascii="Lucida Bright" w:hAnsi="Lucida Bright" w:cs="Calibri"/>
                <w:sz w:val="14"/>
                <w:szCs w:val="14"/>
                <w:lang w:val="es-ES"/>
              </w:rPr>
              <w:t> </w:t>
            </w:r>
          </w:p>
        </w:tc>
        <w:tc>
          <w:tcPr>
            <w:tcW w:w="1184" w:type="dxa"/>
            <w:tcBorders>
              <w:top w:val="nil"/>
              <w:left w:val="single" w:sz="4" w:space="0" w:color="auto"/>
              <w:bottom w:val="single" w:sz="4" w:space="0" w:color="auto"/>
              <w:right w:val="nil"/>
            </w:tcBorders>
            <w:shd w:val="clear" w:color="000000" w:fill="FFFFFF"/>
            <w:noWrap/>
            <w:vAlign w:val="bottom"/>
            <w:hideMark/>
          </w:tcPr>
          <w:p w:rsidR="00A96998" w:rsidRPr="00A96998" w:rsidRDefault="00A96998" w:rsidP="00A96998">
            <w:pPr>
              <w:rPr>
                <w:rFonts w:ascii="Lucida Bright" w:hAnsi="Lucida Bright" w:cs="Calibri"/>
                <w:sz w:val="14"/>
                <w:szCs w:val="14"/>
                <w:lang w:val="es-ES"/>
              </w:rPr>
            </w:pPr>
            <w:r w:rsidRPr="00A96998">
              <w:rPr>
                <w:rFonts w:ascii="Lucida Bright" w:hAnsi="Lucida Bright" w:cs="Calibri"/>
                <w:sz w:val="14"/>
                <w:szCs w:val="14"/>
                <w:lang w:val="es-ES"/>
              </w:rPr>
              <w:t> </w:t>
            </w:r>
          </w:p>
        </w:tc>
        <w:tc>
          <w:tcPr>
            <w:tcW w:w="1141" w:type="dxa"/>
            <w:tcBorders>
              <w:top w:val="nil"/>
              <w:left w:val="single" w:sz="4" w:space="0" w:color="auto"/>
              <w:bottom w:val="single" w:sz="4" w:space="0" w:color="auto"/>
              <w:right w:val="single" w:sz="4" w:space="0" w:color="auto"/>
            </w:tcBorders>
            <w:shd w:val="clear" w:color="auto" w:fill="auto"/>
            <w:noWrap/>
            <w:vAlign w:val="center"/>
            <w:hideMark/>
          </w:tcPr>
          <w:p w:rsidR="00A96998" w:rsidRPr="00A96998" w:rsidRDefault="00A96998" w:rsidP="00A96998">
            <w:pPr>
              <w:jc w:val="right"/>
              <w:rPr>
                <w:rFonts w:ascii="Lucida Bright" w:hAnsi="Lucida Bright" w:cs="Calibri"/>
                <w:b/>
                <w:bCs/>
                <w:sz w:val="14"/>
                <w:szCs w:val="14"/>
                <w:lang w:val="es-ES"/>
              </w:rPr>
            </w:pPr>
            <w:r w:rsidRPr="00A96998">
              <w:rPr>
                <w:rFonts w:ascii="Lucida Bright" w:hAnsi="Lucida Bright" w:cs="Calibri"/>
                <w:b/>
                <w:bCs/>
                <w:sz w:val="14"/>
                <w:szCs w:val="14"/>
                <w:lang w:val="es-ES"/>
              </w:rPr>
              <w:t xml:space="preserve">Total Pérdidas </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A96998" w:rsidRPr="00A96998" w:rsidRDefault="00A96998" w:rsidP="00A96998">
            <w:pPr>
              <w:jc w:val="right"/>
              <w:rPr>
                <w:rFonts w:ascii="Lucida Bright" w:hAnsi="Lucida Bright" w:cs="Calibri"/>
                <w:b/>
                <w:bCs/>
                <w:sz w:val="14"/>
                <w:szCs w:val="14"/>
                <w:lang w:val="es-ES"/>
              </w:rPr>
            </w:pPr>
            <w:r w:rsidRPr="00A96998">
              <w:rPr>
                <w:rFonts w:ascii="Lucida Bright" w:hAnsi="Lucida Bright" w:cs="Calibri"/>
                <w:b/>
                <w:bCs/>
                <w:sz w:val="14"/>
                <w:szCs w:val="14"/>
                <w:lang w:val="es-ES"/>
              </w:rPr>
              <w:t xml:space="preserve">(50.688,97) </w:t>
            </w:r>
          </w:p>
        </w:tc>
      </w:tr>
    </w:tbl>
    <w:p w:rsidR="005F35CD" w:rsidRDefault="005F35CD" w:rsidP="00F348FE">
      <w:pPr>
        <w:tabs>
          <w:tab w:val="right" w:pos="8364"/>
        </w:tabs>
        <w:ind w:left="567" w:hanging="567"/>
        <w:jc w:val="both"/>
        <w:rPr>
          <w:b/>
          <w:bCs/>
          <w:sz w:val="24"/>
          <w:szCs w:val="24"/>
        </w:rPr>
      </w:pPr>
    </w:p>
    <w:p w:rsidR="0050293A" w:rsidRDefault="0050293A" w:rsidP="00F348FE">
      <w:pPr>
        <w:tabs>
          <w:tab w:val="right" w:pos="8364"/>
        </w:tabs>
        <w:ind w:left="567" w:hanging="567"/>
        <w:jc w:val="both"/>
        <w:rPr>
          <w:b/>
          <w:bCs/>
          <w:sz w:val="24"/>
          <w:szCs w:val="24"/>
        </w:rPr>
      </w:pPr>
    </w:p>
    <w:p w:rsidR="0050293A" w:rsidRDefault="0050293A" w:rsidP="00F348FE">
      <w:pPr>
        <w:tabs>
          <w:tab w:val="right" w:pos="8364"/>
        </w:tabs>
        <w:ind w:left="567" w:hanging="567"/>
        <w:jc w:val="both"/>
        <w:rPr>
          <w:b/>
          <w:bCs/>
          <w:sz w:val="24"/>
          <w:szCs w:val="24"/>
        </w:rPr>
      </w:pPr>
    </w:p>
    <w:p w:rsidR="0050293A" w:rsidRDefault="0050293A" w:rsidP="00F348FE">
      <w:pPr>
        <w:tabs>
          <w:tab w:val="right" w:pos="8364"/>
        </w:tabs>
        <w:ind w:left="567" w:hanging="567"/>
        <w:jc w:val="both"/>
        <w:rPr>
          <w:b/>
          <w:bCs/>
          <w:sz w:val="24"/>
          <w:szCs w:val="24"/>
        </w:rPr>
      </w:pPr>
    </w:p>
    <w:p w:rsidR="00E7494D" w:rsidRDefault="00E7494D" w:rsidP="00F348FE">
      <w:pPr>
        <w:tabs>
          <w:tab w:val="right" w:pos="8364"/>
        </w:tabs>
        <w:ind w:left="567" w:hanging="567"/>
        <w:jc w:val="both"/>
        <w:rPr>
          <w:b/>
          <w:bCs/>
          <w:sz w:val="24"/>
          <w:szCs w:val="24"/>
        </w:rPr>
      </w:pPr>
    </w:p>
    <w:p w:rsidR="00E7494D" w:rsidRDefault="00A96998" w:rsidP="0050293A">
      <w:pPr>
        <w:tabs>
          <w:tab w:val="right" w:pos="8364"/>
        </w:tabs>
        <w:ind w:firstLine="567"/>
        <w:jc w:val="both"/>
        <w:rPr>
          <w:rFonts w:ascii="NewBaskerville" w:hAnsi="NewBaskerville"/>
          <w:bCs/>
        </w:rPr>
      </w:pPr>
      <w:r>
        <w:rPr>
          <w:rFonts w:ascii="NewBaskerville" w:hAnsi="NewBaskerville"/>
          <w:bCs/>
        </w:rPr>
        <w:t>Activos contingentes:</w:t>
      </w:r>
    </w:p>
    <w:p w:rsidR="0050293A" w:rsidRDefault="0050293A" w:rsidP="0050293A">
      <w:pPr>
        <w:tabs>
          <w:tab w:val="right" w:pos="8364"/>
        </w:tabs>
        <w:ind w:firstLine="567"/>
        <w:jc w:val="both"/>
        <w:rPr>
          <w:rFonts w:ascii="NewBaskerville" w:hAnsi="NewBaskerville"/>
          <w:bCs/>
        </w:rPr>
      </w:pPr>
    </w:p>
    <w:p w:rsidR="0050293A" w:rsidRDefault="0050293A" w:rsidP="0050293A">
      <w:pPr>
        <w:tabs>
          <w:tab w:val="right" w:pos="8364"/>
        </w:tabs>
        <w:ind w:firstLine="567"/>
        <w:jc w:val="both"/>
        <w:rPr>
          <w:rFonts w:ascii="NewBaskerville" w:hAnsi="NewBaskerville"/>
          <w:bCs/>
        </w:rPr>
      </w:pPr>
      <w:r>
        <w:rPr>
          <w:rFonts w:ascii="NewBaskerville" w:hAnsi="NewBaskerville"/>
          <w:bCs/>
        </w:rPr>
        <w:t>A fecha de 31/12/202</w:t>
      </w:r>
      <w:r w:rsidR="00135BD4">
        <w:rPr>
          <w:rFonts w:ascii="NewBaskerville" w:hAnsi="NewBaskerville"/>
          <w:bCs/>
        </w:rPr>
        <w:t>2</w:t>
      </w:r>
      <w:r>
        <w:rPr>
          <w:rFonts w:ascii="NewBaskerville" w:hAnsi="NewBaskerville"/>
          <w:bCs/>
        </w:rPr>
        <w:t xml:space="preserve"> </w:t>
      </w:r>
      <w:r w:rsidR="00873730">
        <w:rPr>
          <w:rFonts w:ascii="NewBaskerville" w:hAnsi="NewBaskerville"/>
          <w:bCs/>
        </w:rPr>
        <w:t>la Entidad consideró que el título</w:t>
      </w:r>
      <w:r w:rsidR="00902F34">
        <w:rPr>
          <w:rFonts w:ascii="NewBaskerville" w:hAnsi="NewBaskerville"/>
          <w:bCs/>
        </w:rPr>
        <w:t xml:space="preserve"> concesional</w:t>
      </w:r>
      <w:r w:rsidR="00873730">
        <w:rPr>
          <w:rFonts w:ascii="NewBaskerville" w:hAnsi="NewBaskerville"/>
          <w:bCs/>
        </w:rPr>
        <w:t xml:space="preserve"> del Real Club Náutico de Palma se había extinguido por el vencimiento del plazo de otorgamiento. Este procedimiento ha sido, y es, </w:t>
      </w:r>
      <w:r w:rsidR="00350D1C">
        <w:rPr>
          <w:rFonts w:ascii="NewBaskerville" w:hAnsi="NewBaskerville"/>
          <w:bCs/>
        </w:rPr>
        <w:t xml:space="preserve">objeto de una alta </w:t>
      </w:r>
      <w:proofErr w:type="spellStart"/>
      <w:r w:rsidR="00350D1C">
        <w:rPr>
          <w:rFonts w:ascii="NewBaskerville" w:hAnsi="NewBaskerville"/>
          <w:bCs/>
        </w:rPr>
        <w:t>litigiosidad</w:t>
      </w:r>
      <w:proofErr w:type="spellEnd"/>
      <w:r w:rsidR="00350D1C">
        <w:rPr>
          <w:rFonts w:ascii="NewBaskerville" w:hAnsi="NewBaskerville"/>
          <w:bCs/>
        </w:rPr>
        <w:t>.</w:t>
      </w:r>
      <w:r w:rsidR="00873730">
        <w:rPr>
          <w:rFonts w:ascii="NewBaskerville" w:hAnsi="NewBaskerville"/>
          <w:bCs/>
        </w:rPr>
        <w:t xml:space="preserve"> </w:t>
      </w:r>
      <w:r w:rsidR="00350D1C">
        <w:rPr>
          <w:rFonts w:ascii="NewBaskerville" w:hAnsi="NewBaskerville"/>
          <w:bCs/>
        </w:rPr>
        <w:t>J</w:t>
      </w:r>
      <w:r w:rsidR="00873730">
        <w:rPr>
          <w:rFonts w:ascii="NewBaskerville" w:hAnsi="NewBaskerville"/>
          <w:bCs/>
        </w:rPr>
        <w:t>udicializado a fecha de l</w:t>
      </w:r>
      <w:r w:rsidR="00350D1C">
        <w:rPr>
          <w:rFonts w:ascii="NewBaskerville" w:hAnsi="NewBaskerville"/>
          <w:bCs/>
        </w:rPr>
        <w:t>a formulación de estas cuentas,</w:t>
      </w:r>
      <w:r w:rsidR="00135BD4">
        <w:rPr>
          <w:rFonts w:ascii="NewBaskerville" w:hAnsi="NewBaskerville"/>
          <w:bCs/>
        </w:rPr>
        <w:t xml:space="preserve"> su futura confirmación tendrá lugar por resolución judicial.</w:t>
      </w:r>
    </w:p>
    <w:p w:rsidR="00135BD4" w:rsidRDefault="00135BD4" w:rsidP="0050293A">
      <w:pPr>
        <w:tabs>
          <w:tab w:val="right" w:pos="8364"/>
        </w:tabs>
        <w:ind w:firstLine="567"/>
        <w:jc w:val="both"/>
        <w:rPr>
          <w:rFonts w:ascii="NewBaskerville" w:hAnsi="NewBaskerville"/>
          <w:bCs/>
        </w:rPr>
      </w:pPr>
    </w:p>
    <w:p w:rsidR="00902F34" w:rsidRDefault="00135BD4" w:rsidP="0050293A">
      <w:pPr>
        <w:tabs>
          <w:tab w:val="right" w:pos="8364"/>
        </w:tabs>
        <w:ind w:firstLine="567"/>
        <w:jc w:val="both"/>
        <w:rPr>
          <w:rFonts w:ascii="NewBaskerville" w:hAnsi="NewBaskerville"/>
          <w:bCs/>
        </w:rPr>
      </w:pPr>
      <w:r>
        <w:rPr>
          <w:rFonts w:ascii="NewBaskerville" w:hAnsi="NewBaskerville"/>
          <w:bCs/>
        </w:rPr>
        <w:t>La reversión gratuita y libre de cargas</w:t>
      </w:r>
      <w:r w:rsidR="00350D1C">
        <w:rPr>
          <w:rFonts w:ascii="NewBaskerville" w:hAnsi="NewBaskerville"/>
          <w:bCs/>
        </w:rPr>
        <w:t xml:space="preserve"> de obras e instalaciones no desmontables</w:t>
      </w:r>
      <w:r>
        <w:rPr>
          <w:rFonts w:ascii="NewBaskerville" w:hAnsi="NewBaskerville"/>
          <w:bCs/>
        </w:rPr>
        <w:t xml:space="preserve"> q</w:t>
      </w:r>
      <w:r w:rsidR="00350D1C">
        <w:rPr>
          <w:rFonts w:ascii="NewBaskerville" w:hAnsi="NewBaskerville"/>
          <w:bCs/>
        </w:rPr>
        <w:t>ue se produciría día 01/01/2023</w:t>
      </w:r>
      <w:r>
        <w:rPr>
          <w:rFonts w:ascii="NewBaskerville" w:hAnsi="NewBaskerville"/>
          <w:bCs/>
        </w:rPr>
        <w:t xml:space="preserve"> de confirmarse este suceso incierto que no está enteramente bajo el control de la Entidad, </w:t>
      </w:r>
      <w:r w:rsidR="00902F34">
        <w:rPr>
          <w:rFonts w:ascii="NewBaskerville" w:hAnsi="NewBaskerville"/>
          <w:bCs/>
        </w:rPr>
        <w:t>no ha sido objeto de reconocimiento en Balance. Procediéndose a una evaluación de forma continuada de los mismos, a fin de reflejarse apropiadamente en estos estados contables.</w:t>
      </w:r>
    </w:p>
    <w:p w:rsidR="00902F34" w:rsidRDefault="00902F34" w:rsidP="0050293A">
      <w:pPr>
        <w:tabs>
          <w:tab w:val="right" w:pos="8364"/>
        </w:tabs>
        <w:ind w:firstLine="567"/>
        <w:jc w:val="both"/>
        <w:rPr>
          <w:rFonts w:ascii="NewBaskerville" w:hAnsi="NewBaskerville"/>
          <w:bCs/>
        </w:rPr>
      </w:pPr>
    </w:p>
    <w:p w:rsidR="00902F34" w:rsidRDefault="00F17898" w:rsidP="0050293A">
      <w:pPr>
        <w:tabs>
          <w:tab w:val="right" w:pos="8364"/>
        </w:tabs>
        <w:ind w:firstLine="567"/>
        <w:jc w:val="both"/>
        <w:rPr>
          <w:rFonts w:ascii="NewBaskerville" w:hAnsi="NewBaskerville"/>
          <w:bCs/>
        </w:rPr>
      </w:pPr>
      <w:r>
        <w:rPr>
          <w:rFonts w:ascii="NewBaskerville" w:hAnsi="NewBaskerville"/>
          <w:bCs/>
        </w:rPr>
        <w:t>Seguidamente se relacionan estos activos contingentes por:</w:t>
      </w:r>
    </w:p>
    <w:p w:rsidR="00F17898" w:rsidRDefault="00F17898" w:rsidP="00F17898">
      <w:pPr>
        <w:pStyle w:val="Prrafodelista"/>
        <w:numPr>
          <w:ilvl w:val="0"/>
          <w:numId w:val="6"/>
        </w:numPr>
        <w:tabs>
          <w:tab w:val="right" w:pos="8364"/>
        </w:tabs>
        <w:jc w:val="both"/>
        <w:rPr>
          <w:rFonts w:ascii="NewBaskerville" w:hAnsi="NewBaskerville"/>
          <w:bCs/>
        </w:rPr>
      </w:pPr>
      <w:r>
        <w:rPr>
          <w:rFonts w:ascii="NewBaskerville" w:hAnsi="NewBaskerville"/>
          <w:bCs/>
        </w:rPr>
        <w:t>Epígrafe o clasificación funcional.</w:t>
      </w:r>
    </w:p>
    <w:p w:rsidR="00F17898" w:rsidRDefault="00F17898" w:rsidP="00F17898">
      <w:pPr>
        <w:pStyle w:val="Prrafodelista"/>
        <w:numPr>
          <w:ilvl w:val="0"/>
          <w:numId w:val="6"/>
        </w:numPr>
        <w:tabs>
          <w:tab w:val="right" w:pos="8364"/>
        </w:tabs>
        <w:jc w:val="both"/>
        <w:rPr>
          <w:rFonts w:ascii="NewBaskerville" w:hAnsi="NewBaskerville"/>
          <w:bCs/>
        </w:rPr>
      </w:pPr>
      <w:r>
        <w:rPr>
          <w:rFonts w:ascii="NewBaskerville" w:hAnsi="NewBaskerville"/>
          <w:bCs/>
        </w:rPr>
        <w:t>Valor razonable a 01/01/2023.</w:t>
      </w:r>
    </w:p>
    <w:p w:rsidR="00F17898" w:rsidRDefault="00F17898" w:rsidP="00F17898">
      <w:pPr>
        <w:pStyle w:val="Prrafodelista"/>
        <w:numPr>
          <w:ilvl w:val="0"/>
          <w:numId w:val="6"/>
        </w:numPr>
        <w:tabs>
          <w:tab w:val="right" w:pos="8364"/>
        </w:tabs>
        <w:jc w:val="both"/>
        <w:rPr>
          <w:rFonts w:ascii="NewBaskerville" w:hAnsi="NewBaskerville"/>
          <w:bCs/>
        </w:rPr>
      </w:pPr>
      <w:r>
        <w:rPr>
          <w:rFonts w:ascii="NewBaskerville" w:hAnsi="NewBaskerville"/>
          <w:bCs/>
        </w:rPr>
        <w:t>Amortización acumulada a 31/12/2023 que procedería si se confirmase el suceso.</w:t>
      </w:r>
    </w:p>
    <w:p w:rsidR="00F17898" w:rsidRDefault="00F17898" w:rsidP="00F17898">
      <w:pPr>
        <w:tabs>
          <w:tab w:val="right" w:pos="8364"/>
        </w:tabs>
        <w:jc w:val="both"/>
        <w:rPr>
          <w:rFonts w:ascii="NewBaskerville" w:hAnsi="NewBaskerville"/>
          <w:bCs/>
        </w:rPr>
      </w:pPr>
    </w:p>
    <w:p w:rsidR="00F17898" w:rsidRPr="00F17898" w:rsidRDefault="00F17898" w:rsidP="00F17898">
      <w:pPr>
        <w:tabs>
          <w:tab w:val="right" w:pos="8364"/>
        </w:tabs>
        <w:jc w:val="both"/>
        <w:rPr>
          <w:rFonts w:ascii="NewBaskerville" w:hAnsi="NewBaskerville"/>
          <w:bCs/>
        </w:rPr>
      </w:pPr>
    </w:p>
    <w:tbl>
      <w:tblPr>
        <w:tblW w:w="7400" w:type="dxa"/>
        <w:tblInd w:w="60" w:type="dxa"/>
        <w:tblCellMar>
          <w:left w:w="70" w:type="dxa"/>
          <w:right w:w="70" w:type="dxa"/>
        </w:tblCellMar>
        <w:tblLook w:val="04A0" w:firstRow="1" w:lastRow="0" w:firstColumn="1" w:lastColumn="0" w:noHBand="0" w:noVBand="1"/>
      </w:tblPr>
      <w:tblGrid>
        <w:gridCol w:w="3940"/>
        <w:gridCol w:w="1700"/>
        <w:gridCol w:w="1760"/>
      </w:tblGrid>
      <w:tr w:rsidR="00F17898" w:rsidRPr="00F17898" w:rsidTr="00F17898">
        <w:trPr>
          <w:trHeight w:val="495"/>
        </w:trPr>
        <w:tc>
          <w:tcPr>
            <w:tcW w:w="3940" w:type="dxa"/>
            <w:tcBorders>
              <w:top w:val="single" w:sz="8" w:space="0" w:color="000000"/>
              <w:left w:val="single" w:sz="8" w:space="0" w:color="000000"/>
              <w:bottom w:val="single" w:sz="8" w:space="0" w:color="000000"/>
              <w:right w:val="single" w:sz="8" w:space="0" w:color="000000"/>
            </w:tcBorders>
            <w:shd w:val="clear" w:color="000000" w:fill="CCFFCC"/>
            <w:vAlign w:val="center"/>
            <w:hideMark/>
          </w:tcPr>
          <w:p w:rsidR="00F17898" w:rsidRPr="00F17898" w:rsidRDefault="00F17898" w:rsidP="00F17898">
            <w:pPr>
              <w:jc w:val="center"/>
              <w:rPr>
                <w:rFonts w:ascii="Lucida Bright" w:hAnsi="Lucida Bright" w:cs="Calibri"/>
                <w:b/>
                <w:bCs/>
                <w:color w:val="000000"/>
                <w:sz w:val="18"/>
                <w:szCs w:val="18"/>
                <w:lang w:val="es-ES"/>
              </w:rPr>
            </w:pPr>
            <w:r w:rsidRPr="00F17898">
              <w:rPr>
                <w:rFonts w:ascii="Lucida Bright" w:hAnsi="Lucida Bright" w:cs="Calibri"/>
                <w:b/>
                <w:bCs/>
                <w:color w:val="000000"/>
                <w:sz w:val="18"/>
                <w:szCs w:val="18"/>
                <w:lang w:val="es-ES"/>
              </w:rPr>
              <w:t>Epígrafe</w:t>
            </w:r>
          </w:p>
        </w:tc>
        <w:tc>
          <w:tcPr>
            <w:tcW w:w="1700" w:type="dxa"/>
            <w:tcBorders>
              <w:top w:val="single" w:sz="8" w:space="0" w:color="000000"/>
              <w:left w:val="nil"/>
              <w:bottom w:val="single" w:sz="8" w:space="0" w:color="000000"/>
              <w:right w:val="single" w:sz="8" w:space="0" w:color="000000"/>
            </w:tcBorders>
            <w:shd w:val="clear" w:color="000000" w:fill="CCFFCC"/>
            <w:vAlign w:val="center"/>
            <w:hideMark/>
          </w:tcPr>
          <w:p w:rsidR="00F17898" w:rsidRPr="00F17898" w:rsidRDefault="00F17898" w:rsidP="00F17898">
            <w:pPr>
              <w:jc w:val="center"/>
              <w:rPr>
                <w:rFonts w:ascii="Lucida Bright" w:hAnsi="Lucida Bright" w:cs="Calibri"/>
                <w:b/>
                <w:bCs/>
                <w:color w:val="000000"/>
                <w:sz w:val="18"/>
                <w:szCs w:val="18"/>
                <w:lang w:val="es-ES"/>
              </w:rPr>
            </w:pPr>
            <w:r w:rsidRPr="00F17898">
              <w:rPr>
                <w:rFonts w:ascii="Lucida Bright" w:hAnsi="Lucida Bright" w:cs="Calibri"/>
                <w:b/>
                <w:bCs/>
                <w:color w:val="000000"/>
                <w:sz w:val="18"/>
                <w:szCs w:val="18"/>
                <w:lang w:val="es-ES"/>
              </w:rPr>
              <w:t>VALOR RAZONABLE</w:t>
            </w:r>
          </w:p>
        </w:tc>
        <w:tc>
          <w:tcPr>
            <w:tcW w:w="1760" w:type="dxa"/>
            <w:tcBorders>
              <w:top w:val="single" w:sz="8" w:space="0" w:color="000000"/>
              <w:left w:val="nil"/>
              <w:bottom w:val="single" w:sz="8" w:space="0" w:color="000000"/>
              <w:right w:val="single" w:sz="8" w:space="0" w:color="000000"/>
            </w:tcBorders>
            <w:shd w:val="clear" w:color="000000" w:fill="CCFFCC"/>
            <w:vAlign w:val="center"/>
            <w:hideMark/>
          </w:tcPr>
          <w:p w:rsidR="00F17898" w:rsidRPr="00F17898" w:rsidRDefault="00F17898" w:rsidP="00F17898">
            <w:pPr>
              <w:jc w:val="center"/>
              <w:rPr>
                <w:rFonts w:ascii="Lucida Bright" w:hAnsi="Lucida Bright" w:cs="Calibri"/>
                <w:b/>
                <w:bCs/>
                <w:color w:val="000000"/>
                <w:sz w:val="18"/>
                <w:szCs w:val="18"/>
                <w:lang w:val="es-ES"/>
              </w:rPr>
            </w:pPr>
            <w:r w:rsidRPr="00F17898">
              <w:rPr>
                <w:rFonts w:ascii="Lucida Bright" w:hAnsi="Lucida Bright" w:cs="Calibri"/>
                <w:b/>
                <w:bCs/>
                <w:color w:val="000000"/>
                <w:sz w:val="18"/>
                <w:szCs w:val="18"/>
                <w:lang w:val="es-ES"/>
              </w:rPr>
              <w:t>AMORTIZACIÓN ACDA</w:t>
            </w:r>
          </w:p>
        </w:tc>
      </w:tr>
      <w:tr w:rsidR="00F17898" w:rsidRPr="00F17898" w:rsidTr="00F17898">
        <w:trPr>
          <w:trHeight w:val="315"/>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F17898" w:rsidRPr="00F17898" w:rsidRDefault="00F17898" w:rsidP="00F17898">
            <w:pPr>
              <w:rPr>
                <w:rFonts w:ascii="Lucida Bright" w:hAnsi="Lucida Bright" w:cs="Calibri"/>
                <w:color w:val="000000"/>
                <w:sz w:val="18"/>
                <w:szCs w:val="18"/>
                <w:lang w:val="es-ES"/>
              </w:rPr>
            </w:pPr>
            <w:r w:rsidRPr="00F17898">
              <w:rPr>
                <w:rFonts w:ascii="Lucida Bright" w:hAnsi="Lucida Bright" w:cs="Calibri"/>
                <w:color w:val="000000"/>
                <w:sz w:val="18"/>
                <w:szCs w:val="18"/>
                <w:lang w:val="es-ES"/>
              </w:rPr>
              <w:t>Obras de atraque</w:t>
            </w:r>
          </w:p>
        </w:tc>
        <w:tc>
          <w:tcPr>
            <w:tcW w:w="1700" w:type="dxa"/>
            <w:tcBorders>
              <w:top w:val="nil"/>
              <w:left w:val="nil"/>
              <w:bottom w:val="single" w:sz="8" w:space="0" w:color="000000"/>
              <w:right w:val="single" w:sz="8" w:space="0" w:color="000000"/>
            </w:tcBorders>
            <w:shd w:val="clear" w:color="auto" w:fill="auto"/>
            <w:noWrap/>
            <w:vAlign w:val="bottom"/>
            <w:hideMark/>
          </w:tcPr>
          <w:p w:rsidR="00F17898" w:rsidRPr="00F17898" w:rsidRDefault="00F17898" w:rsidP="00F17898">
            <w:pPr>
              <w:jc w:val="right"/>
              <w:rPr>
                <w:rFonts w:ascii="Lucida Bright" w:hAnsi="Lucida Bright" w:cs="Calibri"/>
                <w:sz w:val="18"/>
                <w:szCs w:val="18"/>
                <w:lang w:val="es-ES"/>
              </w:rPr>
            </w:pPr>
            <w:r w:rsidRPr="00F17898">
              <w:rPr>
                <w:rFonts w:ascii="Lucida Bright" w:hAnsi="Lucida Bright" w:cs="Calibri"/>
                <w:sz w:val="18"/>
                <w:szCs w:val="18"/>
                <w:lang w:val="es-ES"/>
              </w:rPr>
              <w:t>4.619.856,28</w:t>
            </w:r>
          </w:p>
        </w:tc>
        <w:tc>
          <w:tcPr>
            <w:tcW w:w="1760" w:type="dxa"/>
            <w:tcBorders>
              <w:top w:val="nil"/>
              <w:left w:val="nil"/>
              <w:bottom w:val="single" w:sz="8" w:space="0" w:color="000000"/>
              <w:right w:val="single" w:sz="8" w:space="0" w:color="000000"/>
            </w:tcBorders>
            <w:shd w:val="clear" w:color="000000" w:fill="FFFFFF"/>
            <w:noWrap/>
            <w:vAlign w:val="center"/>
            <w:hideMark/>
          </w:tcPr>
          <w:p w:rsidR="00F17898" w:rsidRPr="00F17898" w:rsidRDefault="00F17898" w:rsidP="00F17898">
            <w:pPr>
              <w:jc w:val="right"/>
              <w:rPr>
                <w:rFonts w:ascii="Lucida Bright" w:hAnsi="Lucida Bright" w:cs="Calibri"/>
                <w:color w:val="000000"/>
                <w:sz w:val="18"/>
                <w:szCs w:val="18"/>
                <w:lang w:val="es-ES"/>
              </w:rPr>
            </w:pPr>
            <w:r w:rsidRPr="00F17898">
              <w:rPr>
                <w:rFonts w:ascii="Lucida Bright" w:hAnsi="Lucida Bright" w:cs="Calibri"/>
                <w:color w:val="000000"/>
                <w:sz w:val="18"/>
                <w:szCs w:val="18"/>
                <w:lang w:val="es-ES"/>
              </w:rPr>
              <w:t xml:space="preserve">(153.995,21) </w:t>
            </w:r>
          </w:p>
        </w:tc>
      </w:tr>
      <w:tr w:rsidR="00F17898" w:rsidRPr="00F17898" w:rsidTr="00F17898">
        <w:trPr>
          <w:trHeight w:val="315"/>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F17898" w:rsidRPr="00F17898" w:rsidRDefault="00F17898" w:rsidP="00F17898">
            <w:pPr>
              <w:rPr>
                <w:rFonts w:ascii="Lucida Bright" w:hAnsi="Lucida Bright" w:cs="Calibri"/>
                <w:color w:val="000000"/>
                <w:sz w:val="18"/>
                <w:szCs w:val="18"/>
                <w:lang w:val="es-ES"/>
              </w:rPr>
            </w:pPr>
            <w:r w:rsidRPr="00F17898">
              <w:rPr>
                <w:rFonts w:ascii="Lucida Bright" w:hAnsi="Lucida Bright" w:cs="Calibri"/>
                <w:color w:val="000000"/>
                <w:sz w:val="18"/>
                <w:szCs w:val="18"/>
                <w:lang w:val="es-ES"/>
              </w:rPr>
              <w:t>Edificaciones</w:t>
            </w:r>
          </w:p>
        </w:tc>
        <w:tc>
          <w:tcPr>
            <w:tcW w:w="1700" w:type="dxa"/>
            <w:tcBorders>
              <w:top w:val="nil"/>
              <w:left w:val="nil"/>
              <w:bottom w:val="single" w:sz="8" w:space="0" w:color="000000"/>
              <w:right w:val="single" w:sz="8" w:space="0" w:color="000000"/>
            </w:tcBorders>
            <w:shd w:val="clear" w:color="auto" w:fill="auto"/>
            <w:noWrap/>
            <w:vAlign w:val="bottom"/>
            <w:hideMark/>
          </w:tcPr>
          <w:p w:rsidR="00F17898" w:rsidRPr="00F17898" w:rsidRDefault="00F17898" w:rsidP="00F17898">
            <w:pPr>
              <w:jc w:val="right"/>
              <w:rPr>
                <w:rFonts w:ascii="Lucida Bright" w:hAnsi="Lucida Bright" w:cs="Calibri"/>
                <w:sz w:val="18"/>
                <w:szCs w:val="18"/>
                <w:lang w:val="es-ES"/>
              </w:rPr>
            </w:pPr>
            <w:r w:rsidRPr="00F17898">
              <w:rPr>
                <w:rFonts w:ascii="Lucida Bright" w:hAnsi="Lucida Bright" w:cs="Calibri"/>
                <w:sz w:val="18"/>
                <w:szCs w:val="18"/>
                <w:lang w:val="es-ES"/>
              </w:rPr>
              <w:t>5.788.320,65</w:t>
            </w:r>
          </w:p>
        </w:tc>
        <w:tc>
          <w:tcPr>
            <w:tcW w:w="1760" w:type="dxa"/>
            <w:tcBorders>
              <w:top w:val="nil"/>
              <w:left w:val="nil"/>
              <w:bottom w:val="single" w:sz="8" w:space="0" w:color="000000"/>
              <w:right w:val="single" w:sz="8" w:space="0" w:color="000000"/>
            </w:tcBorders>
            <w:shd w:val="clear" w:color="000000" w:fill="FFFFFF"/>
            <w:noWrap/>
            <w:vAlign w:val="center"/>
            <w:hideMark/>
          </w:tcPr>
          <w:p w:rsidR="00F17898" w:rsidRPr="00F17898" w:rsidRDefault="00F17898" w:rsidP="00F17898">
            <w:pPr>
              <w:jc w:val="right"/>
              <w:rPr>
                <w:rFonts w:ascii="Lucida Bright" w:hAnsi="Lucida Bright" w:cs="Calibri"/>
                <w:color w:val="000000"/>
                <w:sz w:val="18"/>
                <w:szCs w:val="18"/>
                <w:lang w:val="es-ES"/>
              </w:rPr>
            </w:pPr>
            <w:r w:rsidRPr="00F17898">
              <w:rPr>
                <w:rFonts w:ascii="Lucida Bright" w:hAnsi="Lucida Bright" w:cs="Calibri"/>
                <w:color w:val="000000"/>
                <w:sz w:val="18"/>
                <w:szCs w:val="18"/>
                <w:lang w:val="es-ES"/>
              </w:rPr>
              <w:t xml:space="preserve">(115.766,41) </w:t>
            </w:r>
          </w:p>
        </w:tc>
      </w:tr>
      <w:tr w:rsidR="00F17898" w:rsidRPr="00F17898" w:rsidTr="00F17898">
        <w:trPr>
          <w:trHeight w:val="315"/>
        </w:trPr>
        <w:tc>
          <w:tcPr>
            <w:tcW w:w="3940" w:type="dxa"/>
            <w:tcBorders>
              <w:top w:val="nil"/>
              <w:left w:val="single" w:sz="8" w:space="0" w:color="000000"/>
              <w:bottom w:val="single" w:sz="8" w:space="0" w:color="000000"/>
              <w:right w:val="single" w:sz="8" w:space="0" w:color="000000"/>
            </w:tcBorders>
            <w:shd w:val="clear" w:color="auto" w:fill="auto"/>
            <w:vAlign w:val="center"/>
            <w:hideMark/>
          </w:tcPr>
          <w:p w:rsidR="00F17898" w:rsidRPr="00F17898" w:rsidRDefault="00F17898" w:rsidP="00F17898">
            <w:pPr>
              <w:ind w:firstLineChars="200" w:firstLine="361"/>
              <w:jc w:val="right"/>
              <w:rPr>
                <w:rFonts w:ascii="Lucida Bright" w:hAnsi="Lucida Bright" w:cs="Calibri"/>
                <w:b/>
                <w:bCs/>
                <w:color w:val="000000"/>
                <w:sz w:val="18"/>
                <w:szCs w:val="18"/>
                <w:lang w:val="es-ES"/>
              </w:rPr>
            </w:pPr>
            <w:r w:rsidRPr="00F17898">
              <w:rPr>
                <w:rFonts w:ascii="Lucida Bright" w:hAnsi="Lucida Bright" w:cs="Calibri"/>
                <w:b/>
                <w:bCs/>
                <w:color w:val="000000"/>
                <w:sz w:val="18"/>
                <w:szCs w:val="18"/>
                <w:lang w:val="es-ES"/>
              </w:rPr>
              <w:t>TOTAL</w:t>
            </w:r>
          </w:p>
        </w:tc>
        <w:tc>
          <w:tcPr>
            <w:tcW w:w="1700" w:type="dxa"/>
            <w:tcBorders>
              <w:top w:val="nil"/>
              <w:left w:val="nil"/>
              <w:bottom w:val="single" w:sz="8" w:space="0" w:color="000000"/>
              <w:right w:val="single" w:sz="8" w:space="0" w:color="000000"/>
            </w:tcBorders>
            <w:shd w:val="clear" w:color="auto" w:fill="auto"/>
            <w:noWrap/>
            <w:vAlign w:val="center"/>
            <w:hideMark/>
          </w:tcPr>
          <w:p w:rsidR="00F17898" w:rsidRPr="00F17898" w:rsidRDefault="00F17898" w:rsidP="00F17898">
            <w:pPr>
              <w:jc w:val="right"/>
              <w:rPr>
                <w:rFonts w:ascii="Lucida Bright" w:hAnsi="Lucida Bright" w:cs="Calibri"/>
                <w:b/>
                <w:bCs/>
                <w:color w:val="000000"/>
                <w:sz w:val="18"/>
                <w:szCs w:val="18"/>
                <w:lang w:val="es-ES"/>
              </w:rPr>
            </w:pPr>
            <w:r w:rsidRPr="00F17898">
              <w:rPr>
                <w:rFonts w:ascii="Lucida Bright" w:hAnsi="Lucida Bright" w:cs="Calibri"/>
                <w:b/>
                <w:bCs/>
                <w:color w:val="000000"/>
                <w:sz w:val="18"/>
                <w:szCs w:val="18"/>
                <w:lang w:val="es-ES"/>
              </w:rPr>
              <w:t>10.408.176,93</w:t>
            </w:r>
          </w:p>
        </w:tc>
        <w:tc>
          <w:tcPr>
            <w:tcW w:w="1760" w:type="dxa"/>
            <w:tcBorders>
              <w:top w:val="nil"/>
              <w:left w:val="nil"/>
              <w:bottom w:val="single" w:sz="8" w:space="0" w:color="000000"/>
              <w:right w:val="single" w:sz="8" w:space="0" w:color="000000"/>
            </w:tcBorders>
            <w:shd w:val="clear" w:color="auto" w:fill="auto"/>
            <w:noWrap/>
            <w:vAlign w:val="center"/>
            <w:hideMark/>
          </w:tcPr>
          <w:p w:rsidR="00F17898" w:rsidRPr="00F17898" w:rsidRDefault="00F17898" w:rsidP="00F17898">
            <w:pPr>
              <w:jc w:val="right"/>
              <w:rPr>
                <w:rFonts w:ascii="Lucida Bright" w:hAnsi="Lucida Bright" w:cs="Calibri"/>
                <w:b/>
                <w:bCs/>
                <w:color w:val="000000"/>
                <w:sz w:val="18"/>
                <w:szCs w:val="18"/>
                <w:lang w:val="es-ES"/>
              </w:rPr>
            </w:pPr>
            <w:r w:rsidRPr="00F17898">
              <w:rPr>
                <w:rFonts w:ascii="Lucida Bright" w:hAnsi="Lucida Bright" w:cs="Calibri"/>
                <w:b/>
                <w:bCs/>
                <w:color w:val="000000"/>
                <w:sz w:val="18"/>
                <w:szCs w:val="18"/>
                <w:lang w:val="es-ES"/>
              </w:rPr>
              <w:t xml:space="preserve">(269.761,62) </w:t>
            </w:r>
          </w:p>
        </w:tc>
      </w:tr>
    </w:tbl>
    <w:p w:rsidR="00902F34" w:rsidRDefault="00902F34" w:rsidP="0050293A">
      <w:pPr>
        <w:tabs>
          <w:tab w:val="right" w:pos="8364"/>
        </w:tabs>
        <w:ind w:firstLine="567"/>
        <w:jc w:val="both"/>
        <w:rPr>
          <w:rFonts w:ascii="NewBaskerville" w:hAnsi="NewBaskerville"/>
          <w:bCs/>
        </w:rPr>
      </w:pPr>
    </w:p>
    <w:p w:rsidR="00135BD4" w:rsidRDefault="00135BD4" w:rsidP="0050293A">
      <w:pPr>
        <w:tabs>
          <w:tab w:val="right" w:pos="8364"/>
        </w:tabs>
        <w:ind w:firstLine="567"/>
        <w:jc w:val="both"/>
        <w:rPr>
          <w:rFonts w:ascii="NewBaskerville" w:hAnsi="NewBaskerville"/>
          <w:bCs/>
        </w:rPr>
      </w:pPr>
    </w:p>
    <w:p w:rsidR="00A96998" w:rsidRPr="00A96998" w:rsidRDefault="00A96998" w:rsidP="00A96998">
      <w:pPr>
        <w:tabs>
          <w:tab w:val="right" w:pos="8364"/>
        </w:tabs>
        <w:ind w:left="567" w:hanging="567"/>
        <w:jc w:val="both"/>
        <w:rPr>
          <w:rFonts w:ascii="NewBaskerville" w:hAnsi="NewBaskerville"/>
          <w:bCs/>
        </w:rPr>
      </w:pPr>
    </w:p>
    <w:p w:rsidR="00E7494D" w:rsidRDefault="00E7494D" w:rsidP="00A96998">
      <w:pPr>
        <w:tabs>
          <w:tab w:val="right" w:pos="8364"/>
        </w:tabs>
        <w:ind w:left="567"/>
        <w:jc w:val="both"/>
        <w:rPr>
          <w:b/>
          <w:bCs/>
          <w:sz w:val="24"/>
          <w:szCs w:val="24"/>
        </w:rPr>
      </w:pPr>
    </w:p>
    <w:p w:rsidR="00E7494D" w:rsidRDefault="00E7494D" w:rsidP="00F348FE">
      <w:pPr>
        <w:tabs>
          <w:tab w:val="right" w:pos="8364"/>
        </w:tabs>
        <w:ind w:left="567" w:hanging="567"/>
        <w:jc w:val="both"/>
        <w:rPr>
          <w:b/>
          <w:bCs/>
          <w:sz w:val="24"/>
          <w:szCs w:val="24"/>
        </w:rPr>
      </w:pPr>
    </w:p>
    <w:p w:rsidR="00E7494D" w:rsidRDefault="00E7494D" w:rsidP="00F348FE">
      <w:pPr>
        <w:tabs>
          <w:tab w:val="right" w:pos="8364"/>
        </w:tabs>
        <w:ind w:left="567" w:hanging="567"/>
        <w:jc w:val="both"/>
        <w:rPr>
          <w:b/>
          <w:bCs/>
          <w:sz w:val="24"/>
          <w:szCs w:val="24"/>
        </w:rPr>
      </w:pPr>
    </w:p>
    <w:p w:rsidR="00E7494D" w:rsidRDefault="00E7494D" w:rsidP="00F348FE">
      <w:pPr>
        <w:tabs>
          <w:tab w:val="right" w:pos="8364"/>
        </w:tabs>
        <w:ind w:left="567" w:hanging="567"/>
        <w:jc w:val="both"/>
        <w:rPr>
          <w:b/>
          <w:bCs/>
          <w:sz w:val="24"/>
          <w:szCs w:val="24"/>
        </w:rPr>
      </w:pPr>
    </w:p>
    <w:p w:rsidR="00E7494D" w:rsidRDefault="00E7494D" w:rsidP="00F348FE">
      <w:pPr>
        <w:tabs>
          <w:tab w:val="right" w:pos="8364"/>
        </w:tabs>
        <w:ind w:left="567" w:hanging="567"/>
        <w:jc w:val="both"/>
        <w:rPr>
          <w:b/>
          <w:bCs/>
          <w:sz w:val="24"/>
          <w:szCs w:val="24"/>
        </w:rPr>
      </w:pPr>
    </w:p>
    <w:p w:rsidR="00E7494D" w:rsidRDefault="00E7494D" w:rsidP="00F348FE">
      <w:pPr>
        <w:tabs>
          <w:tab w:val="right" w:pos="8364"/>
        </w:tabs>
        <w:ind w:left="567" w:hanging="567"/>
        <w:jc w:val="both"/>
        <w:rPr>
          <w:b/>
          <w:bCs/>
          <w:sz w:val="24"/>
          <w:szCs w:val="24"/>
        </w:rPr>
      </w:pPr>
    </w:p>
    <w:p w:rsidR="00E7494D" w:rsidRDefault="00E7494D" w:rsidP="00F348FE">
      <w:pPr>
        <w:tabs>
          <w:tab w:val="right" w:pos="8364"/>
        </w:tabs>
        <w:ind w:left="567" w:hanging="567"/>
        <w:jc w:val="both"/>
        <w:rPr>
          <w:b/>
          <w:bCs/>
          <w:sz w:val="24"/>
          <w:szCs w:val="24"/>
        </w:rPr>
      </w:pPr>
    </w:p>
    <w:p w:rsidR="00E7494D" w:rsidRDefault="00E7494D" w:rsidP="00F348FE">
      <w:pPr>
        <w:tabs>
          <w:tab w:val="right" w:pos="8364"/>
        </w:tabs>
        <w:ind w:left="567" w:hanging="567"/>
        <w:jc w:val="both"/>
        <w:rPr>
          <w:b/>
          <w:bCs/>
          <w:sz w:val="24"/>
          <w:szCs w:val="24"/>
        </w:rPr>
      </w:pPr>
    </w:p>
    <w:p w:rsidR="00E7494D" w:rsidRDefault="00E7494D" w:rsidP="00F348FE">
      <w:pPr>
        <w:tabs>
          <w:tab w:val="right" w:pos="8364"/>
        </w:tabs>
        <w:ind w:left="567" w:hanging="567"/>
        <w:jc w:val="both"/>
        <w:rPr>
          <w:b/>
          <w:bCs/>
          <w:sz w:val="24"/>
          <w:szCs w:val="24"/>
        </w:rPr>
      </w:pPr>
    </w:p>
    <w:p w:rsidR="00E7494D" w:rsidRDefault="00E7494D" w:rsidP="00F348FE">
      <w:pPr>
        <w:tabs>
          <w:tab w:val="right" w:pos="8364"/>
        </w:tabs>
        <w:ind w:left="567" w:hanging="567"/>
        <w:jc w:val="both"/>
        <w:rPr>
          <w:b/>
          <w:bCs/>
          <w:sz w:val="24"/>
          <w:szCs w:val="24"/>
        </w:rPr>
      </w:pPr>
    </w:p>
    <w:p w:rsidR="00E7494D" w:rsidRDefault="00E7494D" w:rsidP="00F348FE">
      <w:pPr>
        <w:tabs>
          <w:tab w:val="right" w:pos="8364"/>
        </w:tabs>
        <w:ind w:left="567" w:hanging="567"/>
        <w:jc w:val="both"/>
        <w:rPr>
          <w:b/>
          <w:bCs/>
          <w:sz w:val="24"/>
          <w:szCs w:val="24"/>
        </w:rPr>
      </w:pPr>
    </w:p>
    <w:p w:rsidR="00E7494D" w:rsidRDefault="00E7494D" w:rsidP="00F348FE">
      <w:pPr>
        <w:tabs>
          <w:tab w:val="right" w:pos="8364"/>
        </w:tabs>
        <w:ind w:left="567" w:hanging="567"/>
        <w:jc w:val="both"/>
        <w:rPr>
          <w:b/>
          <w:bCs/>
          <w:sz w:val="24"/>
          <w:szCs w:val="24"/>
        </w:rPr>
      </w:pPr>
    </w:p>
    <w:p w:rsidR="00E7494D" w:rsidRDefault="00E7494D" w:rsidP="00F348FE">
      <w:pPr>
        <w:tabs>
          <w:tab w:val="right" w:pos="8364"/>
        </w:tabs>
        <w:ind w:left="567" w:hanging="567"/>
        <w:jc w:val="both"/>
        <w:rPr>
          <w:b/>
          <w:bCs/>
          <w:sz w:val="24"/>
          <w:szCs w:val="24"/>
        </w:rPr>
      </w:pPr>
    </w:p>
    <w:p w:rsidR="00E7494D" w:rsidRDefault="00E7494D" w:rsidP="00F348FE">
      <w:pPr>
        <w:tabs>
          <w:tab w:val="right" w:pos="8364"/>
        </w:tabs>
        <w:ind w:left="567" w:hanging="567"/>
        <w:jc w:val="both"/>
        <w:rPr>
          <w:b/>
          <w:bCs/>
          <w:sz w:val="24"/>
          <w:szCs w:val="24"/>
        </w:rPr>
      </w:pPr>
    </w:p>
    <w:p w:rsidR="00E7494D" w:rsidRDefault="00E7494D" w:rsidP="00F348FE">
      <w:pPr>
        <w:tabs>
          <w:tab w:val="right" w:pos="8364"/>
        </w:tabs>
        <w:ind w:left="567" w:hanging="567"/>
        <w:jc w:val="both"/>
        <w:rPr>
          <w:b/>
          <w:bCs/>
          <w:sz w:val="24"/>
          <w:szCs w:val="24"/>
        </w:rPr>
      </w:pPr>
    </w:p>
    <w:p w:rsidR="00E7494D" w:rsidRDefault="00E7494D" w:rsidP="00F348FE">
      <w:pPr>
        <w:tabs>
          <w:tab w:val="right" w:pos="8364"/>
        </w:tabs>
        <w:ind w:left="567" w:hanging="567"/>
        <w:jc w:val="both"/>
        <w:rPr>
          <w:b/>
          <w:bCs/>
          <w:sz w:val="24"/>
          <w:szCs w:val="24"/>
        </w:rPr>
      </w:pPr>
    </w:p>
    <w:p w:rsidR="00E7494D" w:rsidRDefault="00E7494D" w:rsidP="00F348FE">
      <w:pPr>
        <w:tabs>
          <w:tab w:val="right" w:pos="8364"/>
        </w:tabs>
        <w:ind w:left="567" w:hanging="567"/>
        <w:jc w:val="both"/>
        <w:rPr>
          <w:b/>
          <w:bCs/>
          <w:sz w:val="24"/>
          <w:szCs w:val="24"/>
        </w:rPr>
      </w:pPr>
    </w:p>
    <w:p w:rsidR="00E7494D" w:rsidRDefault="00E7494D" w:rsidP="00F348FE">
      <w:pPr>
        <w:tabs>
          <w:tab w:val="right" w:pos="8364"/>
        </w:tabs>
        <w:ind w:left="567" w:hanging="567"/>
        <w:jc w:val="both"/>
        <w:rPr>
          <w:b/>
          <w:bCs/>
          <w:sz w:val="24"/>
          <w:szCs w:val="24"/>
        </w:rPr>
      </w:pPr>
    </w:p>
    <w:p w:rsidR="0051409B" w:rsidRDefault="0051409B" w:rsidP="00F348FE">
      <w:pPr>
        <w:tabs>
          <w:tab w:val="right" w:pos="8364"/>
        </w:tabs>
        <w:ind w:left="567" w:hanging="567"/>
        <w:jc w:val="both"/>
        <w:rPr>
          <w:b/>
          <w:bCs/>
          <w:sz w:val="24"/>
          <w:szCs w:val="24"/>
        </w:rPr>
        <w:sectPr w:rsidR="0051409B" w:rsidSect="00790C4F">
          <w:pgSz w:w="11907" w:h="16840" w:code="9"/>
          <w:pgMar w:top="1701" w:right="1418" w:bottom="1701" w:left="1985" w:header="567" w:footer="720" w:gutter="0"/>
          <w:cols w:space="720"/>
          <w:docGrid w:linePitch="272"/>
        </w:sectPr>
      </w:pPr>
    </w:p>
    <w:p w:rsidR="004321BA" w:rsidRPr="00E73E9C" w:rsidRDefault="00F706A9" w:rsidP="00F348FE">
      <w:pPr>
        <w:tabs>
          <w:tab w:val="right" w:pos="8364"/>
        </w:tabs>
        <w:ind w:left="567" w:hanging="567"/>
        <w:jc w:val="both"/>
        <w:rPr>
          <w:rFonts w:ascii="NewBaskerville" w:hAnsi="NewBaskerville"/>
          <w:b/>
          <w:bCs/>
          <w:sz w:val="24"/>
          <w:szCs w:val="24"/>
        </w:rPr>
      </w:pPr>
      <w:r w:rsidRPr="00E73E9C">
        <w:rPr>
          <w:rFonts w:ascii="NewBaskerville" w:hAnsi="NewBaskerville"/>
          <w:b/>
          <w:bCs/>
          <w:sz w:val="24"/>
          <w:szCs w:val="24"/>
        </w:rPr>
        <w:lastRenderedPageBreak/>
        <w:t>8</w:t>
      </w:r>
      <w:r w:rsidR="001D3DA0" w:rsidRPr="00E73E9C">
        <w:rPr>
          <w:rFonts w:ascii="NewBaskerville" w:hAnsi="NewBaskerville"/>
          <w:b/>
          <w:bCs/>
          <w:sz w:val="24"/>
          <w:szCs w:val="24"/>
        </w:rPr>
        <w:t>.</w:t>
      </w:r>
      <w:r w:rsidR="00764B1E" w:rsidRPr="00E73E9C">
        <w:rPr>
          <w:rFonts w:ascii="NewBaskerville" w:hAnsi="NewBaskerville"/>
          <w:b/>
          <w:bCs/>
          <w:sz w:val="24"/>
          <w:szCs w:val="24"/>
        </w:rPr>
        <w:t xml:space="preserve"> </w:t>
      </w:r>
      <w:r w:rsidR="00997D65" w:rsidRPr="00E73E9C">
        <w:rPr>
          <w:rFonts w:ascii="NewBaskerville" w:hAnsi="NewBaskerville"/>
          <w:b/>
          <w:bCs/>
          <w:sz w:val="24"/>
          <w:szCs w:val="24"/>
        </w:rPr>
        <w:t>Arrendamientos operativos - Concesiones y Autorizaciones</w:t>
      </w:r>
    </w:p>
    <w:p w:rsidR="004C5C4B" w:rsidRDefault="004C5C4B" w:rsidP="00257560">
      <w:pPr>
        <w:tabs>
          <w:tab w:val="right" w:pos="8364"/>
        </w:tabs>
        <w:ind w:firstLine="540"/>
        <w:jc w:val="both"/>
        <w:rPr>
          <w:bCs/>
        </w:rPr>
      </w:pPr>
    </w:p>
    <w:p w:rsidR="0051409B" w:rsidRDefault="00410413" w:rsidP="00257560">
      <w:pPr>
        <w:tabs>
          <w:tab w:val="right" w:pos="8364"/>
        </w:tabs>
        <w:ind w:firstLine="540"/>
        <w:jc w:val="both"/>
        <w:rPr>
          <w:rFonts w:ascii="NewBaskerville" w:hAnsi="NewBaskerville"/>
          <w:bCs/>
        </w:rPr>
      </w:pPr>
      <w:r>
        <w:rPr>
          <w:rFonts w:ascii="NewBaskerville" w:hAnsi="NewBaskerville"/>
          <w:bCs/>
        </w:rPr>
        <w:t>Información del importe total de los cobros futuros mínimos correspondientes a los arrendamientos operativos no cancelables, en miles de euros:</w:t>
      </w:r>
    </w:p>
    <w:p w:rsidR="00EA2B1B" w:rsidRDefault="00EA2B1B" w:rsidP="00257560">
      <w:pPr>
        <w:tabs>
          <w:tab w:val="right" w:pos="8364"/>
        </w:tabs>
        <w:ind w:firstLine="540"/>
        <w:jc w:val="both"/>
        <w:rPr>
          <w:rFonts w:ascii="NewBaskerville" w:hAnsi="NewBaskerville"/>
          <w:bCs/>
        </w:rPr>
      </w:pPr>
    </w:p>
    <w:p w:rsidR="00410413" w:rsidRDefault="00410413" w:rsidP="00410413">
      <w:pPr>
        <w:pStyle w:val="Prrafodelista"/>
        <w:numPr>
          <w:ilvl w:val="0"/>
          <w:numId w:val="6"/>
        </w:numPr>
        <w:tabs>
          <w:tab w:val="right" w:pos="8364"/>
        </w:tabs>
        <w:jc w:val="both"/>
        <w:rPr>
          <w:rFonts w:ascii="NewBaskerville" w:hAnsi="NewBaskerville"/>
          <w:bCs/>
        </w:rPr>
      </w:pPr>
      <w:r>
        <w:rPr>
          <w:rFonts w:ascii="NewBaskerville" w:hAnsi="NewBaskerville"/>
          <w:bCs/>
        </w:rPr>
        <w:t xml:space="preserve">Hasta un año:  51.918,76                   </w:t>
      </w:r>
    </w:p>
    <w:p w:rsidR="00410413" w:rsidRDefault="00410413" w:rsidP="00410413">
      <w:pPr>
        <w:pStyle w:val="Prrafodelista"/>
        <w:numPr>
          <w:ilvl w:val="0"/>
          <w:numId w:val="6"/>
        </w:numPr>
        <w:tabs>
          <w:tab w:val="right" w:pos="8364"/>
        </w:tabs>
        <w:jc w:val="both"/>
        <w:rPr>
          <w:rFonts w:ascii="NewBaskerville" w:hAnsi="NewBaskerville"/>
          <w:bCs/>
        </w:rPr>
      </w:pPr>
      <w:r>
        <w:rPr>
          <w:rFonts w:ascii="NewBaskerville" w:hAnsi="NewBaskerville"/>
          <w:bCs/>
        </w:rPr>
        <w:t>Entre uno y cinco años:</w:t>
      </w:r>
      <w:r w:rsidR="000B4473">
        <w:rPr>
          <w:rFonts w:ascii="NewBaskerville" w:hAnsi="NewBaskerville"/>
          <w:bCs/>
        </w:rPr>
        <w:t xml:space="preserve">  138.464,93</w:t>
      </w:r>
    </w:p>
    <w:p w:rsidR="00410413" w:rsidRDefault="00410413" w:rsidP="00410413">
      <w:pPr>
        <w:pStyle w:val="Prrafodelista"/>
        <w:numPr>
          <w:ilvl w:val="0"/>
          <w:numId w:val="6"/>
        </w:numPr>
        <w:tabs>
          <w:tab w:val="right" w:pos="8364"/>
        </w:tabs>
        <w:jc w:val="both"/>
        <w:rPr>
          <w:rFonts w:ascii="NewBaskerville" w:hAnsi="NewBaskerville"/>
          <w:bCs/>
        </w:rPr>
      </w:pPr>
      <w:r>
        <w:rPr>
          <w:rFonts w:ascii="NewBaskerville" w:hAnsi="NewBaskerville"/>
          <w:bCs/>
        </w:rPr>
        <w:t>Más de cinco años:</w:t>
      </w:r>
      <w:r w:rsidR="000B4473">
        <w:rPr>
          <w:rFonts w:ascii="NewBaskerville" w:hAnsi="NewBaskerville"/>
          <w:bCs/>
        </w:rPr>
        <w:t xml:space="preserve">  156.973,33</w:t>
      </w:r>
    </w:p>
    <w:p w:rsidR="00EA2B1B" w:rsidRPr="00410413" w:rsidRDefault="00EA2B1B" w:rsidP="00EA2B1B">
      <w:pPr>
        <w:pStyle w:val="Prrafodelista"/>
        <w:tabs>
          <w:tab w:val="right" w:pos="8364"/>
        </w:tabs>
        <w:ind w:left="1287"/>
        <w:jc w:val="both"/>
        <w:rPr>
          <w:rFonts w:ascii="NewBaskerville" w:hAnsi="NewBaskerville"/>
          <w:bCs/>
        </w:rPr>
      </w:pPr>
    </w:p>
    <w:p w:rsidR="0051409B" w:rsidRDefault="0051409B" w:rsidP="00257560">
      <w:pPr>
        <w:tabs>
          <w:tab w:val="right" w:pos="8364"/>
        </w:tabs>
        <w:ind w:firstLine="540"/>
        <w:jc w:val="both"/>
        <w:rPr>
          <w:rFonts w:ascii="NewBaskerville" w:hAnsi="NewBaskerville"/>
          <w:bCs/>
        </w:rPr>
      </w:pPr>
    </w:p>
    <w:p w:rsidR="00C95D96" w:rsidRDefault="000B4473" w:rsidP="00257560">
      <w:pPr>
        <w:tabs>
          <w:tab w:val="right" w:pos="8364"/>
        </w:tabs>
        <w:ind w:firstLine="540"/>
        <w:jc w:val="both"/>
        <w:rPr>
          <w:rFonts w:ascii="NewBaskerville" w:hAnsi="NewBaskerville"/>
          <w:bCs/>
        </w:rPr>
      </w:pPr>
      <w:r>
        <w:rPr>
          <w:rFonts w:ascii="NewBaskerville" w:hAnsi="NewBaskerville"/>
          <w:bCs/>
        </w:rPr>
        <w:t>Detalle de</w:t>
      </w:r>
      <w:r w:rsidR="002C4355" w:rsidRPr="00E73E9C">
        <w:rPr>
          <w:rFonts w:ascii="NewBaskerville" w:hAnsi="NewBaskerville"/>
          <w:bCs/>
        </w:rPr>
        <w:t xml:space="preserve"> </w:t>
      </w:r>
      <w:r w:rsidR="004321BA" w:rsidRPr="00E73E9C">
        <w:rPr>
          <w:rFonts w:ascii="NewBaskerville" w:hAnsi="NewBaskerville"/>
          <w:bCs/>
        </w:rPr>
        <w:t>los ingresos</w:t>
      </w:r>
      <w:r w:rsidR="002C4355" w:rsidRPr="00E73E9C">
        <w:rPr>
          <w:rFonts w:ascii="NewBaskerville" w:hAnsi="NewBaskerville"/>
          <w:bCs/>
        </w:rPr>
        <w:t xml:space="preserve"> sobre las tasas de aprovechamiento especial de dominio </w:t>
      </w:r>
      <w:r w:rsidR="008155BC" w:rsidRPr="00E73E9C">
        <w:rPr>
          <w:rFonts w:ascii="NewBaskerville" w:hAnsi="NewBaskerville"/>
          <w:bCs/>
        </w:rPr>
        <w:t>público</w:t>
      </w:r>
      <w:r w:rsidR="002C4355" w:rsidRPr="00E73E9C">
        <w:rPr>
          <w:rFonts w:ascii="NewBaskerville" w:hAnsi="NewBaskerville"/>
          <w:bCs/>
        </w:rPr>
        <w:t>/ actividad de las concesiones y autorizaciones más significativas</w:t>
      </w:r>
      <w:r w:rsidR="00982A77">
        <w:rPr>
          <w:rFonts w:ascii="NewBaskerville" w:hAnsi="NewBaskerville"/>
          <w:bCs/>
        </w:rPr>
        <w:t>, importes en euros</w:t>
      </w:r>
      <w:r w:rsidR="002C4355" w:rsidRPr="00E73E9C">
        <w:rPr>
          <w:rFonts w:ascii="NewBaskerville" w:hAnsi="NewBaskerville"/>
          <w:bCs/>
        </w:rPr>
        <w:t>:</w:t>
      </w:r>
    </w:p>
    <w:p w:rsidR="007F67C2" w:rsidRDefault="007F67C2" w:rsidP="00257560">
      <w:pPr>
        <w:tabs>
          <w:tab w:val="right" w:pos="8364"/>
        </w:tabs>
        <w:ind w:firstLine="540"/>
        <w:jc w:val="both"/>
        <w:rPr>
          <w:rFonts w:ascii="NewBaskerville" w:hAnsi="NewBaskerville"/>
          <w:bCs/>
        </w:rPr>
      </w:pPr>
    </w:p>
    <w:tbl>
      <w:tblPr>
        <w:tblW w:w="5000" w:type="pct"/>
        <w:tblCellMar>
          <w:left w:w="70" w:type="dxa"/>
          <w:right w:w="70" w:type="dxa"/>
        </w:tblCellMar>
        <w:tblLook w:val="04A0" w:firstRow="1" w:lastRow="0" w:firstColumn="1" w:lastColumn="0" w:noHBand="0" w:noVBand="1"/>
      </w:tblPr>
      <w:tblGrid>
        <w:gridCol w:w="734"/>
        <w:gridCol w:w="1105"/>
        <w:gridCol w:w="1593"/>
        <w:gridCol w:w="3004"/>
        <w:gridCol w:w="1104"/>
        <w:gridCol w:w="1104"/>
      </w:tblGrid>
      <w:tr w:rsidR="00BF6E86" w:rsidRPr="00BF6E86" w:rsidTr="00C66CB2">
        <w:trPr>
          <w:trHeight w:val="1350"/>
        </w:trPr>
        <w:tc>
          <w:tcPr>
            <w:tcW w:w="502" w:type="pct"/>
            <w:tcBorders>
              <w:top w:val="single" w:sz="4" w:space="0" w:color="auto"/>
              <w:left w:val="single" w:sz="4" w:space="0" w:color="auto"/>
              <w:bottom w:val="single" w:sz="4" w:space="0" w:color="auto"/>
              <w:right w:val="single" w:sz="4" w:space="0" w:color="auto"/>
            </w:tcBorders>
            <w:shd w:val="clear" w:color="000000" w:fill="CCFFCC"/>
            <w:vAlign w:val="center"/>
            <w:hideMark/>
          </w:tcPr>
          <w:p w:rsidR="00BF6E86" w:rsidRPr="00BF6E86" w:rsidRDefault="00BF6E86" w:rsidP="00BF6E86">
            <w:pPr>
              <w:jc w:val="center"/>
              <w:rPr>
                <w:rFonts w:ascii="Lucida Bright" w:hAnsi="Lucida Bright" w:cs="Calibri"/>
                <w:b/>
                <w:bCs/>
                <w:color w:val="000000"/>
                <w:sz w:val="18"/>
                <w:szCs w:val="18"/>
                <w:lang w:val="es-ES"/>
              </w:rPr>
            </w:pPr>
            <w:r w:rsidRPr="00BF6E86">
              <w:rPr>
                <w:rFonts w:ascii="Lucida Bright" w:hAnsi="Lucida Bright" w:cs="Calibri"/>
                <w:b/>
                <w:bCs/>
                <w:color w:val="000000"/>
                <w:sz w:val="18"/>
                <w:szCs w:val="18"/>
                <w:lang w:val="es-ES"/>
              </w:rPr>
              <w:t xml:space="preserve">Puerto </w:t>
            </w:r>
          </w:p>
        </w:tc>
        <w:tc>
          <w:tcPr>
            <w:tcW w:w="621" w:type="pct"/>
            <w:tcBorders>
              <w:top w:val="single" w:sz="4" w:space="0" w:color="auto"/>
              <w:left w:val="nil"/>
              <w:bottom w:val="single" w:sz="4" w:space="0" w:color="auto"/>
              <w:right w:val="single" w:sz="4" w:space="0" w:color="auto"/>
            </w:tcBorders>
            <w:shd w:val="clear" w:color="000000" w:fill="CCFFCC"/>
            <w:vAlign w:val="center"/>
            <w:hideMark/>
          </w:tcPr>
          <w:p w:rsidR="00BF6E86" w:rsidRPr="00BF6E86" w:rsidRDefault="00BF6E86" w:rsidP="00BF6E86">
            <w:pPr>
              <w:jc w:val="center"/>
              <w:rPr>
                <w:rFonts w:ascii="Lucida Bright" w:hAnsi="Lucida Bright" w:cs="Calibri"/>
                <w:b/>
                <w:bCs/>
                <w:color w:val="000000"/>
                <w:sz w:val="18"/>
                <w:szCs w:val="18"/>
                <w:lang w:val="es-ES"/>
              </w:rPr>
            </w:pPr>
            <w:r w:rsidRPr="00BF6E86">
              <w:rPr>
                <w:rFonts w:ascii="Lucida Bright" w:hAnsi="Lucida Bright" w:cs="Calibri"/>
                <w:b/>
                <w:bCs/>
                <w:color w:val="000000"/>
                <w:sz w:val="18"/>
                <w:szCs w:val="18"/>
                <w:lang w:val="es-ES"/>
              </w:rPr>
              <w:t xml:space="preserve">Referencia título dominio público </w:t>
            </w:r>
          </w:p>
        </w:tc>
        <w:tc>
          <w:tcPr>
            <w:tcW w:w="832" w:type="pct"/>
            <w:tcBorders>
              <w:top w:val="single" w:sz="4" w:space="0" w:color="auto"/>
              <w:left w:val="nil"/>
              <w:bottom w:val="single" w:sz="4" w:space="0" w:color="auto"/>
              <w:right w:val="single" w:sz="4" w:space="0" w:color="auto"/>
            </w:tcBorders>
            <w:shd w:val="clear" w:color="000000" w:fill="CCFFCC"/>
            <w:vAlign w:val="center"/>
            <w:hideMark/>
          </w:tcPr>
          <w:p w:rsidR="00BF6E86" w:rsidRPr="00BF6E86" w:rsidRDefault="00BF6E86" w:rsidP="00BF6E86">
            <w:pPr>
              <w:jc w:val="center"/>
              <w:rPr>
                <w:rFonts w:ascii="Lucida Bright" w:hAnsi="Lucida Bright" w:cs="Calibri"/>
                <w:b/>
                <w:bCs/>
                <w:color w:val="000000"/>
                <w:sz w:val="18"/>
                <w:szCs w:val="18"/>
                <w:lang w:val="es-ES"/>
              </w:rPr>
            </w:pPr>
            <w:r w:rsidRPr="00BF6E86">
              <w:rPr>
                <w:rFonts w:ascii="Lucida Bright" w:hAnsi="Lucida Bright" w:cs="Calibri"/>
                <w:b/>
                <w:bCs/>
                <w:color w:val="000000"/>
                <w:sz w:val="18"/>
                <w:szCs w:val="18"/>
                <w:lang w:val="es-ES"/>
              </w:rPr>
              <w:t xml:space="preserve">Sujeto Pasivo </w:t>
            </w:r>
          </w:p>
        </w:tc>
        <w:tc>
          <w:tcPr>
            <w:tcW w:w="1891" w:type="pct"/>
            <w:tcBorders>
              <w:top w:val="single" w:sz="4" w:space="0" w:color="auto"/>
              <w:left w:val="nil"/>
              <w:bottom w:val="single" w:sz="4" w:space="0" w:color="auto"/>
              <w:right w:val="single" w:sz="4" w:space="0" w:color="auto"/>
            </w:tcBorders>
            <w:shd w:val="clear" w:color="000000" w:fill="CCFFCC"/>
            <w:vAlign w:val="center"/>
            <w:hideMark/>
          </w:tcPr>
          <w:p w:rsidR="00BF6E86" w:rsidRPr="00BF6E86" w:rsidRDefault="00BF6E86" w:rsidP="00BF6E86">
            <w:pPr>
              <w:jc w:val="center"/>
              <w:rPr>
                <w:rFonts w:ascii="Lucida Bright" w:hAnsi="Lucida Bright" w:cs="Calibri"/>
                <w:b/>
                <w:bCs/>
                <w:color w:val="000000"/>
                <w:sz w:val="18"/>
                <w:szCs w:val="18"/>
                <w:lang w:val="es-ES"/>
              </w:rPr>
            </w:pPr>
            <w:r w:rsidRPr="00BF6E86">
              <w:rPr>
                <w:rFonts w:ascii="Lucida Bright" w:hAnsi="Lucida Bright" w:cs="Calibri"/>
                <w:b/>
                <w:bCs/>
                <w:color w:val="000000"/>
                <w:sz w:val="18"/>
                <w:szCs w:val="18"/>
                <w:lang w:val="es-ES"/>
              </w:rPr>
              <w:t xml:space="preserve">Objeto título dominio público </w:t>
            </w:r>
          </w:p>
        </w:tc>
        <w:tc>
          <w:tcPr>
            <w:tcW w:w="577" w:type="pct"/>
            <w:tcBorders>
              <w:top w:val="single" w:sz="4" w:space="0" w:color="auto"/>
              <w:left w:val="nil"/>
              <w:bottom w:val="single" w:sz="4" w:space="0" w:color="auto"/>
              <w:right w:val="single" w:sz="4" w:space="0" w:color="auto"/>
            </w:tcBorders>
            <w:shd w:val="clear" w:color="000000" w:fill="CCFFCC"/>
            <w:vAlign w:val="center"/>
            <w:hideMark/>
          </w:tcPr>
          <w:p w:rsidR="00BF6E86" w:rsidRPr="00BF6E86" w:rsidRDefault="00BF6E86" w:rsidP="00BF6E86">
            <w:pPr>
              <w:jc w:val="center"/>
              <w:rPr>
                <w:rFonts w:ascii="Lucida Bright" w:hAnsi="Lucida Bright" w:cs="Calibri"/>
                <w:b/>
                <w:bCs/>
                <w:color w:val="000000"/>
                <w:sz w:val="18"/>
                <w:szCs w:val="18"/>
                <w:lang w:val="es-ES"/>
              </w:rPr>
            </w:pPr>
            <w:r w:rsidRPr="00BF6E86">
              <w:rPr>
                <w:rFonts w:ascii="Lucida Bright" w:hAnsi="Lucida Bright" w:cs="Calibri"/>
                <w:b/>
                <w:bCs/>
                <w:color w:val="000000"/>
                <w:sz w:val="18"/>
                <w:szCs w:val="18"/>
                <w:lang w:val="es-ES"/>
              </w:rPr>
              <w:t>Importe 2023</w:t>
            </w:r>
          </w:p>
        </w:tc>
        <w:tc>
          <w:tcPr>
            <w:tcW w:w="577" w:type="pct"/>
            <w:tcBorders>
              <w:top w:val="single" w:sz="4" w:space="0" w:color="auto"/>
              <w:left w:val="nil"/>
              <w:bottom w:val="single" w:sz="4" w:space="0" w:color="auto"/>
              <w:right w:val="single" w:sz="4" w:space="0" w:color="auto"/>
            </w:tcBorders>
            <w:shd w:val="clear" w:color="000000" w:fill="CCFFCC"/>
            <w:vAlign w:val="center"/>
            <w:hideMark/>
          </w:tcPr>
          <w:p w:rsidR="00BF6E86" w:rsidRPr="00BF6E86" w:rsidRDefault="00BF6E86" w:rsidP="00BF6E86">
            <w:pPr>
              <w:jc w:val="center"/>
              <w:rPr>
                <w:rFonts w:ascii="Lucida Bright" w:hAnsi="Lucida Bright" w:cs="Calibri"/>
                <w:b/>
                <w:bCs/>
                <w:color w:val="000000"/>
                <w:sz w:val="18"/>
                <w:szCs w:val="18"/>
                <w:lang w:val="es-ES"/>
              </w:rPr>
            </w:pPr>
            <w:r w:rsidRPr="00BF6E86">
              <w:rPr>
                <w:rFonts w:ascii="Lucida Bright" w:hAnsi="Lucida Bright" w:cs="Calibri"/>
                <w:b/>
                <w:bCs/>
                <w:color w:val="000000"/>
                <w:sz w:val="18"/>
                <w:szCs w:val="18"/>
                <w:lang w:val="es-ES"/>
              </w:rPr>
              <w:t>Importe 2022</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Alcúdia</w:t>
            </w:r>
            <w:proofErr w:type="spellEnd"/>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0871 CP/G</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ALCUDIAMAR S 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ZONA DEPORTIVA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2.631.185,41</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2.631.185,41</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Alcúdia</w:t>
            </w:r>
            <w:proofErr w:type="spellEnd"/>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1122-CPG</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REPSOL BUTANO S.A.</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UTULIZACIÓN DE INSTALACIONES PARA LA DESCARGA DE BUQUES BUTANEROS</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164.926,81</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64.615,17</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Alcúdia</w:t>
            </w:r>
            <w:proofErr w:type="spellEnd"/>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0540-CP/G</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CEPSA COMERCIAL PETROLEO S.A.U.</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FACTORIA PARA ALMACENAJE Y DISTRIBUCION DE PRODUCTOS ASFÁLTICOS EN EL PUERTO DE ALCUDIA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66.162,27</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Alcúdia</w:t>
            </w:r>
            <w:proofErr w:type="spellEnd"/>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1109-CP/G</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TRANSPULVE 2009 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CONCESIÓN ADMINISTRATIVA PARA LA GESTIÓN DE UN CENTRO DE ALMACENAMIENTO Y DISTRIBUCIÓN DE CEMENTO EN EL MUELLE DE RIBERA DEL PUERTO DE ALCÚDIA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131.064,56</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109.438,16</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Alcúdia</w:t>
            </w:r>
            <w:proofErr w:type="spellEnd"/>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GSP-177</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COLABORADORA HOTELERA UNO 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EXPLOTACIÓN DE UN ESTABLECIMIENTO PARA SERVICIOS TURÍSTIOS EN EL FARO DE FORMENTOR (MALLORCA)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62.966,34</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33.122,03</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Eivissa</w:t>
            </w:r>
            <w:proofErr w:type="spellEnd"/>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GSP-171</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CLUB NAUTICO DE IBIZA</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GESTIÓN DE UNA INSTALACIÓN NÁUTICA PARA PEQUEÑAS Y MEDIANAS ESLORAS EN EL PUERTO DE EIVISSA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371.899,37</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371.899,37</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lastRenderedPageBreak/>
              <w:t>Eivissa</w:t>
            </w:r>
            <w:proofErr w:type="spellEnd"/>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AU-D-I-01-0818-23</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IGY GESTORAS MARINAS SPAIN 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EXPLOTACIÓN PUESTOS AMARRE DE GRAN ESLORA Y OFICINA ADMINISTRATIVA MUELLE Y DÁRSENA LEVANTE DE EIVISSA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258.022,31</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Eivissa</w:t>
            </w:r>
            <w:proofErr w:type="spellEnd"/>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L-I-11-0007-20</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FRANCISCO MIGUEL AMOROS PORRAS</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BAR-CAFETERIA, QUIOSCO Y LETRERO INFORMATIVO</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23.961,04</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57.919,05</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Eivissa</w:t>
            </w:r>
            <w:proofErr w:type="spellEnd"/>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1088-CP/G</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GAS Y ELECT GENERACION S A</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CONDUCCION DE DESCARGA DE FUEL-OIL</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77.858,21</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148.011,69</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Eivissa</w:t>
            </w:r>
            <w:proofErr w:type="spellEnd"/>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GSP-184</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OCIBAR S. A.</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GESTIÓN DE PUESTOS DE AMARRE Y LOCALES COMERCIALES EN BOTAFOC DEL PUERTO DE EIVISSA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2.711.419,02</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Eivissa</w:t>
            </w:r>
            <w:proofErr w:type="spellEnd"/>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GSP-166</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OCIBAR S. A.</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GESTIÓN DE PUESTOS DE AMARRE Y LOCALES COMERCIALES EN BOTAFOC DEL PUERTO DE EIVISSA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1.587.115,66</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Eivissa</w:t>
            </w:r>
            <w:proofErr w:type="spellEnd"/>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I-01-0795-22</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OCIBAR S. A.</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GESTIÓN DE PUESTOS DE AMARRE Y LOCALES COMERCIALES</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1.262.619,05</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Eivissa</w:t>
            </w:r>
            <w:proofErr w:type="spellEnd"/>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GSP-118</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SERVEIS MARITIMS PORT EIVISSA 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EXPLOTACIÓN DE PUESTOS DE AMARRE EN LA RIBERA NORTE DEL PUERTO DE IBIZA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1.965.118,12</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1.965.118,12</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Eivissa</w:t>
            </w:r>
            <w:proofErr w:type="spellEnd"/>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GSP-168</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TANIT IBIZA PORT SA</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GESTIÓN DE PUESTOS DE AMARRE EN LA DÁRSENA DE PONIENTE DEL PUERTO DE EIVISSA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776.680,42</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776.680,42</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Eivissa</w:t>
            </w:r>
            <w:proofErr w:type="spellEnd"/>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GSP-109</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TANIT IBIZA PORT SA</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EXPLOTACIÓN DE UN VARADERO JUNTO AL MUELLE PESQUERO DEL PUERTO DE IBIZA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122.785,21</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130.878,80</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lastRenderedPageBreak/>
              <w:t xml:space="preserve">La </w:t>
            </w:r>
            <w:proofErr w:type="spellStart"/>
            <w:r w:rsidRPr="00BF6E86">
              <w:rPr>
                <w:rFonts w:ascii="Lucida Bright" w:hAnsi="Lucida Bright" w:cs="Calibri"/>
                <w:color w:val="000000"/>
                <w:sz w:val="14"/>
                <w:szCs w:val="14"/>
                <w:lang w:val="es-ES"/>
              </w:rPr>
              <w:t>Savina</w:t>
            </w:r>
            <w:proofErr w:type="spellEnd"/>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GSP-181</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PORT MED FORMENTERA 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GESTIÓN DE PUESTOS DE AMARRE EN LA DÁRSENA INTERIOR DE PONIENTE EN EL PUERTO DE LA SAVINA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612.894,84</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147.766,41</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xml:space="preserve">La </w:t>
            </w:r>
            <w:proofErr w:type="spellStart"/>
            <w:r w:rsidRPr="00BF6E86">
              <w:rPr>
                <w:rFonts w:ascii="Lucida Bright" w:hAnsi="Lucida Bright" w:cs="Calibri"/>
                <w:color w:val="000000"/>
                <w:sz w:val="14"/>
                <w:szCs w:val="14"/>
                <w:lang w:val="es-ES"/>
              </w:rPr>
              <w:t>Savina</w:t>
            </w:r>
            <w:proofErr w:type="spellEnd"/>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GSP-173</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PUERTOS Y LITORALES SOSTENIBLES 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EXPLOTACIÓN DE LA DÁRSENA PARA EMBARCACIONES MENORES EN EL PUERTO DE LA SAVINA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217.257,37</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213.686,03</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xml:space="preserve">La </w:t>
            </w:r>
            <w:proofErr w:type="spellStart"/>
            <w:r w:rsidRPr="00BF6E86">
              <w:rPr>
                <w:rFonts w:ascii="Lucida Bright" w:hAnsi="Lucida Bright" w:cs="Calibri"/>
                <w:color w:val="000000"/>
                <w:sz w:val="14"/>
                <w:szCs w:val="14"/>
                <w:lang w:val="es-ES"/>
              </w:rPr>
              <w:t>Savina</w:t>
            </w:r>
            <w:proofErr w:type="spellEnd"/>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F-01-0416-22</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PUERTOS Y LITORALES SOSTENIBLES 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INSTALACIÓN DE SUMUNISTRO DE COMBUSTIBLES EN EL MUELLE COMERCIAL DEL PUERTO DE LA SAVINA, FORMENTERA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62.354,99</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xml:space="preserve">La </w:t>
            </w:r>
            <w:proofErr w:type="spellStart"/>
            <w:r w:rsidRPr="00BF6E86">
              <w:rPr>
                <w:rFonts w:ascii="Lucida Bright" w:hAnsi="Lucida Bright" w:cs="Calibri"/>
                <w:color w:val="000000"/>
                <w:sz w:val="14"/>
                <w:szCs w:val="14"/>
                <w:lang w:val="es-ES"/>
              </w:rPr>
              <w:t>Savina</w:t>
            </w:r>
            <w:proofErr w:type="spellEnd"/>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GSP-160</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SERCOMISA</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GESTIÓN DE LOCALES COMERCIALES Y OFICINAS EN LA ESTACIÓN MARÍTIMA Y DE DOS EDIFICIOS EN EL PASEO DE LA MARINA DEL PUERTO DE LA SAVINA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155.815,42</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155.185,42</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xml:space="preserve">La </w:t>
            </w:r>
            <w:proofErr w:type="spellStart"/>
            <w:r w:rsidRPr="00BF6E86">
              <w:rPr>
                <w:rFonts w:ascii="Lucida Bright" w:hAnsi="Lucida Bright" w:cs="Calibri"/>
                <w:color w:val="000000"/>
                <w:sz w:val="14"/>
                <w:szCs w:val="14"/>
                <w:lang w:val="es-ES"/>
              </w:rPr>
              <w:t>Savina</w:t>
            </w:r>
            <w:proofErr w:type="spellEnd"/>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GSP-145</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SOVALGARAY MARITIMA SLU</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EXPLOTACIÓN DE UN EDIFICIO PARA APARCAMIENTO, LOCALES Y DESPACHOS, SITUADO EN LA CALZADA DE PONIENTE DEL PUERTO DE LA SAVINA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50.462,46</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50.462,47</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Maó</w:t>
            </w:r>
            <w:proofErr w:type="spellEnd"/>
            <w:r w:rsidRPr="00BF6E86">
              <w:rPr>
                <w:rFonts w:ascii="Lucida Bright" w:hAnsi="Lucida Bright" w:cs="Calibri"/>
                <w:color w:val="000000"/>
                <w:sz w:val="14"/>
                <w:szCs w:val="14"/>
                <w:lang w:val="es-ES"/>
              </w:rPr>
              <w:t>-Mahón</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GSP-179</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CLUB MARÍTIMO DE MAHÓN</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GESTIÓN DE UNA INSTALACIÓN NÁUTICO-DEPORTIVA EN EL MUELLO DE LEVANTE DEL PUERTO DE MAÓ, ENTRE LA PUNTA DEL RELLOTGE Y ES GATASSUS</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206.503,14</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29.419,62</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Maó</w:t>
            </w:r>
            <w:proofErr w:type="spellEnd"/>
            <w:r w:rsidRPr="00BF6E86">
              <w:rPr>
                <w:rFonts w:ascii="Lucida Bright" w:hAnsi="Lucida Bright" w:cs="Calibri"/>
                <w:color w:val="000000"/>
                <w:sz w:val="14"/>
                <w:szCs w:val="14"/>
                <w:lang w:val="es-ES"/>
              </w:rPr>
              <w:t>-Mahón</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GSP-180</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TANIT IBIZA PORT SA</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GESTIÓN DE PUESTOS DE AMARRE EN LA PUNTA DE CALA FIGUERA, EN EL MUELLO DE LEVANTE DEL PUERTO DE MAÓ</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258.132,52</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36.775,04</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Maó</w:t>
            </w:r>
            <w:proofErr w:type="spellEnd"/>
            <w:r w:rsidRPr="00BF6E86">
              <w:rPr>
                <w:rFonts w:ascii="Lucida Bright" w:hAnsi="Lucida Bright" w:cs="Calibri"/>
                <w:color w:val="000000"/>
                <w:sz w:val="14"/>
                <w:szCs w:val="14"/>
                <w:lang w:val="es-ES"/>
              </w:rPr>
              <w:t>-Mahón</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GSP-172</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AMARRES PONIENTE, 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GESTIÓN DE PUESTOS DE AMARRE Y DE TALLER EN EL MUELLE DE PONIENTE DEL PUERTO DE MAÓ</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114.605,76</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114.605,76</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Maó</w:t>
            </w:r>
            <w:proofErr w:type="spellEnd"/>
            <w:r w:rsidRPr="00BF6E86">
              <w:rPr>
                <w:rFonts w:ascii="Lucida Bright" w:hAnsi="Lucida Bright" w:cs="Calibri"/>
                <w:color w:val="000000"/>
                <w:sz w:val="14"/>
                <w:szCs w:val="14"/>
                <w:lang w:val="es-ES"/>
              </w:rPr>
              <w:t>-Mahón</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1099-CP/G</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CEMEX ESPAÑA OPERACIONES SLU</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EXPLOTACIÓN DE TERMINAL Y CANALIZACIONES EXISTENTES PARA LA RECEPCIÓN, ALMACENAMIENTO, ENSACADO, PALETIZADO Y DISTRIBUCIÓN DE CEMENTO Y PRODUCTOS DERIVADOS</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146.306,11</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146.306,11</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lastRenderedPageBreak/>
              <w:t>Maó</w:t>
            </w:r>
            <w:proofErr w:type="spellEnd"/>
            <w:r w:rsidRPr="00BF6E86">
              <w:rPr>
                <w:rFonts w:ascii="Lucida Bright" w:hAnsi="Lucida Bright" w:cs="Calibri"/>
                <w:color w:val="000000"/>
                <w:sz w:val="14"/>
                <w:szCs w:val="14"/>
                <w:lang w:val="es-ES"/>
              </w:rPr>
              <w:t>-Mahón</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GSP-162</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DESARROLLOS CONCESIONALES INSULARES 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xml:space="preserve">GESTIÓN DE PUESTOS DE AMARRE PARA EMBARCACIONES DE ALQUILER EN LOS MUELLES DE LEVANTE DE LA RIBERA SUR DEL PUERTO DE </w:t>
            </w:r>
            <w:proofErr w:type="gramStart"/>
            <w:r w:rsidRPr="00BF6E86">
              <w:rPr>
                <w:rFonts w:ascii="Lucida Bright" w:hAnsi="Lucida Bright" w:cs="Calibri"/>
                <w:color w:val="000000"/>
                <w:sz w:val="14"/>
                <w:szCs w:val="14"/>
                <w:lang w:val="es-ES"/>
              </w:rPr>
              <w:t>MAÓ .</w:t>
            </w:r>
            <w:proofErr w:type="gramEnd"/>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65.821,21</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65.821,21</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Maó</w:t>
            </w:r>
            <w:proofErr w:type="spellEnd"/>
            <w:r w:rsidRPr="00BF6E86">
              <w:rPr>
                <w:rFonts w:ascii="Lucida Bright" w:hAnsi="Lucida Bright" w:cs="Calibri"/>
                <w:color w:val="000000"/>
                <w:sz w:val="14"/>
                <w:szCs w:val="14"/>
                <w:lang w:val="es-ES"/>
              </w:rPr>
              <w:t>-Mahón</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M-01-0832-22</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DESARROLLOS CONCESIONALES INSULARES 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EXPLANADA PARALA REPARACIÓN, VARADA Y BOTADURA DE EMBARCACIONES</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123.311,23</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46.283,93</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Maó</w:t>
            </w:r>
            <w:proofErr w:type="spellEnd"/>
            <w:r w:rsidRPr="00BF6E86">
              <w:rPr>
                <w:rFonts w:ascii="Lucida Bright" w:hAnsi="Lucida Bright" w:cs="Calibri"/>
                <w:color w:val="000000"/>
                <w:sz w:val="14"/>
                <w:szCs w:val="14"/>
                <w:lang w:val="es-ES"/>
              </w:rPr>
              <w:t>-Mahón</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1093-CP/G</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EXOLUM CORPORATION, SA</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NUEVAS INSTALACIONES DE DESCARGA Y ALMACENAMIENTO</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52.487,28</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25.983,72</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Maó</w:t>
            </w:r>
            <w:proofErr w:type="spellEnd"/>
            <w:r w:rsidRPr="00BF6E86">
              <w:rPr>
                <w:rFonts w:ascii="Lucida Bright" w:hAnsi="Lucida Bright" w:cs="Calibri"/>
                <w:color w:val="000000"/>
                <w:sz w:val="14"/>
                <w:szCs w:val="14"/>
                <w:lang w:val="es-ES"/>
              </w:rPr>
              <w:t>-Mahón</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M-01-0809-21</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GRIMALDI LOGISTICA ESPAÑA, 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DEPÓSITO MERCANCIAS</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72.245,32</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72.245,32</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Maó</w:t>
            </w:r>
            <w:proofErr w:type="spellEnd"/>
            <w:r w:rsidRPr="00BF6E86">
              <w:rPr>
                <w:rFonts w:ascii="Lucida Bright" w:hAnsi="Lucida Bright" w:cs="Calibri"/>
                <w:color w:val="000000"/>
                <w:sz w:val="14"/>
                <w:szCs w:val="14"/>
                <w:lang w:val="es-ES"/>
              </w:rPr>
              <w:t>-Mahón</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GSP-149</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MARINA DEPORTIVA DE MENORCA.SL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GESTIÓN DE PUESTOS DE AMARRE EN LA RIBERA NORTE DEL PUERTO DE MAÓ</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152.803,05</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204.297,08</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Maó</w:t>
            </w:r>
            <w:proofErr w:type="spellEnd"/>
            <w:r w:rsidRPr="00BF6E86">
              <w:rPr>
                <w:rFonts w:ascii="Lucida Bright" w:hAnsi="Lucida Bright" w:cs="Calibri"/>
                <w:color w:val="000000"/>
                <w:sz w:val="14"/>
                <w:szCs w:val="14"/>
                <w:lang w:val="es-ES"/>
              </w:rPr>
              <w:t>-Mahón</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AU-D-M-01-0869-23</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MARINA DEPORTIVA DE MENORCA.SL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GESTIÓN DE PUESTOS DE AMARRE EN LA RIBERA NORTE DEL PUERTO DE MAÓ</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58.634,25</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Maó</w:t>
            </w:r>
            <w:proofErr w:type="spellEnd"/>
            <w:r w:rsidRPr="00BF6E86">
              <w:rPr>
                <w:rFonts w:ascii="Lucida Bright" w:hAnsi="Lucida Bright" w:cs="Calibri"/>
                <w:color w:val="000000"/>
                <w:sz w:val="14"/>
                <w:szCs w:val="14"/>
                <w:lang w:val="es-ES"/>
              </w:rPr>
              <w:t>-Mahón</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M-03-0727-21</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MARINA DEPORTIVA DE MENORCA.SL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GESTIÓN DE PUESTOS DE AMARRE EN LA COLÁRSEGA DEL PUERTO DE MAÓ</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74.370,59</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proofErr w:type="spellStart"/>
            <w:r w:rsidRPr="00BF6E86">
              <w:rPr>
                <w:rFonts w:ascii="Lucida Bright" w:hAnsi="Lucida Bright" w:cs="Calibri"/>
                <w:color w:val="000000"/>
                <w:sz w:val="14"/>
                <w:szCs w:val="14"/>
                <w:lang w:val="es-ES"/>
              </w:rPr>
              <w:t>Maó</w:t>
            </w:r>
            <w:proofErr w:type="spellEnd"/>
            <w:r w:rsidRPr="00BF6E86">
              <w:rPr>
                <w:rFonts w:ascii="Lucida Bright" w:hAnsi="Lucida Bright" w:cs="Calibri"/>
                <w:color w:val="000000"/>
                <w:sz w:val="14"/>
                <w:szCs w:val="14"/>
                <w:lang w:val="es-ES"/>
              </w:rPr>
              <w:t>-Mahón</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GSP-176</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POON HILL 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GESTIÓN DE PUESTOS DE AMARRE EN LA ZONA DEL VARADERO REYNÉS DEL MUELLE DE LEVANTE DEL PUERTO DE MAÓ</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129.884,19</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76.507,13</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GSP-141</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AMARRES DEPORTIVOS 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GESTION DE PUESTOS DE AMARRE PARA EMBARCACIONES DE RECREO EN EL PANTALÁN DEL MEDITERRÁNEO DEL PUERTO DE PALMA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326.549,47</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326.549,47</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lastRenderedPageBreak/>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GSP-137</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AMARRES DEPORTIVOS 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GESTIÓN DE LOCALES, DESPACHOS Y PUESTOS DE AMARRE EN EL MUELLE VIEJO DEL PUERTO DE PALMA DE MALLORCA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188.687,18</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188.687,18</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auto" w:fill="auto"/>
            <w:noWrap/>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P-01-0I31-22</w:t>
            </w:r>
          </w:p>
        </w:tc>
        <w:tc>
          <w:tcPr>
            <w:tcW w:w="832" w:type="pct"/>
            <w:tcBorders>
              <w:top w:val="nil"/>
              <w:left w:val="nil"/>
              <w:bottom w:val="single" w:sz="4" w:space="0" w:color="auto"/>
              <w:right w:val="single" w:sz="4" w:space="0" w:color="auto"/>
            </w:tcBorders>
            <w:shd w:val="clear" w:color="auto" w:fill="auto"/>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SERVICIOS TECNICOS PORTUARIOS SL</w:t>
            </w:r>
          </w:p>
        </w:tc>
        <w:tc>
          <w:tcPr>
            <w:tcW w:w="1891" w:type="pct"/>
            <w:tcBorders>
              <w:top w:val="nil"/>
              <w:left w:val="nil"/>
              <w:bottom w:val="single" w:sz="4" w:space="0" w:color="auto"/>
              <w:right w:val="single" w:sz="4" w:space="0" w:color="auto"/>
            </w:tcBorders>
            <w:shd w:val="clear" w:color="auto" w:fill="auto"/>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DEPÓSITO DE EMBARCACIONES</w:t>
            </w:r>
          </w:p>
        </w:tc>
        <w:tc>
          <w:tcPr>
            <w:tcW w:w="577" w:type="pct"/>
            <w:tcBorders>
              <w:top w:val="nil"/>
              <w:left w:val="nil"/>
              <w:bottom w:val="single" w:sz="4" w:space="0" w:color="auto"/>
              <w:right w:val="single" w:sz="4" w:space="0" w:color="auto"/>
            </w:tcBorders>
            <w:shd w:val="clear" w:color="auto" w:fill="auto"/>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184.404,06</w:t>
            </w:r>
          </w:p>
        </w:tc>
        <w:tc>
          <w:tcPr>
            <w:tcW w:w="577" w:type="pct"/>
            <w:tcBorders>
              <w:top w:val="nil"/>
              <w:left w:val="nil"/>
              <w:bottom w:val="single" w:sz="4" w:space="0" w:color="auto"/>
              <w:right w:val="single" w:sz="4" w:space="0" w:color="auto"/>
            </w:tcBorders>
            <w:shd w:val="clear" w:color="auto" w:fill="auto"/>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48.902,73</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auto" w:fill="auto"/>
            <w:vAlign w:val="bottom"/>
            <w:hideMark/>
          </w:tcPr>
          <w:p w:rsidR="00BF6E86" w:rsidRPr="00BF6E86" w:rsidRDefault="00BF6E86" w:rsidP="001845F2">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AU-D-P-03-0</w:t>
            </w:r>
            <w:r w:rsidR="001845F2">
              <w:rPr>
                <w:rFonts w:ascii="Lucida Bright" w:hAnsi="Lucida Bright" w:cs="Calibri"/>
                <w:color w:val="000000"/>
                <w:sz w:val="14"/>
                <w:szCs w:val="14"/>
                <w:lang w:val="es-ES"/>
              </w:rPr>
              <w:t>I</w:t>
            </w:r>
            <w:r w:rsidRPr="00BF6E86">
              <w:rPr>
                <w:rFonts w:ascii="Lucida Bright" w:hAnsi="Lucida Bright" w:cs="Calibri"/>
                <w:color w:val="000000"/>
                <w:sz w:val="14"/>
                <w:szCs w:val="14"/>
                <w:lang w:val="es-ES"/>
              </w:rPr>
              <w:t>31-23</w:t>
            </w:r>
          </w:p>
        </w:tc>
        <w:tc>
          <w:tcPr>
            <w:tcW w:w="832" w:type="pct"/>
            <w:tcBorders>
              <w:top w:val="nil"/>
              <w:left w:val="nil"/>
              <w:bottom w:val="single" w:sz="4" w:space="0" w:color="auto"/>
              <w:right w:val="single" w:sz="4" w:space="0" w:color="auto"/>
            </w:tcBorders>
            <w:shd w:val="clear" w:color="auto" w:fill="auto"/>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SERVICIOS TECNICOS PORTUARIOS SL</w:t>
            </w:r>
          </w:p>
        </w:tc>
        <w:tc>
          <w:tcPr>
            <w:tcW w:w="1891" w:type="pct"/>
            <w:tcBorders>
              <w:top w:val="nil"/>
              <w:left w:val="nil"/>
              <w:bottom w:val="single" w:sz="4" w:space="0" w:color="auto"/>
              <w:right w:val="single" w:sz="4" w:space="0" w:color="auto"/>
            </w:tcBorders>
            <w:shd w:val="clear" w:color="auto" w:fill="auto"/>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DEPÓSITO DE EMBARCACIONES</w:t>
            </w:r>
          </w:p>
        </w:tc>
        <w:tc>
          <w:tcPr>
            <w:tcW w:w="577" w:type="pct"/>
            <w:tcBorders>
              <w:top w:val="nil"/>
              <w:left w:val="nil"/>
              <w:bottom w:val="single" w:sz="4" w:space="0" w:color="auto"/>
              <w:right w:val="single" w:sz="4" w:space="0" w:color="auto"/>
            </w:tcBorders>
            <w:shd w:val="clear" w:color="auto" w:fill="auto"/>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98.156,23</w:t>
            </w:r>
          </w:p>
        </w:tc>
        <w:tc>
          <w:tcPr>
            <w:tcW w:w="577" w:type="pct"/>
            <w:tcBorders>
              <w:top w:val="nil"/>
              <w:left w:val="nil"/>
              <w:bottom w:val="single" w:sz="4" w:space="0" w:color="auto"/>
              <w:right w:val="single" w:sz="4" w:space="0" w:color="auto"/>
            </w:tcBorders>
            <w:shd w:val="clear" w:color="auto" w:fill="auto"/>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auto" w:fill="auto"/>
            <w:noWrap/>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GSP-178</w:t>
            </w:r>
          </w:p>
        </w:tc>
        <w:tc>
          <w:tcPr>
            <w:tcW w:w="832" w:type="pct"/>
            <w:tcBorders>
              <w:top w:val="nil"/>
              <w:left w:val="nil"/>
              <w:bottom w:val="single" w:sz="4" w:space="0" w:color="auto"/>
              <w:right w:val="single" w:sz="4" w:space="0" w:color="auto"/>
            </w:tcBorders>
            <w:shd w:val="clear" w:color="auto" w:fill="auto"/>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SERVICIOS TECNICOS PORTUARIOS SL</w:t>
            </w:r>
          </w:p>
        </w:tc>
        <w:tc>
          <w:tcPr>
            <w:tcW w:w="1891" w:type="pct"/>
            <w:tcBorders>
              <w:top w:val="nil"/>
              <w:left w:val="nil"/>
              <w:bottom w:val="single" w:sz="4" w:space="0" w:color="auto"/>
              <w:right w:val="single" w:sz="4" w:space="0" w:color="auto"/>
            </w:tcBorders>
            <w:shd w:val="clear" w:color="auto" w:fill="auto"/>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EXPLOTACIÓN DE UN EDIFICIO SITUADO EN EL ESPIGÓN DE LA CONSIGNA DEL PUERTO DE PALMA</w:t>
            </w:r>
          </w:p>
        </w:tc>
        <w:tc>
          <w:tcPr>
            <w:tcW w:w="577" w:type="pct"/>
            <w:tcBorders>
              <w:top w:val="nil"/>
              <w:left w:val="nil"/>
              <w:bottom w:val="single" w:sz="4" w:space="0" w:color="auto"/>
              <w:right w:val="single" w:sz="4" w:space="0" w:color="auto"/>
            </w:tcBorders>
            <w:shd w:val="clear" w:color="auto" w:fill="auto"/>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143.439,55</w:t>
            </w:r>
          </w:p>
        </w:tc>
        <w:tc>
          <w:tcPr>
            <w:tcW w:w="577" w:type="pct"/>
            <w:tcBorders>
              <w:top w:val="nil"/>
              <w:left w:val="nil"/>
              <w:bottom w:val="single" w:sz="4" w:space="0" w:color="auto"/>
              <w:right w:val="single" w:sz="4" w:space="0" w:color="auto"/>
            </w:tcBorders>
            <w:shd w:val="clear" w:color="auto" w:fill="auto"/>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26.722,98</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0013-COP</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ASTILLEROS DE MALLORCA S A</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MODERNIZACION DE ASTILLEROS</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230.323,42</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230.323,42</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0210-COP</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CEMEX ESPAÑA OPERACIONES SLU</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CONCESIÓN ADMINISTRATIVA PARA LA GESTIÓN DE CENTRO DE CARGA, DESCARGA, ALMACENAJE Y DISTRIBUCIÓN DE CEMENTO, EN LA SEGUNDA ALINEACIÓN DEL DIQUE DEL OESTE, DEL PUERTO DE PALMA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477.130,06</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602.017,46</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0212-COP</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CLUB DE MAR MALLORCA</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CONSTRUCCION Y LA EXPLOTACIÓN DE UNA DÁRSENA DEPORTIVA, CON USOS COMPLEMENTARIOS (VARADERO, ESTACIÓN DE SERVICIOS DE COMBUSTIBLE, LOCALES COMERCIALES, BARES, CAFETERIAS, RESTAURANTE, SALAS DE REUNIONES Y PARA ACONTECIMIENTOS, LOCALES DE DIVERSIÓN Y ENTRETENIMIENTO, EDIFICIO SOCIAL, ETC)</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2.738.058,70</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2.738.058,70</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P-02-0I04-22</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EVOLUTION YACHTS 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BASE OPERATIVA Y DE ENTRENAMIENTO DEL EQUIPO INEOS BRITTANIA (CARPAS, DEPÓSITO EMBARCACIONES Y GRÚA PARA IZADA Y BOTADURA)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80.889,39</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70.205,89</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0106-COP</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EXOLUM CORPORATION SA</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TUBERÍAS DE DESCARGA DE COMBUSTIBLE</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126.913,22</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121.907,84</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lastRenderedPageBreak/>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GSP-130</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GLOBAL YACHT FINISHING S 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EXPLOTACIÓN DE UN EDIFICIO SITUADO EN EL ESPIGÓN EXTERIOR DEL PUERTO DE PALMA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143.100,34</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L-P-01-0549-22</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GLOBAL YACHT FINISHING S 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EXPLOTACIÓN DE UN EDIFICIO, MÁQUINA DE TABACO Y LETREROS EN EL ESPIGÓN EXTERIOR DEL PUERTO DE PALMA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162.916,01</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138.687,47</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DF07F1" w:rsidP="00BF6E86">
            <w:pPr>
              <w:rPr>
                <w:rFonts w:ascii="Lucida Bright" w:hAnsi="Lucida Bright" w:cs="Calibri"/>
                <w:color w:val="000000"/>
                <w:sz w:val="14"/>
                <w:szCs w:val="14"/>
                <w:lang w:val="es-ES"/>
              </w:rPr>
            </w:pPr>
            <w:r>
              <w:rPr>
                <w:rFonts w:ascii="Lucida Bright" w:hAnsi="Lucida Bright" w:cs="Calibri"/>
                <w:color w:val="000000"/>
                <w:sz w:val="14"/>
                <w:szCs w:val="14"/>
                <w:lang w:val="es-ES"/>
              </w:rPr>
              <w:t>AU-D-P-L</w:t>
            </w:r>
            <w:r w:rsidR="00BF6E86" w:rsidRPr="00BF6E86">
              <w:rPr>
                <w:rFonts w:ascii="Lucida Bright" w:hAnsi="Lucida Bright" w:cs="Calibri"/>
                <w:color w:val="000000"/>
                <w:sz w:val="14"/>
                <w:szCs w:val="14"/>
                <w:lang w:val="es-ES"/>
              </w:rPr>
              <w:t>-02-0549-23</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GLOBAL YACHT FINISHING S 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EXPLOTACIÓN DE UN EDIFICIO, MÁQUINA DE TABACO Y LETREROS EN EL ESPIGÓN EXTERIOR DEL PUERTO DE PALMA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126.990,94</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P-01-0H85-21</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GRIMALDI LOGISTICA ESPAÑA, 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DEP. MERCANCÍAS, 2 CASETAS CONTROL, OFICINAS, ANTENA Y COND. SUBT.</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212.090,27</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L-P-01-0537-21</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GRIMALDI LOGISTICA ESPAÑA, 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OFICINAS, DISP.MEDICIÓN SATISFACCIÓN, MÁQ. EXPEN. TARJ., AP A/A, 3 LETREEROS Y 2 ANTENAS SI-FI</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52.931,84</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P-02-0H85-22</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GRIMALDI LOGISTICA ESPAÑA, 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DEP. MERCANCÍAS, 2 CASETAS CONTROL, OFICINAS, ANTENA Y COND. SUBT.</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694.360,88</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336.717,47</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auto" w:fill="auto"/>
            <w:noWrap/>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auto" w:fill="auto"/>
            <w:noWrap/>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GSP-51.16</w:t>
            </w:r>
          </w:p>
        </w:tc>
        <w:tc>
          <w:tcPr>
            <w:tcW w:w="832" w:type="pct"/>
            <w:tcBorders>
              <w:top w:val="nil"/>
              <w:left w:val="nil"/>
              <w:bottom w:val="single" w:sz="4" w:space="0" w:color="auto"/>
              <w:right w:val="single" w:sz="4" w:space="0" w:color="auto"/>
            </w:tcBorders>
            <w:shd w:val="clear" w:color="auto" w:fill="auto"/>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GRIMALDI LOGISTICA ESPAÑA, SL</w:t>
            </w:r>
          </w:p>
        </w:tc>
        <w:tc>
          <w:tcPr>
            <w:tcW w:w="1891" w:type="pct"/>
            <w:tcBorders>
              <w:top w:val="nil"/>
              <w:left w:val="nil"/>
              <w:bottom w:val="single" w:sz="4" w:space="0" w:color="auto"/>
              <w:right w:val="single" w:sz="4" w:space="0" w:color="auto"/>
            </w:tcBorders>
            <w:shd w:val="clear" w:color="auto" w:fill="auto"/>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SERVICIO DE MANIPULACIÓN DE MERCANCIAS</w:t>
            </w:r>
          </w:p>
        </w:tc>
        <w:tc>
          <w:tcPr>
            <w:tcW w:w="577" w:type="pct"/>
            <w:tcBorders>
              <w:top w:val="nil"/>
              <w:left w:val="nil"/>
              <w:bottom w:val="single" w:sz="4" w:space="0" w:color="auto"/>
              <w:right w:val="single" w:sz="4" w:space="0" w:color="auto"/>
            </w:tcBorders>
            <w:shd w:val="clear" w:color="auto" w:fill="auto"/>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61.592,83</w:t>
            </w:r>
          </w:p>
        </w:tc>
        <w:tc>
          <w:tcPr>
            <w:tcW w:w="577" w:type="pct"/>
            <w:tcBorders>
              <w:top w:val="nil"/>
              <w:left w:val="nil"/>
              <w:bottom w:val="single" w:sz="4" w:space="0" w:color="auto"/>
              <w:right w:val="single" w:sz="4" w:space="0" w:color="auto"/>
            </w:tcBorders>
            <w:shd w:val="clear" w:color="auto" w:fill="auto"/>
            <w:noWrap/>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31.293,07</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GSP-093</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INIC PORT MIRALL DE MAR DE MCA</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GESTIÓN DE SERVICIOS PORTUARIOS A EMBARCACIONES DE RECREO EN EL PASEO MARÍTIMO EN EL PUERTO DE PALMA DE MALLORCA (ENTRE LA TERMINAL DE TRAFICO LOCAL Y EL PANTALAN DEL MEDITERRANEO).</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363.880,03</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500.485,51</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P-10-0D83-22</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INSTITUT INNOVACIO EMPRESARIAL ILLES BALEARS (IDI)</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 INTERNATIONAL BOAT SHOW 2022"</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63.437,99</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lastRenderedPageBreak/>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P-11-0D83-23</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INSTITUT INNOVACIO EMPRESARIAL ILLES BALEARS (IDI)</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 INTERNATIONAL BOAT SHOW 2023"</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65.206,03</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GSP-124</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LA LONJA MARINA CHARTER 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GESTIÓN DE PUESTOS DE AMARRE PARA EMBARCACIONES DE ALQUILER EN EL MUELLE DE LA LONJA DEL PTO. DE PALMA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165.137,04</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221.599,32</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AU-D-P-01-1024-23</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LA LONJA MARINA CHARTER 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xml:space="preserve">GESTIÓN DE PUESTOS DE AMARRE PARA EMBARCACIONES DE ALQUILER </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83.914,63</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GSP-159</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MARPORTSUNBEACH MALLORCA S 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EXPLOTACION DE UN ESTABLECIMIENTO PARA SERVICIOS A USUARIOS PORTUARIOS EN LA ZONA DE TRONERAS DEL PORTITXOL DEL PUERTO DE PALMA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170.275,34</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170.275,34</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0015-COP</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NAVIERA BALEAR S 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GESTIÓN DE PUESTOS DE AMARRE Y SERVICIO DE SUMINISTRO PARA EMBARCACIONES CHARTER</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281.943,67</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281.943,67</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P-01-0I35-22</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REAL CLUB NAUTICO DE PALMA</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AUTORIZACIÓN PARA LA GESTIÓN DE UNA INSTALACIÓN NÁUTICA EN EL CONTRAMUELLE MOLLET DEL PUERTO DE PALMA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1.259.650,83</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GSP-017</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REAL CLUB NAUTICO DE PALMA</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GESTIÓN DE SERVICIOS PÚBLICOS DE LOS EDIFICIOS E INSTALACIONES PARA EMBARCACIONES MENORES DE LA DÁRSENA DE SAN PEDRO Y CONTRAMUELLE MOLLET DEL PUERTO DE PALMA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905.439,68</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GSP-175</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RESTAURANTE CASA EDUARDO S 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EXPLOTACIÓN DE UN RESTAURANTE EN EL CONTRAMUELLE MOLLET DEL PUERTO DE PALMA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102.236,94</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76.187,54</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GSP-150</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SEASIDE LLULL 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EXPLOTACIÓN DE UN BAR-CAFETERÍA-RESTAURANTE, LOCAL COMERCIAL Y APARCAMIENTO EN LA TERMINAL DE TRÁFICO LOCAL DEL PUERTO DE PALMA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109.562,72</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lastRenderedPageBreak/>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GSP-115</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SERVICIOS TECNICOS PORTUARIOS SL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EXPLOTACION DE LAS INSTALACIONES CON DESTINO A SERVICIOS DE VARADA Y BOTADURA DE EMBARCACIONES EN LOS MUELLES COMERCIALES DEL PTO. DE PALMA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3.077.868,54</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1.866.690,15</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GSP-131</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TANIT IBIZA PORT SA</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GESTIÓN DE PUESTOS DE AMARRE PARA EMBARCACIONES DE RECREO EN EL PANTALÁN DE LA CUARENTENA DEL PUERTO DEL PUERTO DE PALMA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259.757,27</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259.757,27</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L-P-01-0550-22</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HEMISPHERE COATING SERVICES S.L.U.</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w:t>
            </w:r>
            <w:r w:rsidR="0085320A">
              <w:rPr>
                <w:rFonts w:ascii="Lucida Bright" w:hAnsi="Lucida Bright" w:cs="Calibri"/>
                <w:color w:val="000000"/>
                <w:sz w:val="14"/>
                <w:szCs w:val="14"/>
                <w:lang w:val="es-ES"/>
              </w:rPr>
              <w:t>TIENDA, OFICINAS, 4 LETREROS Y 2 PLAZAS APARCAMIENTO.</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101.501,04</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40.474,67</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xml:space="preserve">0148-COP </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CLUB NÁUTICO PORTITXOL</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OBRAS DE REFORMA</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100.311,23</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62.614,66</w:t>
            </w:r>
          </w:p>
        </w:tc>
      </w:tr>
      <w:tr w:rsidR="00BF6E86" w:rsidRPr="00BF6E86" w:rsidTr="00C66CB2">
        <w:trPr>
          <w:trHeight w:val="1350"/>
        </w:trPr>
        <w:tc>
          <w:tcPr>
            <w:tcW w:w="502" w:type="pct"/>
            <w:tcBorders>
              <w:top w:val="nil"/>
              <w:left w:val="single" w:sz="4" w:space="0" w:color="auto"/>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Palma</w:t>
            </w:r>
          </w:p>
        </w:tc>
        <w:tc>
          <w:tcPr>
            <w:tcW w:w="62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P-04-0H51-22</w:t>
            </w:r>
          </w:p>
        </w:tc>
        <w:tc>
          <w:tcPr>
            <w:tcW w:w="832"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UTE CLUB DE MAR MALLORCA</w:t>
            </w:r>
          </w:p>
        </w:tc>
        <w:tc>
          <w:tcPr>
            <w:tcW w:w="1891"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ACOPIO DE MATERIALES PARA LA OBRA DEL CONCESIONARIO CLUB DE MAR, CON MOTIVO DE LAS OBRAS DE MODIFICACIÓN DE LA CONCESIÓN COP-212</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 </w:t>
            </w:r>
          </w:p>
        </w:tc>
        <w:tc>
          <w:tcPr>
            <w:tcW w:w="577" w:type="pct"/>
            <w:tcBorders>
              <w:top w:val="nil"/>
              <w:left w:val="nil"/>
              <w:bottom w:val="single" w:sz="4" w:space="0" w:color="auto"/>
              <w:right w:val="single" w:sz="4" w:space="0" w:color="auto"/>
            </w:tcBorders>
            <w:shd w:val="clear" w:color="000000" w:fill="FFFFFF"/>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103.198,05</w:t>
            </w:r>
          </w:p>
        </w:tc>
      </w:tr>
      <w:tr w:rsidR="00BF6E86" w:rsidRPr="00BF6E86" w:rsidTr="00C66CB2">
        <w:trPr>
          <w:trHeight w:val="300"/>
        </w:trPr>
        <w:tc>
          <w:tcPr>
            <w:tcW w:w="502" w:type="pct"/>
            <w:tcBorders>
              <w:top w:val="nil"/>
              <w:left w:val="nil"/>
              <w:bottom w:val="nil"/>
              <w:right w:val="nil"/>
            </w:tcBorders>
            <w:shd w:val="clear" w:color="auto" w:fill="auto"/>
            <w:noWrap/>
            <w:vAlign w:val="bottom"/>
            <w:hideMark/>
          </w:tcPr>
          <w:p w:rsidR="00BF6E86" w:rsidRPr="00BF6E86" w:rsidRDefault="00BF6E86" w:rsidP="00BF6E86">
            <w:pPr>
              <w:rPr>
                <w:rFonts w:ascii="Calibri" w:hAnsi="Calibri" w:cs="Calibri"/>
                <w:color w:val="000000"/>
                <w:sz w:val="22"/>
                <w:szCs w:val="22"/>
                <w:lang w:val="es-ES"/>
              </w:rPr>
            </w:pPr>
          </w:p>
        </w:tc>
        <w:tc>
          <w:tcPr>
            <w:tcW w:w="621" w:type="pct"/>
            <w:tcBorders>
              <w:top w:val="nil"/>
              <w:left w:val="nil"/>
              <w:bottom w:val="nil"/>
              <w:right w:val="nil"/>
            </w:tcBorders>
            <w:shd w:val="clear" w:color="auto" w:fill="auto"/>
            <w:noWrap/>
            <w:vAlign w:val="bottom"/>
            <w:hideMark/>
          </w:tcPr>
          <w:p w:rsidR="00BF6E86" w:rsidRPr="00BF6E86" w:rsidRDefault="00BF6E86" w:rsidP="00BF6E86">
            <w:pPr>
              <w:rPr>
                <w:rFonts w:ascii="Calibri" w:hAnsi="Calibri" w:cs="Calibri"/>
                <w:color w:val="000000"/>
                <w:sz w:val="22"/>
                <w:szCs w:val="22"/>
                <w:lang w:val="es-ES"/>
              </w:rPr>
            </w:pPr>
          </w:p>
        </w:tc>
        <w:tc>
          <w:tcPr>
            <w:tcW w:w="832" w:type="pct"/>
            <w:tcBorders>
              <w:top w:val="nil"/>
              <w:left w:val="nil"/>
              <w:bottom w:val="nil"/>
              <w:right w:val="nil"/>
            </w:tcBorders>
            <w:shd w:val="clear" w:color="auto" w:fill="auto"/>
            <w:noWrap/>
            <w:vAlign w:val="bottom"/>
            <w:hideMark/>
          </w:tcPr>
          <w:p w:rsidR="00BF6E86" w:rsidRPr="00BF6E86" w:rsidRDefault="00BF6E86" w:rsidP="00BF6E86">
            <w:pPr>
              <w:rPr>
                <w:rFonts w:ascii="Calibri" w:hAnsi="Calibri" w:cs="Calibri"/>
                <w:color w:val="000000"/>
                <w:sz w:val="22"/>
                <w:szCs w:val="22"/>
                <w:lang w:val="es-ES"/>
              </w:rPr>
            </w:pPr>
          </w:p>
        </w:tc>
        <w:tc>
          <w:tcPr>
            <w:tcW w:w="1891" w:type="pct"/>
            <w:tcBorders>
              <w:top w:val="nil"/>
              <w:left w:val="nil"/>
              <w:bottom w:val="nil"/>
              <w:right w:val="nil"/>
            </w:tcBorders>
            <w:shd w:val="clear" w:color="auto" w:fill="auto"/>
            <w:noWrap/>
            <w:vAlign w:val="bottom"/>
            <w:hideMark/>
          </w:tcPr>
          <w:p w:rsidR="00BF6E86" w:rsidRPr="00BF6E86" w:rsidRDefault="00BF6E86" w:rsidP="00BF6E86">
            <w:pPr>
              <w:rPr>
                <w:rFonts w:ascii="Calibri" w:hAnsi="Calibri" w:cs="Calibri"/>
                <w:color w:val="000000"/>
                <w:sz w:val="22"/>
                <w:szCs w:val="22"/>
                <w:lang w:val="es-ES"/>
              </w:rPr>
            </w:pPr>
          </w:p>
        </w:tc>
        <w:tc>
          <w:tcPr>
            <w:tcW w:w="577" w:type="pct"/>
            <w:tcBorders>
              <w:top w:val="nil"/>
              <w:left w:val="nil"/>
              <w:bottom w:val="nil"/>
              <w:right w:val="nil"/>
            </w:tcBorders>
            <w:shd w:val="clear" w:color="auto" w:fill="auto"/>
            <w:noWrap/>
            <w:vAlign w:val="bottom"/>
            <w:hideMark/>
          </w:tcPr>
          <w:p w:rsidR="00BF6E86" w:rsidRPr="00BF6E86" w:rsidRDefault="00BF6E86" w:rsidP="00BF6E86">
            <w:pPr>
              <w:rPr>
                <w:rFonts w:ascii="Calibri" w:hAnsi="Calibri" w:cs="Calibri"/>
                <w:color w:val="000000"/>
                <w:sz w:val="22"/>
                <w:szCs w:val="22"/>
                <w:lang w:val="es-ES"/>
              </w:rPr>
            </w:pPr>
          </w:p>
        </w:tc>
        <w:tc>
          <w:tcPr>
            <w:tcW w:w="577" w:type="pct"/>
            <w:tcBorders>
              <w:top w:val="nil"/>
              <w:left w:val="nil"/>
              <w:bottom w:val="nil"/>
              <w:right w:val="nil"/>
            </w:tcBorders>
            <w:shd w:val="clear" w:color="auto" w:fill="auto"/>
            <w:noWrap/>
            <w:vAlign w:val="bottom"/>
            <w:hideMark/>
          </w:tcPr>
          <w:p w:rsidR="00BF6E86" w:rsidRPr="00BF6E86" w:rsidRDefault="00BF6E86" w:rsidP="00BF6E86">
            <w:pPr>
              <w:rPr>
                <w:rFonts w:ascii="Calibri" w:hAnsi="Calibri" w:cs="Calibri"/>
                <w:color w:val="000000"/>
                <w:sz w:val="22"/>
                <w:szCs w:val="22"/>
                <w:lang w:val="es-ES"/>
              </w:rPr>
            </w:pPr>
          </w:p>
        </w:tc>
      </w:tr>
      <w:tr w:rsidR="00BF6E86" w:rsidRPr="00BF6E86" w:rsidTr="00C66CB2">
        <w:trPr>
          <w:trHeight w:val="300"/>
        </w:trPr>
        <w:tc>
          <w:tcPr>
            <w:tcW w:w="502" w:type="pct"/>
            <w:tcBorders>
              <w:top w:val="nil"/>
              <w:left w:val="nil"/>
              <w:bottom w:val="nil"/>
              <w:right w:val="nil"/>
            </w:tcBorders>
            <w:shd w:val="clear" w:color="auto" w:fill="auto"/>
            <w:noWrap/>
            <w:vAlign w:val="bottom"/>
            <w:hideMark/>
          </w:tcPr>
          <w:p w:rsidR="00BF6E86" w:rsidRPr="00BF6E86" w:rsidRDefault="00BF6E86" w:rsidP="00BF6E86">
            <w:pPr>
              <w:rPr>
                <w:rFonts w:ascii="Calibri" w:hAnsi="Calibri" w:cs="Calibri"/>
                <w:color w:val="000000"/>
                <w:sz w:val="22"/>
                <w:szCs w:val="22"/>
                <w:lang w:val="es-ES"/>
              </w:rPr>
            </w:pPr>
          </w:p>
        </w:tc>
        <w:tc>
          <w:tcPr>
            <w:tcW w:w="621" w:type="pct"/>
            <w:tcBorders>
              <w:top w:val="nil"/>
              <w:left w:val="nil"/>
              <w:bottom w:val="nil"/>
              <w:right w:val="nil"/>
            </w:tcBorders>
            <w:shd w:val="clear" w:color="auto" w:fill="auto"/>
            <w:noWrap/>
            <w:vAlign w:val="bottom"/>
            <w:hideMark/>
          </w:tcPr>
          <w:p w:rsidR="00BF6E86" w:rsidRPr="00BF6E86" w:rsidRDefault="00BF6E86" w:rsidP="00BF6E86">
            <w:pPr>
              <w:rPr>
                <w:rFonts w:ascii="Calibri" w:hAnsi="Calibri" w:cs="Calibri"/>
                <w:color w:val="000000"/>
                <w:sz w:val="22"/>
                <w:szCs w:val="22"/>
                <w:lang w:val="es-ES"/>
              </w:rPr>
            </w:pPr>
          </w:p>
        </w:tc>
        <w:tc>
          <w:tcPr>
            <w:tcW w:w="832" w:type="pct"/>
            <w:tcBorders>
              <w:top w:val="nil"/>
              <w:left w:val="nil"/>
              <w:bottom w:val="nil"/>
              <w:right w:val="nil"/>
            </w:tcBorders>
            <w:shd w:val="clear" w:color="auto" w:fill="auto"/>
            <w:noWrap/>
            <w:vAlign w:val="bottom"/>
            <w:hideMark/>
          </w:tcPr>
          <w:p w:rsidR="00BF6E86" w:rsidRPr="00BF6E86" w:rsidRDefault="00BF6E86" w:rsidP="00BF6E86">
            <w:pPr>
              <w:rPr>
                <w:rFonts w:ascii="Calibri" w:hAnsi="Calibri" w:cs="Calibri"/>
                <w:color w:val="000000"/>
                <w:sz w:val="22"/>
                <w:szCs w:val="22"/>
                <w:lang w:val="es-ES"/>
              </w:rPr>
            </w:pPr>
          </w:p>
        </w:tc>
        <w:tc>
          <w:tcPr>
            <w:tcW w:w="1891" w:type="pct"/>
            <w:tcBorders>
              <w:top w:val="nil"/>
              <w:left w:val="nil"/>
              <w:bottom w:val="nil"/>
              <w:right w:val="nil"/>
            </w:tcBorders>
            <w:shd w:val="clear" w:color="auto" w:fill="auto"/>
            <w:noWrap/>
            <w:vAlign w:val="bottom"/>
            <w:hideMark/>
          </w:tcPr>
          <w:p w:rsidR="00BF6E86" w:rsidRPr="00BF6E86" w:rsidRDefault="00BF6E86" w:rsidP="00BF6E86">
            <w:pPr>
              <w:rPr>
                <w:rFonts w:ascii="Calibri" w:hAnsi="Calibri" w:cs="Calibri"/>
                <w:color w:val="000000"/>
                <w:sz w:val="22"/>
                <w:szCs w:val="22"/>
                <w:lang w:val="es-ES"/>
              </w:rPr>
            </w:pPr>
          </w:p>
        </w:tc>
        <w:tc>
          <w:tcPr>
            <w:tcW w:w="5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23.502.432,33</w:t>
            </w:r>
          </w:p>
        </w:tc>
        <w:tc>
          <w:tcPr>
            <w:tcW w:w="577" w:type="pct"/>
            <w:tcBorders>
              <w:top w:val="single" w:sz="4" w:space="0" w:color="auto"/>
              <w:left w:val="nil"/>
              <w:bottom w:val="single" w:sz="4" w:space="0" w:color="auto"/>
              <w:right w:val="single" w:sz="4" w:space="0" w:color="auto"/>
            </w:tcBorders>
            <w:shd w:val="clear" w:color="auto" w:fill="auto"/>
            <w:noWrap/>
            <w:vAlign w:val="bottom"/>
            <w:hideMark/>
          </w:tcPr>
          <w:p w:rsidR="00BF6E86" w:rsidRPr="00BF6E86" w:rsidRDefault="00BF6E86" w:rsidP="00BF6E86">
            <w:pPr>
              <w:jc w:val="right"/>
              <w:rPr>
                <w:rFonts w:ascii="Lucida Bright" w:hAnsi="Lucida Bright" w:cs="Calibri"/>
                <w:color w:val="000000"/>
                <w:sz w:val="14"/>
                <w:szCs w:val="14"/>
                <w:lang w:val="es-ES"/>
              </w:rPr>
            </w:pPr>
            <w:r w:rsidRPr="00BF6E86">
              <w:rPr>
                <w:rFonts w:ascii="Lucida Bright" w:hAnsi="Lucida Bright" w:cs="Calibri"/>
                <w:color w:val="000000"/>
                <w:sz w:val="14"/>
                <w:szCs w:val="14"/>
                <w:lang w:val="es-ES"/>
              </w:rPr>
              <w:t>20.541.411,90</w:t>
            </w:r>
          </w:p>
        </w:tc>
      </w:tr>
    </w:tbl>
    <w:p w:rsidR="00BF6E86" w:rsidRPr="00E73E9C" w:rsidRDefault="00BF6E86" w:rsidP="00257560">
      <w:pPr>
        <w:tabs>
          <w:tab w:val="right" w:pos="8364"/>
        </w:tabs>
        <w:ind w:firstLine="540"/>
        <w:jc w:val="both"/>
        <w:rPr>
          <w:rFonts w:ascii="NewBaskerville" w:hAnsi="NewBaskerville"/>
          <w:bCs/>
        </w:rPr>
      </w:pPr>
    </w:p>
    <w:p w:rsidR="005A1210" w:rsidRDefault="005A1210" w:rsidP="00257560">
      <w:pPr>
        <w:tabs>
          <w:tab w:val="right" w:pos="8364"/>
        </w:tabs>
        <w:ind w:firstLine="540"/>
        <w:jc w:val="both"/>
        <w:rPr>
          <w:bCs/>
        </w:rPr>
      </w:pPr>
    </w:p>
    <w:p w:rsidR="00D96A20" w:rsidRDefault="00D96A20" w:rsidP="00257560">
      <w:pPr>
        <w:tabs>
          <w:tab w:val="right" w:pos="8364"/>
        </w:tabs>
        <w:ind w:firstLine="540"/>
        <w:jc w:val="both"/>
        <w:rPr>
          <w:bCs/>
        </w:rPr>
      </w:pPr>
    </w:p>
    <w:p w:rsidR="004B000D" w:rsidRDefault="004B000D" w:rsidP="00FC791B">
      <w:pPr>
        <w:tabs>
          <w:tab w:val="right" w:pos="8364"/>
        </w:tabs>
        <w:jc w:val="both"/>
        <w:rPr>
          <w:bCs/>
        </w:rPr>
      </w:pPr>
    </w:p>
    <w:p w:rsidR="004B000D" w:rsidRDefault="004B000D" w:rsidP="00257560">
      <w:pPr>
        <w:tabs>
          <w:tab w:val="right" w:pos="8364"/>
        </w:tabs>
        <w:ind w:firstLine="540"/>
        <w:jc w:val="both"/>
        <w:rPr>
          <w:bCs/>
        </w:rPr>
      </w:pPr>
    </w:p>
    <w:p w:rsidR="004B000D" w:rsidRDefault="00FC791B" w:rsidP="00FC791B">
      <w:pPr>
        <w:tabs>
          <w:tab w:val="left" w:pos="997"/>
        </w:tabs>
        <w:ind w:firstLine="540"/>
        <w:jc w:val="both"/>
        <w:rPr>
          <w:bCs/>
        </w:rPr>
      </w:pPr>
      <w:r>
        <w:rPr>
          <w:bCs/>
        </w:rPr>
        <w:tab/>
      </w:r>
    </w:p>
    <w:p w:rsidR="00FC791B" w:rsidRDefault="00FC791B" w:rsidP="00FC791B">
      <w:pPr>
        <w:tabs>
          <w:tab w:val="left" w:pos="997"/>
        </w:tabs>
        <w:ind w:firstLine="540"/>
        <w:jc w:val="both"/>
        <w:rPr>
          <w:bCs/>
        </w:rPr>
      </w:pPr>
    </w:p>
    <w:p w:rsidR="00FC791B" w:rsidRDefault="00FC791B" w:rsidP="00FC791B">
      <w:pPr>
        <w:tabs>
          <w:tab w:val="left" w:pos="997"/>
        </w:tabs>
        <w:ind w:firstLine="540"/>
        <w:jc w:val="both"/>
        <w:rPr>
          <w:bCs/>
        </w:rPr>
      </w:pPr>
    </w:p>
    <w:p w:rsidR="004B000D" w:rsidRDefault="004B000D" w:rsidP="00257560">
      <w:pPr>
        <w:tabs>
          <w:tab w:val="right" w:pos="8364"/>
        </w:tabs>
        <w:ind w:firstLine="540"/>
        <w:jc w:val="both"/>
        <w:rPr>
          <w:bCs/>
        </w:rPr>
      </w:pPr>
    </w:p>
    <w:p w:rsidR="00187A36" w:rsidRDefault="00187A36" w:rsidP="00FC791B">
      <w:pPr>
        <w:tabs>
          <w:tab w:val="right" w:pos="567"/>
          <w:tab w:val="right" w:pos="8364"/>
        </w:tabs>
        <w:jc w:val="both"/>
        <w:rPr>
          <w:bCs/>
          <w:noProof/>
          <w:lang w:val="es-ES"/>
        </w:rPr>
      </w:pPr>
    </w:p>
    <w:p w:rsidR="004B000D" w:rsidRDefault="004B000D" w:rsidP="00FC791B">
      <w:pPr>
        <w:tabs>
          <w:tab w:val="right" w:pos="567"/>
          <w:tab w:val="right" w:pos="8364"/>
        </w:tabs>
        <w:jc w:val="both"/>
        <w:rPr>
          <w:bCs/>
        </w:rPr>
      </w:pPr>
    </w:p>
    <w:p w:rsidR="004B000D" w:rsidRDefault="004B000D" w:rsidP="00257560">
      <w:pPr>
        <w:tabs>
          <w:tab w:val="right" w:pos="8364"/>
        </w:tabs>
        <w:ind w:firstLine="540"/>
        <w:jc w:val="both"/>
        <w:rPr>
          <w:bCs/>
        </w:rPr>
      </w:pPr>
    </w:p>
    <w:p w:rsidR="004B000D" w:rsidRDefault="004B000D" w:rsidP="00257560">
      <w:pPr>
        <w:tabs>
          <w:tab w:val="right" w:pos="8364"/>
        </w:tabs>
        <w:ind w:firstLine="540"/>
        <w:jc w:val="both"/>
        <w:rPr>
          <w:bCs/>
        </w:rPr>
      </w:pPr>
    </w:p>
    <w:p w:rsidR="00B65CD5" w:rsidRDefault="00B65CD5" w:rsidP="00257560">
      <w:pPr>
        <w:tabs>
          <w:tab w:val="right" w:pos="8364"/>
        </w:tabs>
        <w:ind w:firstLine="540"/>
        <w:jc w:val="both"/>
        <w:rPr>
          <w:bCs/>
        </w:rPr>
      </w:pPr>
    </w:p>
    <w:p w:rsidR="00B65CD5" w:rsidRDefault="00B65CD5" w:rsidP="00FC791B">
      <w:pPr>
        <w:tabs>
          <w:tab w:val="right" w:pos="8364"/>
        </w:tabs>
        <w:jc w:val="both"/>
        <w:rPr>
          <w:bCs/>
        </w:rPr>
      </w:pPr>
    </w:p>
    <w:p w:rsidR="00B65CD5" w:rsidRDefault="00B65CD5" w:rsidP="00FC791B">
      <w:pPr>
        <w:tabs>
          <w:tab w:val="right" w:pos="8364"/>
        </w:tabs>
        <w:jc w:val="both"/>
        <w:rPr>
          <w:bCs/>
        </w:rPr>
      </w:pPr>
    </w:p>
    <w:p w:rsidR="00B65CD5" w:rsidRDefault="00B65CD5" w:rsidP="00257560">
      <w:pPr>
        <w:tabs>
          <w:tab w:val="right" w:pos="8364"/>
        </w:tabs>
        <w:ind w:firstLine="540"/>
        <w:jc w:val="both"/>
        <w:rPr>
          <w:bCs/>
        </w:rPr>
      </w:pPr>
    </w:p>
    <w:p w:rsidR="004B000D" w:rsidRDefault="004B000D" w:rsidP="00257560">
      <w:pPr>
        <w:tabs>
          <w:tab w:val="right" w:pos="8364"/>
        </w:tabs>
        <w:ind w:firstLine="540"/>
        <w:jc w:val="both"/>
        <w:rPr>
          <w:bCs/>
        </w:rPr>
      </w:pPr>
    </w:p>
    <w:p w:rsidR="003252D8" w:rsidRDefault="003252D8" w:rsidP="00257560">
      <w:pPr>
        <w:tabs>
          <w:tab w:val="right" w:pos="8364"/>
        </w:tabs>
        <w:ind w:firstLine="540"/>
        <w:jc w:val="both"/>
        <w:rPr>
          <w:bCs/>
        </w:rPr>
      </w:pPr>
    </w:p>
    <w:p w:rsidR="00BF6E86" w:rsidRDefault="00BF6E86" w:rsidP="00257560">
      <w:pPr>
        <w:tabs>
          <w:tab w:val="right" w:pos="8364"/>
        </w:tabs>
        <w:ind w:firstLine="540"/>
        <w:jc w:val="both"/>
        <w:rPr>
          <w:bCs/>
        </w:rPr>
        <w:sectPr w:rsidR="00BF6E86" w:rsidSect="00790C4F">
          <w:pgSz w:w="11907" w:h="16840" w:code="9"/>
          <w:pgMar w:top="1701" w:right="1418" w:bottom="1701" w:left="1985" w:header="567" w:footer="720" w:gutter="0"/>
          <w:cols w:space="720"/>
          <w:docGrid w:linePitch="272"/>
        </w:sectPr>
      </w:pPr>
    </w:p>
    <w:p w:rsidR="003252D8" w:rsidRDefault="003252D8" w:rsidP="00257560">
      <w:pPr>
        <w:tabs>
          <w:tab w:val="right" w:pos="8364"/>
        </w:tabs>
        <w:ind w:firstLine="540"/>
        <w:jc w:val="both"/>
        <w:rPr>
          <w:bCs/>
        </w:rPr>
      </w:pPr>
    </w:p>
    <w:p w:rsidR="00187A36" w:rsidRPr="007F67C2" w:rsidRDefault="00F706A9" w:rsidP="00187A36">
      <w:pPr>
        <w:tabs>
          <w:tab w:val="right" w:pos="8364"/>
        </w:tabs>
        <w:jc w:val="both"/>
        <w:rPr>
          <w:rFonts w:ascii="NewBaskerville" w:hAnsi="NewBaskerville"/>
          <w:bCs/>
          <w:color w:val="FF0000"/>
          <w:sz w:val="24"/>
        </w:rPr>
      </w:pPr>
      <w:r w:rsidRPr="007F67C2">
        <w:rPr>
          <w:rFonts w:ascii="NewBaskerville" w:hAnsi="NewBaskerville"/>
          <w:b/>
          <w:bCs/>
          <w:sz w:val="24"/>
          <w:szCs w:val="24"/>
        </w:rPr>
        <w:t>9</w:t>
      </w:r>
      <w:r w:rsidR="00187A36" w:rsidRPr="007F67C2">
        <w:rPr>
          <w:rFonts w:ascii="NewBaskerville" w:hAnsi="NewBaskerville"/>
          <w:b/>
          <w:bCs/>
          <w:sz w:val="24"/>
          <w:szCs w:val="24"/>
        </w:rPr>
        <w:t>. Instrumentos financieros</w:t>
      </w:r>
    </w:p>
    <w:p w:rsidR="00187A36" w:rsidRDefault="00187A36" w:rsidP="00187A36"/>
    <w:p w:rsidR="00920A02" w:rsidRDefault="003F24D6" w:rsidP="00920A02">
      <w:pPr>
        <w:ind w:firstLine="567"/>
        <w:rPr>
          <w:rFonts w:ascii="NewBaskerville" w:hAnsi="NewBaskerville"/>
        </w:rPr>
      </w:pPr>
      <w:r>
        <w:rPr>
          <w:rFonts w:ascii="NewBaskerville" w:hAnsi="NewBaskerville"/>
        </w:rPr>
        <w:t>Seguidamente</w:t>
      </w:r>
      <w:r w:rsidR="00920A02">
        <w:rPr>
          <w:rFonts w:ascii="NewBaskerville" w:hAnsi="NewBaskerville"/>
        </w:rPr>
        <w:t xml:space="preserve"> se muestran el valor en libros de cada una de las categorías de activos financieros y pasivos financieros.</w:t>
      </w:r>
    </w:p>
    <w:p w:rsidR="00920A02" w:rsidRDefault="00920A02" w:rsidP="00920A02">
      <w:pPr>
        <w:ind w:firstLine="567"/>
        <w:rPr>
          <w:rFonts w:ascii="NewBaskerville" w:hAnsi="NewBaskerville"/>
        </w:rPr>
      </w:pPr>
    </w:p>
    <w:p w:rsidR="00920A02" w:rsidRDefault="00920A02" w:rsidP="00920A02">
      <w:pPr>
        <w:ind w:firstLine="567"/>
        <w:rPr>
          <w:rFonts w:ascii="NewBaskerville" w:hAnsi="NewBaskerville"/>
        </w:rPr>
      </w:pPr>
    </w:p>
    <w:p w:rsidR="00920A02" w:rsidRDefault="00920A02" w:rsidP="00920A02">
      <w:pPr>
        <w:ind w:firstLine="567"/>
        <w:rPr>
          <w:rFonts w:ascii="NewBaskerville" w:hAnsi="NewBaskerville"/>
        </w:rPr>
      </w:pPr>
    </w:p>
    <w:p w:rsidR="00920A02" w:rsidRPr="00920A02" w:rsidRDefault="00920A02" w:rsidP="00920A02">
      <w:pPr>
        <w:ind w:firstLine="567"/>
        <w:rPr>
          <w:rFonts w:ascii="NewBaskerville" w:hAnsi="NewBaskerville"/>
        </w:rPr>
      </w:pPr>
    </w:p>
    <w:tbl>
      <w:tblPr>
        <w:tblW w:w="5000" w:type="pct"/>
        <w:tblCellMar>
          <w:left w:w="70" w:type="dxa"/>
          <w:right w:w="70" w:type="dxa"/>
        </w:tblCellMar>
        <w:tblLook w:val="04A0" w:firstRow="1" w:lastRow="0" w:firstColumn="1" w:lastColumn="0" w:noHBand="0" w:noVBand="1"/>
      </w:tblPr>
      <w:tblGrid>
        <w:gridCol w:w="2160"/>
        <w:gridCol w:w="543"/>
        <w:gridCol w:w="542"/>
        <w:gridCol w:w="622"/>
        <w:gridCol w:w="624"/>
        <w:gridCol w:w="1039"/>
        <w:gridCol w:w="1018"/>
        <w:gridCol w:w="557"/>
        <w:gridCol w:w="556"/>
        <w:gridCol w:w="618"/>
        <w:gridCol w:w="628"/>
        <w:gridCol w:w="1189"/>
        <w:gridCol w:w="1104"/>
        <w:gridCol w:w="1189"/>
        <w:gridCol w:w="1189"/>
      </w:tblGrid>
      <w:tr w:rsidR="009841A9" w:rsidRPr="009841A9" w:rsidTr="009841A9">
        <w:trPr>
          <w:trHeight w:val="300"/>
        </w:trPr>
        <w:tc>
          <w:tcPr>
            <w:tcW w:w="2051" w:type="pct"/>
            <w:gridSpan w:val="6"/>
            <w:tcBorders>
              <w:top w:val="nil"/>
              <w:left w:val="nil"/>
              <w:bottom w:val="single" w:sz="4" w:space="0" w:color="auto"/>
              <w:right w:val="nil"/>
            </w:tcBorders>
            <w:shd w:val="clear" w:color="000000" w:fill="FFFFFF"/>
            <w:noWrap/>
            <w:vAlign w:val="bottom"/>
            <w:hideMark/>
          </w:tcPr>
          <w:p w:rsidR="009841A9" w:rsidRPr="009841A9" w:rsidRDefault="009841A9" w:rsidP="009841A9">
            <w:pPr>
              <w:rPr>
                <w:rFonts w:ascii="Lucida Bright" w:hAnsi="Lucida Bright" w:cs="Calibri"/>
                <w:b/>
                <w:bCs/>
                <w:sz w:val="18"/>
                <w:szCs w:val="18"/>
                <w:lang w:val="es-ES"/>
              </w:rPr>
            </w:pPr>
            <w:r w:rsidRPr="009841A9">
              <w:rPr>
                <w:rFonts w:ascii="Lucida Bright" w:hAnsi="Lucida Bright" w:cs="Calibri"/>
                <w:b/>
                <w:bCs/>
                <w:sz w:val="18"/>
                <w:szCs w:val="18"/>
                <w:lang w:val="es-ES"/>
              </w:rPr>
              <w:t>CUADRO: CATEGORÍAS DE ACTIVOS FINANCIEROS 2023</w:t>
            </w:r>
          </w:p>
        </w:tc>
        <w:tc>
          <w:tcPr>
            <w:tcW w:w="360" w:type="pct"/>
            <w:tcBorders>
              <w:top w:val="nil"/>
              <w:left w:val="nil"/>
              <w:bottom w:val="nil"/>
              <w:right w:val="nil"/>
            </w:tcBorders>
            <w:shd w:val="clear" w:color="000000" w:fill="FFFFFF"/>
            <w:noWrap/>
            <w:vAlign w:val="bottom"/>
            <w:hideMark/>
          </w:tcPr>
          <w:p w:rsidR="009841A9" w:rsidRPr="009841A9" w:rsidRDefault="009841A9" w:rsidP="009841A9">
            <w:pPr>
              <w:rPr>
                <w:rFonts w:ascii="Lucida Bright" w:hAnsi="Lucida Bright" w:cs="Calibri"/>
                <w:sz w:val="14"/>
                <w:szCs w:val="14"/>
                <w:lang w:val="es-ES"/>
              </w:rPr>
            </w:pPr>
            <w:r w:rsidRPr="009841A9">
              <w:rPr>
                <w:rFonts w:ascii="Lucida Bright" w:hAnsi="Lucida Bright" w:cs="Calibri"/>
                <w:sz w:val="14"/>
                <w:szCs w:val="14"/>
                <w:lang w:val="es-ES"/>
              </w:rPr>
              <w:t> </w:t>
            </w:r>
          </w:p>
        </w:tc>
        <w:tc>
          <w:tcPr>
            <w:tcW w:w="233" w:type="pct"/>
            <w:tcBorders>
              <w:top w:val="nil"/>
              <w:left w:val="nil"/>
              <w:bottom w:val="nil"/>
              <w:right w:val="nil"/>
            </w:tcBorders>
            <w:shd w:val="clear" w:color="auto" w:fill="auto"/>
            <w:noWrap/>
            <w:vAlign w:val="bottom"/>
            <w:hideMark/>
          </w:tcPr>
          <w:p w:rsidR="009841A9" w:rsidRPr="009841A9" w:rsidRDefault="009841A9" w:rsidP="009841A9">
            <w:pPr>
              <w:rPr>
                <w:rFonts w:ascii="Calibri" w:hAnsi="Calibri" w:cs="Calibri"/>
                <w:color w:val="000000"/>
                <w:sz w:val="22"/>
                <w:szCs w:val="22"/>
                <w:lang w:val="es-ES"/>
              </w:rPr>
            </w:pPr>
          </w:p>
        </w:tc>
        <w:tc>
          <w:tcPr>
            <w:tcW w:w="467" w:type="pct"/>
            <w:gridSpan w:val="2"/>
            <w:tcBorders>
              <w:top w:val="nil"/>
              <w:left w:val="nil"/>
              <w:bottom w:val="single" w:sz="4" w:space="0" w:color="auto"/>
              <w:right w:val="nil"/>
            </w:tcBorders>
            <w:shd w:val="clear" w:color="000000" w:fill="FFFFFF"/>
            <w:noWrap/>
            <w:vAlign w:val="bottom"/>
            <w:hideMark/>
          </w:tcPr>
          <w:p w:rsidR="009841A9" w:rsidRPr="009841A9" w:rsidRDefault="009841A9" w:rsidP="009841A9">
            <w:pPr>
              <w:jc w:val="center"/>
              <w:rPr>
                <w:rFonts w:ascii="Lucida Bright" w:hAnsi="Lucida Bright" w:cs="Calibri"/>
                <w:sz w:val="14"/>
                <w:szCs w:val="14"/>
                <w:lang w:val="es-ES"/>
              </w:rPr>
            </w:pPr>
            <w:r w:rsidRPr="009841A9">
              <w:rPr>
                <w:rFonts w:ascii="Lucida Bright" w:hAnsi="Lucida Bright" w:cs="Calibri"/>
                <w:sz w:val="14"/>
                <w:szCs w:val="14"/>
                <w:lang w:val="es-ES"/>
              </w:rPr>
              <w:t>(en euros)</w:t>
            </w:r>
          </w:p>
        </w:tc>
        <w:tc>
          <w:tcPr>
            <w:tcW w:w="240" w:type="pct"/>
            <w:tcBorders>
              <w:top w:val="nil"/>
              <w:left w:val="nil"/>
              <w:bottom w:val="nil"/>
              <w:right w:val="nil"/>
            </w:tcBorders>
            <w:shd w:val="clear" w:color="auto" w:fill="auto"/>
            <w:noWrap/>
            <w:vAlign w:val="bottom"/>
            <w:hideMark/>
          </w:tcPr>
          <w:p w:rsidR="009841A9" w:rsidRPr="009841A9" w:rsidRDefault="009841A9" w:rsidP="009841A9">
            <w:pPr>
              <w:rPr>
                <w:rFonts w:ascii="Calibri" w:hAnsi="Calibri" w:cs="Calibri"/>
                <w:color w:val="000000"/>
                <w:sz w:val="22"/>
                <w:szCs w:val="22"/>
                <w:lang w:val="es-ES"/>
              </w:rPr>
            </w:pPr>
          </w:p>
        </w:tc>
        <w:tc>
          <w:tcPr>
            <w:tcW w:w="420" w:type="pct"/>
            <w:tcBorders>
              <w:top w:val="nil"/>
              <w:left w:val="nil"/>
              <w:bottom w:val="nil"/>
              <w:right w:val="nil"/>
            </w:tcBorders>
            <w:shd w:val="clear" w:color="auto" w:fill="auto"/>
            <w:noWrap/>
            <w:vAlign w:val="bottom"/>
            <w:hideMark/>
          </w:tcPr>
          <w:p w:rsidR="009841A9" w:rsidRPr="009841A9" w:rsidRDefault="009841A9" w:rsidP="009841A9">
            <w:pPr>
              <w:rPr>
                <w:rFonts w:ascii="Calibri" w:hAnsi="Calibri" w:cs="Calibri"/>
                <w:color w:val="000000"/>
                <w:sz w:val="22"/>
                <w:szCs w:val="22"/>
                <w:lang w:val="es-ES"/>
              </w:rPr>
            </w:pPr>
          </w:p>
        </w:tc>
        <w:tc>
          <w:tcPr>
            <w:tcW w:w="390" w:type="pct"/>
            <w:tcBorders>
              <w:top w:val="nil"/>
              <w:left w:val="nil"/>
              <w:bottom w:val="nil"/>
              <w:right w:val="nil"/>
            </w:tcBorders>
            <w:shd w:val="clear" w:color="auto" w:fill="auto"/>
            <w:noWrap/>
            <w:vAlign w:val="bottom"/>
            <w:hideMark/>
          </w:tcPr>
          <w:p w:rsidR="009841A9" w:rsidRPr="009841A9" w:rsidRDefault="009841A9" w:rsidP="009841A9">
            <w:pPr>
              <w:rPr>
                <w:rFonts w:ascii="Calibri" w:hAnsi="Calibri" w:cs="Calibri"/>
                <w:color w:val="000000"/>
                <w:sz w:val="22"/>
                <w:szCs w:val="22"/>
                <w:lang w:val="es-ES"/>
              </w:rPr>
            </w:pPr>
          </w:p>
        </w:tc>
        <w:tc>
          <w:tcPr>
            <w:tcW w:w="420" w:type="pct"/>
            <w:tcBorders>
              <w:top w:val="nil"/>
              <w:left w:val="nil"/>
              <w:bottom w:val="nil"/>
              <w:right w:val="nil"/>
            </w:tcBorders>
            <w:shd w:val="clear" w:color="auto" w:fill="auto"/>
            <w:noWrap/>
            <w:vAlign w:val="bottom"/>
            <w:hideMark/>
          </w:tcPr>
          <w:p w:rsidR="009841A9" w:rsidRPr="009841A9" w:rsidRDefault="009841A9" w:rsidP="009841A9">
            <w:pPr>
              <w:rPr>
                <w:rFonts w:ascii="Calibri" w:hAnsi="Calibri" w:cs="Calibri"/>
                <w:color w:val="000000"/>
                <w:sz w:val="22"/>
                <w:szCs w:val="22"/>
                <w:lang w:val="es-ES"/>
              </w:rPr>
            </w:pPr>
          </w:p>
        </w:tc>
        <w:tc>
          <w:tcPr>
            <w:tcW w:w="420" w:type="pct"/>
            <w:tcBorders>
              <w:top w:val="nil"/>
              <w:left w:val="nil"/>
              <w:bottom w:val="nil"/>
              <w:right w:val="nil"/>
            </w:tcBorders>
            <w:shd w:val="clear" w:color="auto" w:fill="auto"/>
            <w:noWrap/>
            <w:vAlign w:val="bottom"/>
            <w:hideMark/>
          </w:tcPr>
          <w:p w:rsidR="009841A9" w:rsidRPr="009841A9" w:rsidRDefault="009841A9" w:rsidP="009841A9">
            <w:pPr>
              <w:rPr>
                <w:rFonts w:ascii="Calibri" w:hAnsi="Calibri" w:cs="Calibri"/>
                <w:color w:val="000000"/>
                <w:sz w:val="22"/>
                <w:szCs w:val="22"/>
                <w:lang w:val="es-ES"/>
              </w:rPr>
            </w:pPr>
          </w:p>
        </w:tc>
      </w:tr>
      <w:tr w:rsidR="009841A9" w:rsidRPr="009841A9" w:rsidTr="009841A9">
        <w:trPr>
          <w:trHeight w:val="240"/>
        </w:trPr>
        <w:tc>
          <w:tcPr>
            <w:tcW w:w="822" w:type="pct"/>
            <w:tcBorders>
              <w:top w:val="nil"/>
              <w:left w:val="single" w:sz="4" w:space="0" w:color="auto"/>
              <w:bottom w:val="nil"/>
              <w:right w:val="single" w:sz="4" w:space="0" w:color="auto"/>
            </w:tcBorders>
            <w:shd w:val="clear" w:color="000000" w:fill="CCFFCC"/>
            <w:noWrap/>
            <w:vAlign w:val="center"/>
            <w:hideMark/>
          </w:tcPr>
          <w:p w:rsidR="009841A9" w:rsidRPr="009841A9" w:rsidRDefault="009841A9" w:rsidP="009841A9">
            <w:pP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 xml:space="preserve">                          Clases                                                                        </w:t>
            </w:r>
          </w:p>
        </w:tc>
        <w:tc>
          <w:tcPr>
            <w:tcW w:w="1588" w:type="pct"/>
            <w:gridSpan w:val="6"/>
            <w:tcBorders>
              <w:top w:val="single" w:sz="4" w:space="0" w:color="auto"/>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Instrumentos financieros a largo plazo</w:t>
            </w:r>
          </w:p>
        </w:tc>
        <w:tc>
          <w:tcPr>
            <w:tcW w:w="1750" w:type="pct"/>
            <w:gridSpan w:val="6"/>
            <w:tcBorders>
              <w:top w:val="single" w:sz="4" w:space="0" w:color="auto"/>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Instrumentos financieros a corto plazo</w:t>
            </w:r>
          </w:p>
        </w:tc>
        <w:tc>
          <w:tcPr>
            <w:tcW w:w="840" w:type="pct"/>
            <w:gridSpan w:val="2"/>
            <w:vMerge w:val="restart"/>
            <w:tcBorders>
              <w:top w:val="single" w:sz="4" w:space="0" w:color="auto"/>
              <w:left w:val="single" w:sz="4" w:space="0" w:color="auto"/>
              <w:bottom w:val="single" w:sz="4" w:space="0" w:color="000000"/>
              <w:right w:val="single" w:sz="4" w:space="0" w:color="000000"/>
            </w:tcBorders>
            <w:shd w:val="clear" w:color="000000" w:fill="CCFFCC"/>
            <w:vAlign w:val="center"/>
            <w:hideMark/>
          </w:tcPr>
          <w:p w:rsidR="009841A9" w:rsidRPr="009841A9" w:rsidRDefault="009841A9" w:rsidP="009841A9">
            <w:pPr>
              <w:jc w:val="cente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Total</w:t>
            </w:r>
          </w:p>
        </w:tc>
      </w:tr>
      <w:tr w:rsidR="009841A9" w:rsidRPr="009841A9" w:rsidTr="009841A9">
        <w:trPr>
          <w:trHeight w:val="570"/>
        </w:trPr>
        <w:tc>
          <w:tcPr>
            <w:tcW w:w="822" w:type="pct"/>
            <w:tcBorders>
              <w:top w:val="nil"/>
              <w:left w:val="single" w:sz="4" w:space="0" w:color="auto"/>
              <w:bottom w:val="nil"/>
              <w:right w:val="single" w:sz="4" w:space="0" w:color="auto"/>
              <w:tl2br w:val="single" w:sz="4" w:space="0" w:color="auto"/>
            </w:tcBorders>
            <w:shd w:val="clear" w:color="000000" w:fill="CCFFCC"/>
            <w:noWrap/>
            <w:hideMark/>
          </w:tcPr>
          <w:p w:rsidR="009841A9" w:rsidRPr="009841A9" w:rsidRDefault="009841A9" w:rsidP="009841A9">
            <w:pP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 </w:t>
            </w:r>
          </w:p>
        </w:tc>
        <w:tc>
          <w:tcPr>
            <w:tcW w:w="386" w:type="pct"/>
            <w:gridSpan w:val="2"/>
            <w:tcBorders>
              <w:top w:val="single" w:sz="4" w:space="0" w:color="auto"/>
              <w:left w:val="nil"/>
              <w:bottom w:val="single" w:sz="4" w:space="0" w:color="auto"/>
              <w:right w:val="single" w:sz="4" w:space="0" w:color="000000"/>
            </w:tcBorders>
            <w:shd w:val="clear" w:color="000000" w:fill="CCFFCC"/>
            <w:vAlign w:val="center"/>
            <w:hideMark/>
          </w:tcPr>
          <w:p w:rsidR="009841A9" w:rsidRPr="009841A9" w:rsidRDefault="009841A9" w:rsidP="009841A9">
            <w:pPr>
              <w:jc w:val="cente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Instrumentos de patrimonio</w:t>
            </w:r>
          </w:p>
        </w:tc>
        <w:tc>
          <w:tcPr>
            <w:tcW w:w="443" w:type="pct"/>
            <w:gridSpan w:val="2"/>
            <w:tcBorders>
              <w:top w:val="single" w:sz="4" w:space="0" w:color="auto"/>
              <w:left w:val="nil"/>
              <w:bottom w:val="single" w:sz="4" w:space="0" w:color="auto"/>
              <w:right w:val="single" w:sz="4" w:space="0" w:color="auto"/>
            </w:tcBorders>
            <w:shd w:val="clear" w:color="000000" w:fill="CCFFCC"/>
            <w:vAlign w:val="center"/>
            <w:hideMark/>
          </w:tcPr>
          <w:p w:rsidR="009841A9" w:rsidRPr="009841A9" w:rsidRDefault="009841A9" w:rsidP="009841A9">
            <w:pPr>
              <w:jc w:val="cente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Valores representativos de deuda</w:t>
            </w:r>
          </w:p>
        </w:tc>
        <w:tc>
          <w:tcPr>
            <w:tcW w:w="759" w:type="pct"/>
            <w:gridSpan w:val="2"/>
            <w:tcBorders>
              <w:top w:val="single" w:sz="4" w:space="0" w:color="auto"/>
              <w:left w:val="nil"/>
              <w:bottom w:val="single" w:sz="4" w:space="0" w:color="auto"/>
              <w:right w:val="single" w:sz="4" w:space="0" w:color="auto"/>
            </w:tcBorders>
            <w:shd w:val="clear" w:color="000000" w:fill="CCFFCC"/>
            <w:vAlign w:val="center"/>
            <w:hideMark/>
          </w:tcPr>
          <w:p w:rsidR="009841A9" w:rsidRPr="009841A9" w:rsidRDefault="009841A9" w:rsidP="009841A9">
            <w:pPr>
              <w:jc w:val="cente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Créditos Derivados y otros</w:t>
            </w:r>
          </w:p>
        </w:tc>
        <w:tc>
          <w:tcPr>
            <w:tcW w:w="464" w:type="pct"/>
            <w:gridSpan w:val="2"/>
            <w:tcBorders>
              <w:top w:val="single" w:sz="4" w:space="0" w:color="auto"/>
              <w:left w:val="nil"/>
              <w:bottom w:val="single" w:sz="4" w:space="0" w:color="auto"/>
              <w:right w:val="single" w:sz="4" w:space="0" w:color="000000"/>
            </w:tcBorders>
            <w:shd w:val="clear" w:color="000000" w:fill="CCFFCC"/>
            <w:vAlign w:val="center"/>
            <w:hideMark/>
          </w:tcPr>
          <w:p w:rsidR="009841A9" w:rsidRPr="009841A9" w:rsidRDefault="009841A9" w:rsidP="009841A9">
            <w:pPr>
              <w:jc w:val="cente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Instrumentos de patrimonio</w:t>
            </w:r>
          </w:p>
        </w:tc>
        <w:tc>
          <w:tcPr>
            <w:tcW w:w="476" w:type="pct"/>
            <w:gridSpan w:val="2"/>
            <w:tcBorders>
              <w:top w:val="single" w:sz="4" w:space="0" w:color="auto"/>
              <w:left w:val="nil"/>
              <w:bottom w:val="single" w:sz="4" w:space="0" w:color="auto"/>
              <w:right w:val="single" w:sz="4" w:space="0" w:color="auto"/>
            </w:tcBorders>
            <w:shd w:val="clear" w:color="000000" w:fill="CCFFCC"/>
            <w:vAlign w:val="center"/>
            <w:hideMark/>
          </w:tcPr>
          <w:p w:rsidR="009841A9" w:rsidRPr="009841A9" w:rsidRDefault="009841A9" w:rsidP="009841A9">
            <w:pPr>
              <w:jc w:val="cente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Valores representativos de deuda</w:t>
            </w:r>
          </w:p>
        </w:tc>
        <w:tc>
          <w:tcPr>
            <w:tcW w:w="810" w:type="pct"/>
            <w:gridSpan w:val="2"/>
            <w:tcBorders>
              <w:top w:val="single" w:sz="4" w:space="0" w:color="auto"/>
              <w:left w:val="nil"/>
              <w:bottom w:val="single" w:sz="4" w:space="0" w:color="auto"/>
              <w:right w:val="single" w:sz="4" w:space="0" w:color="auto"/>
            </w:tcBorders>
            <w:shd w:val="clear" w:color="000000" w:fill="CCFFCC"/>
            <w:vAlign w:val="center"/>
            <w:hideMark/>
          </w:tcPr>
          <w:p w:rsidR="009841A9" w:rsidRPr="009841A9" w:rsidRDefault="009841A9" w:rsidP="009841A9">
            <w:pPr>
              <w:jc w:val="cente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Créditos Derivados y otros</w:t>
            </w:r>
          </w:p>
        </w:tc>
        <w:tc>
          <w:tcPr>
            <w:tcW w:w="840" w:type="pct"/>
            <w:gridSpan w:val="2"/>
            <w:vMerge/>
            <w:tcBorders>
              <w:top w:val="single" w:sz="4" w:space="0" w:color="auto"/>
              <w:left w:val="single" w:sz="4" w:space="0" w:color="auto"/>
              <w:bottom w:val="single" w:sz="4" w:space="0" w:color="000000"/>
              <w:right w:val="single" w:sz="4" w:space="0" w:color="000000"/>
            </w:tcBorders>
            <w:vAlign w:val="center"/>
            <w:hideMark/>
          </w:tcPr>
          <w:p w:rsidR="009841A9" w:rsidRPr="009841A9" w:rsidRDefault="009841A9" w:rsidP="009841A9">
            <w:pPr>
              <w:rPr>
                <w:rFonts w:ascii="Lucida Bright" w:hAnsi="Lucida Bright" w:cs="Calibri"/>
                <w:b/>
                <w:bCs/>
                <w:color w:val="000000"/>
                <w:sz w:val="14"/>
                <w:szCs w:val="14"/>
                <w:lang w:val="es-ES"/>
              </w:rPr>
            </w:pPr>
          </w:p>
        </w:tc>
      </w:tr>
      <w:tr w:rsidR="009841A9" w:rsidRPr="009841A9" w:rsidTr="009841A9">
        <w:trPr>
          <w:trHeight w:val="240"/>
        </w:trPr>
        <w:tc>
          <w:tcPr>
            <w:tcW w:w="822" w:type="pct"/>
            <w:tcBorders>
              <w:top w:val="nil"/>
              <w:left w:val="single" w:sz="4" w:space="0" w:color="auto"/>
              <w:bottom w:val="single" w:sz="4" w:space="0" w:color="auto"/>
              <w:right w:val="single" w:sz="4" w:space="0" w:color="auto"/>
            </w:tcBorders>
            <w:shd w:val="clear" w:color="000000" w:fill="CCFFCC"/>
            <w:noWrap/>
            <w:hideMark/>
          </w:tcPr>
          <w:p w:rsidR="009841A9" w:rsidRPr="009841A9" w:rsidRDefault="009841A9" w:rsidP="009841A9">
            <w:pP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Categorías</w:t>
            </w:r>
          </w:p>
        </w:tc>
        <w:tc>
          <w:tcPr>
            <w:tcW w:w="193"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2023</w:t>
            </w:r>
          </w:p>
        </w:tc>
        <w:tc>
          <w:tcPr>
            <w:tcW w:w="193"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2022</w:t>
            </w:r>
          </w:p>
        </w:tc>
        <w:tc>
          <w:tcPr>
            <w:tcW w:w="221"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2023</w:t>
            </w:r>
          </w:p>
        </w:tc>
        <w:tc>
          <w:tcPr>
            <w:tcW w:w="221"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2022</w:t>
            </w:r>
          </w:p>
        </w:tc>
        <w:tc>
          <w:tcPr>
            <w:tcW w:w="399"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2023</w:t>
            </w:r>
          </w:p>
        </w:tc>
        <w:tc>
          <w:tcPr>
            <w:tcW w:w="360"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2022</w:t>
            </w:r>
          </w:p>
        </w:tc>
        <w:tc>
          <w:tcPr>
            <w:tcW w:w="233"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2023</w:t>
            </w:r>
          </w:p>
        </w:tc>
        <w:tc>
          <w:tcPr>
            <w:tcW w:w="231"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2022</w:t>
            </w:r>
          </w:p>
        </w:tc>
        <w:tc>
          <w:tcPr>
            <w:tcW w:w="236"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2023</w:t>
            </w:r>
          </w:p>
        </w:tc>
        <w:tc>
          <w:tcPr>
            <w:tcW w:w="240"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2022</w:t>
            </w:r>
          </w:p>
        </w:tc>
        <w:tc>
          <w:tcPr>
            <w:tcW w:w="420"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2023</w:t>
            </w:r>
          </w:p>
        </w:tc>
        <w:tc>
          <w:tcPr>
            <w:tcW w:w="390"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2022</w:t>
            </w:r>
          </w:p>
        </w:tc>
        <w:tc>
          <w:tcPr>
            <w:tcW w:w="420"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2023</w:t>
            </w:r>
          </w:p>
        </w:tc>
        <w:tc>
          <w:tcPr>
            <w:tcW w:w="420"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2022</w:t>
            </w:r>
          </w:p>
        </w:tc>
      </w:tr>
      <w:tr w:rsidR="009841A9" w:rsidRPr="009841A9" w:rsidTr="009841A9">
        <w:trPr>
          <w:trHeight w:val="615"/>
        </w:trPr>
        <w:tc>
          <w:tcPr>
            <w:tcW w:w="822" w:type="pct"/>
            <w:tcBorders>
              <w:top w:val="nil"/>
              <w:left w:val="single" w:sz="4" w:space="0" w:color="auto"/>
              <w:bottom w:val="single" w:sz="4" w:space="0" w:color="auto"/>
              <w:right w:val="single" w:sz="4" w:space="0" w:color="auto"/>
            </w:tcBorders>
            <w:shd w:val="clear" w:color="auto" w:fill="auto"/>
            <w:vAlign w:val="center"/>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Activos a valor razonable con cambios en pérdidas y ganancias</w:t>
            </w:r>
          </w:p>
        </w:tc>
        <w:tc>
          <w:tcPr>
            <w:tcW w:w="193"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193"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21"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21"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399"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36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33"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31"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36"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4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42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42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42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r>
      <w:tr w:rsidR="009841A9" w:rsidRPr="009841A9" w:rsidTr="009841A9">
        <w:trPr>
          <w:trHeight w:val="615"/>
        </w:trPr>
        <w:tc>
          <w:tcPr>
            <w:tcW w:w="822" w:type="pct"/>
            <w:tcBorders>
              <w:top w:val="nil"/>
              <w:left w:val="single" w:sz="4" w:space="0" w:color="auto"/>
              <w:bottom w:val="single" w:sz="4" w:space="0" w:color="auto"/>
              <w:right w:val="single" w:sz="4" w:space="0" w:color="auto"/>
            </w:tcBorders>
            <w:shd w:val="clear" w:color="auto" w:fill="auto"/>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Activos financieros a coste amortizado</w:t>
            </w:r>
          </w:p>
        </w:tc>
        <w:tc>
          <w:tcPr>
            <w:tcW w:w="193"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193"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21"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21"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399"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jc w:val="right"/>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7.255.378,61</w:t>
            </w:r>
          </w:p>
        </w:tc>
        <w:tc>
          <w:tcPr>
            <w:tcW w:w="36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jc w:val="right"/>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7.252.130,88</w:t>
            </w:r>
          </w:p>
        </w:tc>
        <w:tc>
          <w:tcPr>
            <w:tcW w:w="233"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31"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36"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4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42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jc w:val="right"/>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147.841.995,73</w:t>
            </w:r>
          </w:p>
        </w:tc>
        <w:tc>
          <w:tcPr>
            <w:tcW w:w="39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jc w:val="right"/>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94.588.306,53</w:t>
            </w:r>
          </w:p>
        </w:tc>
        <w:tc>
          <w:tcPr>
            <w:tcW w:w="42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jc w:val="right"/>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155.097.374,34</w:t>
            </w:r>
          </w:p>
        </w:tc>
        <w:tc>
          <w:tcPr>
            <w:tcW w:w="42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jc w:val="right"/>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101.840.437,41</w:t>
            </w:r>
          </w:p>
        </w:tc>
      </w:tr>
      <w:tr w:rsidR="009841A9" w:rsidRPr="009841A9" w:rsidTr="009841A9">
        <w:trPr>
          <w:trHeight w:val="615"/>
        </w:trPr>
        <w:tc>
          <w:tcPr>
            <w:tcW w:w="822" w:type="pct"/>
            <w:tcBorders>
              <w:top w:val="nil"/>
              <w:left w:val="single" w:sz="4" w:space="0" w:color="auto"/>
              <w:bottom w:val="single" w:sz="4" w:space="0" w:color="auto"/>
              <w:right w:val="single" w:sz="4" w:space="0" w:color="auto"/>
            </w:tcBorders>
            <w:shd w:val="clear" w:color="auto" w:fill="auto"/>
            <w:noWrap/>
            <w:vAlign w:val="center"/>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Activos financieros a coste</w:t>
            </w:r>
          </w:p>
        </w:tc>
        <w:tc>
          <w:tcPr>
            <w:tcW w:w="193"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193"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21"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21"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399"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36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33"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31"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36"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4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42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42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42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r>
      <w:tr w:rsidR="009841A9" w:rsidRPr="009841A9" w:rsidTr="009841A9">
        <w:trPr>
          <w:trHeight w:val="615"/>
        </w:trPr>
        <w:tc>
          <w:tcPr>
            <w:tcW w:w="822" w:type="pct"/>
            <w:tcBorders>
              <w:top w:val="nil"/>
              <w:left w:val="single" w:sz="4" w:space="0" w:color="auto"/>
              <w:bottom w:val="single" w:sz="4" w:space="0" w:color="auto"/>
              <w:right w:val="single" w:sz="4" w:space="0" w:color="auto"/>
            </w:tcBorders>
            <w:shd w:val="clear" w:color="auto" w:fill="auto"/>
            <w:vAlign w:val="center"/>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Activos a valor razonable con cambios en el patrimonio neto</w:t>
            </w:r>
          </w:p>
        </w:tc>
        <w:tc>
          <w:tcPr>
            <w:tcW w:w="193"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193"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21"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21"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399"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36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33"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31"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36"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4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42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42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42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r>
      <w:tr w:rsidR="009841A9" w:rsidRPr="009841A9" w:rsidTr="009841A9">
        <w:trPr>
          <w:trHeight w:val="615"/>
        </w:trPr>
        <w:tc>
          <w:tcPr>
            <w:tcW w:w="822" w:type="pct"/>
            <w:tcBorders>
              <w:top w:val="nil"/>
              <w:left w:val="single" w:sz="4" w:space="0" w:color="auto"/>
              <w:bottom w:val="single" w:sz="4" w:space="0" w:color="auto"/>
              <w:right w:val="single" w:sz="4" w:space="0" w:color="auto"/>
            </w:tcBorders>
            <w:shd w:val="clear" w:color="auto" w:fill="auto"/>
            <w:vAlign w:val="center"/>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Derivados de cobertura</w:t>
            </w:r>
          </w:p>
        </w:tc>
        <w:tc>
          <w:tcPr>
            <w:tcW w:w="193"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193"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21"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21"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399"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36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33"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31"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36"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4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42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39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42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42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r>
      <w:tr w:rsidR="009841A9" w:rsidRPr="009841A9" w:rsidTr="009841A9">
        <w:trPr>
          <w:trHeight w:val="255"/>
        </w:trPr>
        <w:tc>
          <w:tcPr>
            <w:tcW w:w="822" w:type="pct"/>
            <w:tcBorders>
              <w:top w:val="nil"/>
              <w:left w:val="single" w:sz="4" w:space="0" w:color="auto"/>
              <w:bottom w:val="single" w:sz="4" w:space="0" w:color="auto"/>
              <w:right w:val="nil"/>
            </w:tcBorders>
            <w:shd w:val="clear" w:color="auto" w:fill="auto"/>
            <w:vAlign w:val="bottom"/>
            <w:hideMark/>
          </w:tcPr>
          <w:p w:rsidR="009841A9" w:rsidRPr="009841A9" w:rsidRDefault="009841A9" w:rsidP="009841A9">
            <w:pP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TOTAL</w:t>
            </w:r>
          </w:p>
        </w:tc>
        <w:tc>
          <w:tcPr>
            <w:tcW w:w="193" w:type="pct"/>
            <w:tcBorders>
              <w:top w:val="nil"/>
              <w:left w:val="single" w:sz="4" w:space="0" w:color="auto"/>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193"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21"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21"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399"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jc w:val="right"/>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7.255.378,61</w:t>
            </w:r>
          </w:p>
        </w:tc>
        <w:tc>
          <w:tcPr>
            <w:tcW w:w="36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jc w:val="right"/>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7.252.130,88</w:t>
            </w:r>
          </w:p>
        </w:tc>
        <w:tc>
          <w:tcPr>
            <w:tcW w:w="233"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31"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36"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4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42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jc w:val="right"/>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147.841.995,73</w:t>
            </w:r>
          </w:p>
        </w:tc>
        <w:tc>
          <w:tcPr>
            <w:tcW w:w="39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jc w:val="right"/>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94.588.306,53</w:t>
            </w:r>
          </w:p>
        </w:tc>
        <w:tc>
          <w:tcPr>
            <w:tcW w:w="42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jc w:val="right"/>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155.097.374,34</w:t>
            </w:r>
          </w:p>
        </w:tc>
        <w:tc>
          <w:tcPr>
            <w:tcW w:w="42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jc w:val="right"/>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101.840.437,41</w:t>
            </w:r>
          </w:p>
        </w:tc>
      </w:tr>
    </w:tbl>
    <w:p w:rsidR="00920A02" w:rsidRDefault="00920A02" w:rsidP="00187A36"/>
    <w:p w:rsidR="00273586" w:rsidRDefault="00273586" w:rsidP="00187A36">
      <w:pPr>
        <w:rPr>
          <w:lang w:val="es-ES"/>
        </w:rPr>
      </w:pPr>
    </w:p>
    <w:p w:rsidR="00920A02" w:rsidRDefault="00920A02" w:rsidP="00187A36">
      <w:pPr>
        <w:rPr>
          <w:lang w:val="es-ES"/>
        </w:rPr>
      </w:pPr>
    </w:p>
    <w:p w:rsidR="00920A02" w:rsidRDefault="00920A02" w:rsidP="00187A36">
      <w:pPr>
        <w:rPr>
          <w:lang w:val="es-ES"/>
        </w:rPr>
      </w:pPr>
    </w:p>
    <w:p w:rsidR="00920A02" w:rsidRDefault="00920A02" w:rsidP="00187A36">
      <w:pPr>
        <w:rPr>
          <w:lang w:val="es-ES"/>
        </w:rPr>
      </w:pPr>
    </w:p>
    <w:p w:rsidR="00920A02" w:rsidRDefault="00920A02" w:rsidP="00187A36">
      <w:pPr>
        <w:rPr>
          <w:lang w:val="es-ES"/>
        </w:rPr>
      </w:pPr>
    </w:p>
    <w:p w:rsidR="00920A02" w:rsidRDefault="00920A02" w:rsidP="00187A36">
      <w:pPr>
        <w:rPr>
          <w:lang w:val="es-ES"/>
        </w:rPr>
      </w:pPr>
    </w:p>
    <w:p w:rsidR="00920A02" w:rsidRDefault="00920A02" w:rsidP="00187A36">
      <w:pPr>
        <w:rPr>
          <w:lang w:val="es-ES"/>
        </w:rPr>
      </w:pPr>
    </w:p>
    <w:p w:rsidR="00920A02" w:rsidRDefault="00920A02" w:rsidP="00187A36">
      <w:pPr>
        <w:rPr>
          <w:lang w:val="es-ES"/>
        </w:rPr>
      </w:pPr>
    </w:p>
    <w:p w:rsidR="00920A02" w:rsidRDefault="00920A02" w:rsidP="00187A36">
      <w:pPr>
        <w:rPr>
          <w:lang w:val="es-ES"/>
        </w:rPr>
      </w:pPr>
    </w:p>
    <w:p w:rsidR="00920A02" w:rsidRDefault="00920A02" w:rsidP="00187A36">
      <w:pPr>
        <w:rPr>
          <w:lang w:val="es-ES"/>
        </w:rPr>
      </w:pPr>
    </w:p>
    <w:p w:rsidR="00920A02" w:rsidRDefault="00920A02" w:rsidP="00187A36">
      <w:pPr>
        <w:rPr>
          <w:lang w:val="es-ES"/>
        </w:rPr>
      </w:pPr>
    </w:p>
    <w:tbl>
      <w:tblPr>
        <w:tblW w:w="5000" w:type="pct"/>
        <w:tblCellMar>
          <w:left w:w="70" w:type="dxa"/>
          <w:right w:w="70" w:type="dxa"/>
        </w:tblCellMar>
        <w:tblLook w:val="04A0" w:firstRow="1" w:lastRow="0" w:firstColumn="1" w:lastColumn="0" w:noHBand="0" w:noVBand="1"/>
      </w:tblPr>
      <w:tblGrid>
        <w:gridCol w:w="2114"/>
        <w:gridCol w:w="481"/>
        <w:gridCol w:w="481"/>
        <w:gridCol w:w="524"/>
        <w:gridCol w:w="524"/>
        <w:gridCol w:w="1182"/>
        <w:gridCol w:w="1196"/>
        <w:gridCol w:w="814"/>
        <w:gridCol w:w="654"/>
        <w:gridCol w:w="674"/>
        <w:gridCol w:w="677"/>
        <w:gridCol w:w="1022"/>
        <w:gridCol w:w="1022"/>
        <w:gridCol w:w="1109"/>
        <w:gridCol w:w="1104"/>
      </w:tblGrid>
      <w:tr w:rsidR="009841A9" w:rsidRPr="009841A9" w:rsidTr="009841A9">
        <w:trPr>
          <w:trHeight w:val="300"/>
        </w:trPr>
        <w:tc>
          <w:tcPr>
            <w:tcW w:w="2422" w:type="pct"/>
            <w:gridSpan w:val="7"/>
            <w:tcBorders>
              <w:top w:val="nil"/>
              <w:left w:val="nil"/>
              <w:bottom w:val="single" w:sz="4" w:space="0" w:color="auto"/>
              <w:right w:val="nil"/>
            </w:tcBorders>
            <w:shd w:val="clear" w:color="000000" w:fill="FFFFFF"/>
            <w:noWrap/>
            <w:vAlign w:val="bottom"/>
            <w:hideMark/>
          </w:tcPr>
          <w:p w:rsidR="009841A9" w:rsidRPr="009841A9" w:rsidRDefault="009841A9" w:rsidP="009841A9">
            <w:pPr>
              <w:rPr>
                <w:rFonts w:ascii="Lucida Bright" w:hAnsi="Lucida Bright" w:cs="Calibri"/>
                <w:b/>
                <w:bCs/>
                <w:sz w:val="18"/>
                <w:szCs w:val="18"/>
                <w:lang w:val="es-ES"/>
              </w:rPr>
            </w:pPr>
            <w:r w:rsidRPr="009841A9">
              <w:rPr>
                <w:rFonts w:ascii="Lucida Bright" w:hAnsi="Lucida Bright" w:cs="Calibri"/>
                <w:b/>
                <w:bCs/>
                <w:sz w:val="18"/>
                <w:szCs w:val="18"/>
                <w:lang w:val="es-ES"/>
              </w:rPr>
              <w:t>CUADRO: CATEGORÍAS DE PASIVOS FINANCIEROS 2023</w:t>
            </w:r>
          </w:p>
        </w:tc>
        <w:tc>
          <w:tcPr>
            <w:tcW w:w="245" w:type="pct"/>
            <w:tcBorders>
              <w:top w:val="nil"/>
              <w:left w:val="nil"/>
              <w:bottom w:val="nil"/>
              <w:right w:val="nil"/>
            </w:tcBorders>
            <w:shd w:val="clear" w:color="000000" w:fill="FFFFFF"/>
            <w:noWrap/>
            <w:vAlign w:val="bottom"/>
            <w:hideMark/>
          </w:tcPr>
          <w:p w:rsidR="009841A9" w:rsidRPr="009841A9" w:rsidRDefault="009841A9" w:rsidP="009841A9">
            <w:pPr>
              <w:rPr>
                <w:rFonts w:ascii="Lucida Bright" w:hAnsi="Lucida Bright" w:cs="Calibri"/>
                <w:sz w:val="14"/>
                <w:szCs w:val="14"/>
                <w:lang w:val="es-ES"/>
              </w:rPr>
            </w:pPr>
            <w:r w:rsidRPr="009841A9">
              <w:rPr>
                <w:rFonts w:ascii="Lucida Bright" w:hAnsi="Lucida Bright" w:cs="Calibri"/>
                <w:sz w:val="14"/>
                <w:szCs w:val="14"/>
                <w:lang w:val="es-ES"/>
              </w:rPr>
              <w:t>(en euros)</w:t>
            </w:r>
          </w:p>
        </w:tc>
        <w:tc>
          <w:tcPr>
            <w:tcW w:w="245" w:type="pct"/>
            <w:tcBorders>
              <w:top w:val="nil"/>
              <w:left w:val="nil"/>
              <w:bottom w:val="nil"/>
              <w:right w:val="nil"/>
            </w:tcBorders>
            <w:shd w:val="clear" w:color="auto" w:fill="auto"/>
            <w:noWrap/>
            <w:vAlign w:val="bottom"/>
            <w:hideMark/>
          </w:tcPr>
          <w:p w:rsidR="009841A9" w:rsidRPr="009841A9" w:rsidRDefault="009841A9" w:rsidP="009841A9">
            <w:pPr>
              <w:rPr>
                <w:rFonts w:ascii="Calibri" w:hAnsi="Calibri" w:cs="Calibri"/>
                <w:color w:val="000000"/>
                <w:sz w:val="22"/>
                <w:szCs w:val="22"/>
                <w:lang w:val="es-ES"/>
              </w:rPr>
            </w:pPr>
          </w:p>
        </w:tc>
        <w:tc>
          <w:tcPr>
            <w:tcW w:w="252" w:type="pct"/>
            <w:tcBorders>
              <w:top w:val="nil"/>
              <w:left w:val="nil"/>
              <w:bottom w:val="nil"/>
              <w:right w:val="nil"/>
            </w:tcBorders>
            <w:shd w:val="clear" w:color="auto" w:fill="auto"/>
            <w:noWrap/>
            <w:vAlign w:val="bottom"/>
            <w:hideMark/>
          </w:tcPr>
          <w:p w:rsidR="009841A9" w:rsidRPr="009841A9" w:rsidRDefault="009841A9" w:rsidP="009841A9">
            <w:pPr>
              <w:rPr>
                <w:rFonts w:ascii="Calibri" w:hAnsi="Calibri" w:cs="Calibri"/>
                <w:color w:val="000000"/>
                <w:sz w:val="22"/>
                <w:szCs w:val="22"/>
                <w:lang w:val="es-ES"/>
              </w:rPr>
            </w:pPr>
          </w:p>
        </w:tc>
        <w:tc>
          <w:tcPr>
            <w:tcW w:w="252" w:type="pct"/>
            <w:tcBorders>
              <w:top w:val="nil"/>
              <w:left w:val="nil"/>
              <w:bottom w:val="nil"/>
              <w:right w:val="nil"/>
            </w:tcBorders>
            <w:shd w:val="clear" w:color="auto" w:fill="auto"/>
            <w:noWrap/>
            <w:vAlign w:val="bottom"/>
            <w:hideMark/>
          </w:tcPr>
          <w:p w:rsidR="009841A9" w:rsidRPr="009841A9" w:rsidRDefault="009841A9" w:rsidP="009841A9">
            <w:pPr>
              <w:rPr>
                <w:rFonts w:ascii="Calibri" w:hAnsi="Calibri" w:cs="Calibri"/>
                <w:color w:val="000000"/>
                <w:sz w:val="22"/>
                <w:szCs w:val="22"/>
                <w:lang w:val="es-ES"/>
              </w:rPr>
            </w:pPr>
          </w:p>
        </w:tc>
        <w:tc>
          <w:tcPr>
            <w:tcW w:w="380" w:type="pct"/>
            <w:tcBorders>
              <w:top w:val="nil"/>
              <w:left w:val="nil"/>
              <w:bottom w:val="nil"/>
              <w:right w:val="nil"/>
            </w:tcBorders>
            <w:shd w:val="clear" w:color="auto" w:fill="auto"/>
            <w:noWrap/>
            <w:vAlign w:val="bottom"/>
            <w:hideMark/>
          </w:tcPr>
          <w:p w:rsidR="009841A9" w:rsidRPr="009841A9" w:rsidRDefault="009841A9" w:rsidP="009841A9">
            <w:pPr>
              <w:rPr>
                <w:rFonts w:ascii="Calibri" w:hAnsi="Calibri" w:cs="Calibri"/>
                <w:color w:val="000000"/>
                <w:sz w:val="22"/>
                <w:szCs w:val="22"/>
                <w:lang w:val="es-ES"/>
              </w:rPr>
            </w:pPr>
          </w:p>
        </w:tc>
        <w:tc>
          <w:tcPr>
            <w:tcW w:w="380" w:type="pct"/>
            <w:tcBorders>
              <w:top w:val="nil"/>
              <w:left w:val="nil"/>
              <w:bottom w:val="nil"/>
              <w:right w:val="nil"/>
            </w:tcBorders>
            <w:shd w:val="clear" w:color="auto" w:fill="auto"/>
            <w:noWrap/>
            <w:vAlign w:val="bottom"/>
            <w:hideMark/>
          </w:tcPr>
          <w:p w:rsidR="009841A9" w:rsidRPr="009841A9" w:rsidRDefault="009841A9" w:rsidP="009841A9">
            <w:pPr>
              <w:rPr>
                <w:rFonts w:ascii="Calibri" w:hAnsi="Calibri" w:cs="Calibri"/>
                <w:color w:val="000000"/>
                <w:sz w:val="22"/>
                <w:szCs w:val="22"/>
                <w:lang w:val="es-ES"/>
              </w:rPr>
            </w:pPr>
          </w:p>
        </w:tc>
        <w:tc>
          <w:tcPr>
            <w:tcW w:w="412" w:type="pct"/>
            <w:tcBorders>
              <w:top w:val="nil"/>
              <w:left w:val="nil"/>
              <w:bottom w:val="nil"/>
              <w:right w:val="nil"/>
            </w:tcBorders>
            <w:shd w:val="clear" w:color="auto" w:fill="auto"/>
            <w:noWrap/>
            <w:vAlign w:val="bottom"/>
            <w:hideMark/>
          </w:tcPr>
          <w:p w:rsidR="009841A9" w:rsidRPr="009841A9" w:rsidRDefault="009841A9" w:rsidP="009841A9">
            <w:pPr>
              <w:rPr>
                <w:rFonts w:ascii="Calibri" w:hAnsi="Calibri" w:cs="Calibri"/>
                <w:color w:val="000000"/>
                <w:sz w:val="22"/>
                <w:szCs w:val="22"/>
                <w:lang w:val="es-ES"/>
              </w:rPr>
            </w:pPr>
          </w:p>
        </w:tc>
        <w:tc>
          <w:tcPr>
            <w:tcW w:w="412" w:type="pct"/>
            <w:tcBorders>
              <w:top w:val="nil"/>
              <w:left w:val="nil"/>
              <w:bottom w:val="nil"/>
              <w:right w:val="nil"/>
            </w:tcBorders>
            <w:shd w:val="clear" w:color="auto" w:fill="auto"/>
            <w:noWrap/>
            <w:vAlign w:val="bottom"/>
            <w:hideMark/>
          </w:tcPr>
          <w:p w:rsidR="009841A9" w:rsidRPr="009841A9" w:rsidRDefault="009841A9" w:rsidP="009841A9">
            <w:pPr>
              <w:rPr>
                <w:rFonts w:ascii="Calibri" w:hAnsi="Calibri" w:cs="Calibri"/>
                <w:color w:val="000000"/>
                <w:sz w:val="22"/>
                <w:szCs w:val="22"/>
                <w:lang w:val="es-ES"/>
              </w:rPr>
            </w:pPr>
          </w:p>
        </w:tc>
      </w:tr>
      <w:tr w:rsidR="009841A9" w:rsidRPr="009841A9" w:rsidTr="009841A9">
        <w:trPr>
          <w:trHeight w:val="255"/>
        </w:trPr>
        <w:tc>
          <w:tcPr>
            <w:tcW w:w="783" w:type="pct"/>
            <w:tcBorders>
              <w:top w:val="nil"/>
              <w:left w:val="single" w:sz="4" w:space="0" w:color="auto"/>
              <w:bottom w:val="nil"/>
              <w:right w:val="single" w:sz="4" w:space="0" w:color="auto"/>
            </w:tcBorders>
            <w:shd w:val="clear" w:color="000000" w:fill="CCFFCC"/>
            <w:noWrap/>
            <w:vAlign w:val="center"/>
            <w:hideMark/>
          </w:tcPr>
          <w:p w:rsidR="009841A9" w:rsidRPr="009841A9" w:rsidRDefault="009841A9" w:rsidP="009841A9">
            <w:pP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 xml:space="preserve">                          Clases                                                                        </w:t>
            </w:r>
          </w:p>
        </w:tc>
        <w:tc>
          <w:tcPr>
            <w:tcW w:w="1639" w:type="pct"/>
            <w:gridSpan w:val="6"/>
            <w:tcBorders>
              <w:top w:val="single" w:sz="4" w:space="0" w:color="auto"/>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Instrumentos financieros a largo plazo</w:t>
            </w:r>
          </w:p>
        </w:tc>
        <w:tc>
          <w:tcPr>
            <w:tcW w:w="1754" w:type="pct"/>
            <w:gridSpan w:val="6"/>
            <w:tcBorders>
              <w:top w:val="single" w:sz="4" w:space="0" w:color="auto"/>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Instrumentos financieros a corto plazo</w:t>
            </w:r>
          </w:p>
        </w:tc>
        <w:tc>
          <w:tcPr>
            <w:tcW w:w="824" w:type="pct"/>
            <w:gridSpan w:val="2"/>
            <w:vMerge w:val="restart"/>
            <w:tcBorders>
              <w:top w:val="single" w:sz="4" w:space="0" w:color="auto"/>
              <w:left w:val="single" w:sz="4" w:space="0" w:color="auto"/>
              <w:bottom w:val="single" w:sz="4" w:space="0" w:color="000000"/>
              <w:right w:val="single" w:sz="4" w:space="0" w:color="000000"/>
            </w:tcBorders>
            <w:shd w:val="clear" w:color="000000" w:fill="CCFFCC"/>
            <w:vAlign w:val="center"/>
            <w:hideMark/>
          </w:tcPr>
          <w:p w:rsidR="009841A9" w:rsidRPr="009841A9" w:rsidRDefault="009841A9" w:rsidP="009841A9">
            <w:pPr>
              <w:jc w:val="cente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Total</w:t>
            </w:r>
          </w:p>
        </w:tc>
      </w:tr>
      <w:tr w:rsidR="009841A9" w:rsidRPr="009841A9" w:rsidTr="009841A9">
        <w:trPr>
          <w:trHeight w:val="540"/>
        </w:trPr>
        <w:tc>
          <w:tcPr>
            <w:tcW w:w="783" w:type="pct"/>
            <w:tcBorders>
              <w:top w:val="nil"/>
              <w:left w:val="single" w:sz="4" w:space="0" w:color="auto"/>
              <w:bottom w:val="nil"/>
              <w:right w:val="single" w:sz="4" w:space="0" w:color="auto"/>
              <w:tl2br w:val="single" w:sz="4" w:space="0" w:color="auto"/>
            </w:tcBorders>
            <w:shd w:val="clear" w:color="000000" w:fill="CCFFCC"/>
            <w:noWrap/>
            <w:hideMark/>
          </w:tcPr>
          <w:p w:rsidR="009841A9" w:rsidRPr="009841A9" w:rsidRDefault="009841A9" w:rsidP="009841A9">
            <w:pP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 </w:t>
            </w:r>
          </w:p>
        </w:tc>
        <w:tc>
          <w:tcPr>
            <w:tcW w:w="359" w:type="pct"/>
            <w:gridSpan w:val="2"/>
            <w:tcBorders>
              <w:top w:val="single" w:sz="4" w:space="0" w:color="auto"/>
              <w:left w:val="nil"/>
              <w:bottom w:val="single" w:sz="4" w:space="0" w:color="auto"/>
              <w:right w:val="single" w:sz="4" w:space="0" w:color="000000"/>
            </w:tcBorders>
            <w:shd w:val="clear" w:color="000000" w:fill="CCFFCC"/>
            <w:vAlign w:val="center"/>
            <w:hideMark/>
          </w:tcPr>
          <w:p w:rsidR="009841A9" w:rsidRPr="009841A9" w:rsidRDefault="009841A9" w:rsidP="009841A9">
            <w:pPr>
              <w:jc w:val="cente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Deudas con entidades de crédito</w:t>
            </w:r>
          </w:p>
        </w:tc>
        <w:tc>
          <w:tcPr>
            <w:tcW w:w="391" w:type="pct"/>
            <w:gridSpan w:val="2"/>
            <w:tcBorders>
              <w:top w:val="single" w:sz="4" w:space="0" w:color="auto"/>
              <w:left w:val="nil"/>
              <w:bottom w:val="single" w:sz="4" w:space="0" w:color="auto"/>
              <w:right w:val="single" w:sz="4" w:space="0" w:color="auto"/>
            </w:tcBorders>
            <w:shd w:val="clear" w:color="000000" w:fill="CCFFCC"/>
            <w:vAlign w:val="center"/>
            <w:hideMark/>
          </w:tcPr>
          <w:p w:rsidR="009841A9" w:rsidRPr="009841A9" w:rsidRDefault="009841A9" w:rsidP="009841A9">
            <w:pPr>
              <w:jc w:val="cente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Obligaciones y otros valores negociables</w:t>
            </w:r>
          </w:p>
        </w:tc>
        <w:tc>
          <w:tcPr>
            <w:tcW w:w="889" w:type="pct"/>
            <w:gridSpan w:val="2"/>
            <w:tcBorders>
              <w:top w:val="single" w:sz="4" w:space="0" w:color="auto"/>
              <w:left w:val="nil"/>
              <w:bottom w:val="single" w:sz="4" w:space="0" w:color="auto"/>
              <w:right w:val="single" w:sz="4" w:space="0" w:color="auto"/>
            </w:tcBorders>
            <w:shd w:val="clear" w:color="000000" w:fill="CCFFCC"/>
            <w:vAlign w:val="center"/>
            <w:hideMark/>
          </w:tcPr>
          <w:p w:rsidR="009841A9" w:rsidRPr="009841A9" w:rsidRDefault="009841A9" w:rsidP="009841A9">
            <w:pPr>
              <w:jc w:val="cente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Derivados, Otros</w:t>
            </w:r>
          </w:p>
        </w:tc>
        <w:tc>
          <w:tcPr>
            <w:tcW w:w="490" w:type="pct"/>
            <w:gridSpan w:val="2"/>
            <w:tcBorders>
              <w:top w:val="single" w:sz="4" w:space="0" w:color="auto"/>
              <w:left w:val="nil"/>
              <w:bottom w:val="single" w:sz="4" w:space="0" w:color="auto"/>
              <w:right w:val="single" w:sz="4" w:space="0" w:color="000000"/>
            </w:tcBorders>
            <w:shd w:val="clear" w:color="000000" w:fill="CCFFCC"/>
            <w:vAlign w:val="center"/>
            <w:hideMark/>
          </w:tcPr>
          <w:p w:rsidR="009841A9" w:rsidRPr="009841A9" w:rsidRDefault="009841A9" w:rsidP="009841A9">
            <w:pPr>
              <w:jc w:val="cente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Deudas con entidades de crédito</w:t>
            </w:r>
          </w:p>
        </w:tc>
        <w:tc>
          <w:tcPr>
            <w:tcW w:w="505" w:type="pct"/>
            <w:gridSpan w:val="2"/>
            <w:tcBorders>
              <w:top w:val="single" w:sz="4" w:space="0" w:color="auto"/>
              <w:left w:val="nil"/>
              <w:bottom w:val="single" w:sz="4" w:space="0" w:color="auto"/>
              <w:right w:val="single" w:sz="4" w:space="0" w:color="auto"/>
            </w:tcBorders>
            <w:shd w:val="clear" w:color="000000" w:fill="CCFFCC"/>
            <w:vAlign w:val="center"/>
            <w:hideMark/>
          </w:tcPr>
          <w:p w:rsidR="009841A9" w:rsidRPr="009841A9" w:rsidRDefault="009841A9" w:rsidP="009841A9">
            <w:pPr>
              <w:jc w:val="cente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Obligaciones y otros valores negociables</w:t>
            </w:r>
          </w:p>
        </w:tc>
        <w:tc>
          <w:tcPr>
            <w:tcW w:w="760" w:type="pct"/>
            <w:gridSpan w:val="2"/>
            <w:tcBorders>
              <w:top w:val="single" w:sz="4" w:space="0" w:color="auto"/>
              <w:left w:val="nil"/>
              <w:bottom w:val="single" w:sz="4" w:space="0" w:color="auto"/>
              <w:right w:val="single" w:sz="4" w:space="0" w:color="auto"/>
            </w:tcBorders>
            <w:shd w:val="clear" w:color="000000" w:fill="CCFFCC"/>
            <w:vAlign w:val="center"/>
            <w:hideMark/>
          </w:tcPr>
          <w:p w:rsidR="009841A9" w:rsidRPr="009841A9" w:rsidRDefault="009841A9" w:rsidP="009841A9">
            <w:pPr>
              <w:jc w:val="cente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Derivados Otros</w:t>
            </w:r>
          </w:p>
        </w:tc>
        <w:tc>
          <w:tcPr>
            <w:tcW w:w="824" w:type="pct"/>
            <w:gridSpan w:val="2"/>
            <w:vMerge/>
            <w:tcBorders>
              <w:top w:val="single" w:sz="4" w:space="0" w:color="auto"/>
              <w:left w:val="single" w:sz="4" w:space="0" w:color="auto"/>
              <w:bottom w:val="single" w:sz="4" w:space="0" w:color="000000"/>
              <w:right w:val="single" w:sz="4" w:space="0" w:color="000000"/>
            </w:tcBorders>
            <w:vAlign w:val="center"/>
            <w:hideMark/>
          </w:tcPr>
          <w:p w:rsidR="009841A9" w:rsidRPr="009841A9" w:rsidRDefault="009841A9" w:rsidP="009841A9">
            <w:pPr>
              <w:rPr>
                <w:rFonts w:ascii="Lucida Bright" w:hAnsi="Lucida Bright" w:cs="Calibri"/>
                <w:b/>
                <w:bCs/>
                <w:color w:val="000000"/>
                <w:sz w:val="14"/>
                <w:szCs w:val="14"/>
                <w:lang w:val="es-ES"/>
              </w:rPr>
            </w:pPr>
          </w:p>
        </w:tc>
      </w:tr>
      <w:tr w:rsidR="009841A9" w:rsidRPr="009841A9" w:rsidTr="009841A9">
        <w:trPr>
          <w:trHeight w:val="225"/>
        </w:trPr>
        <w:tc>
          <w:tcPr>
            <w:tcW w:w="783" w:type="pct"/>
            <w:tcBorders>
              <w:top w:val="nil"/>
              <w:left w:val="single" w:sz="4" w:space="0" w:color="auto"/>
              <w:bottom w:val="single" w:sz="4" w:space="0" w:color="auto"/>
              <w:right w:val="single" w:sz="4" w:space="0" w:color="auto"/>
            </w:tcBorders>
            <w:shd w:val="clear" w:color="000000" w:fill="CCFFCC"/>
            <w:noWrap/>
            <w:hideMark/>
          </w:tcPr>
          <w:p w:rsidR="009841A9" w:rsidRPr="009841A9" w:rsidRDefault="009841A9" w:rsidP="009841A9">
            <w:pP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Categorías</w:t>
            </w:r>
          </w:p>
        </w:tc>
        <w:tc>
          <w:tcPr>
            <w:tcW w:w="180"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2023</w:t>
            </w:r>
          </w:p>
        </w:tc>
        <w:tc>
          <w:tcPr>
            <w:tcW w:w="180"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2022</w:t>
            </w:r>
          </w:p>
        </w:tc>
        <w:tc>
          <w:tcPr>
            <w:tcW w:w="196"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2023</w:t>
            </w:r>
          </w:p>
        </w:tc>
        <w:tc>
          <w:tcPr>
            <w:tcW w:w="196"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2022</w:t>
            </w:r>
          </w:p>
        </w:tc>
        <w:tc>
          <w:tcPr>
            <w:tcW w:w="444"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2023</w:t>
            </w:r>
          </w:p>
        </w:tc>
        <w:tc>
          <w:tcPr>
            <w:tcW w:w="444"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2022</w:t>
            </w:r>
          </w:p>
        </w:tc>
        <w:tc>
          <w:tcPr>
            <w:tcW w:w="245"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2023</w:t>
            </w:r>
          </w:p>
        </w:tc>
        <w:tc>
          <w:tcPr>
            <w:tcW w:w="245"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2022</w:t>
            </w:r>
          </w:p>
        </w:tc>
        <w:tc>
          <w:tcPr>
            <w:tcW w:w="252"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2023</w:t>
            </w:r>
          </w:p>
        </w:tc>
        <w:tc>
          <w:tcPr>
            <w:tcW w:w="252"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2022</w:t>
            </w:r>
          </w:p>
        </w:tc>
        <w:tc>
          <w:tcPr>
            <w:tcW w:w="380"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2023</w:t>
            </w:r>
          </w:p>
        </w:tc>
        <w:tc>
          <w:tcPr>
            <w:tcW w:w="380"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2022</w:t>
            </w:r>
          </w:p>
        </w:tc>
        <w:tc>
          <w:tcPr>
            <w:tcW w:w="412"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2023</w:t>
            </w:r>
          </w:p>
        </w:tc>
        <w:tc>
          <w:tcPr>
            <w:tcW w:w="412" w:type="pct"/>
            <w:tcBorders>
              <w:top w:val="nil"/>
              <w:left w:val="nil"/>
              <w:bottom w:val="single" w:sz="4" w:space="0" w:color="auto"/>
              <w:right w:val="single" w:sz="4" w:space="0" w:color="auto"/>
            </w:tcBorders>
            <w:shd w:val="clear" w:color="000000" w:fill="CCFFCC"/>
            <w:noWrap/>
            <w:vAlign w:val="bottom"/>
            <w:hideMark/>
          </w:tcPr>
          <w:p w:rsidR="009841A9" w:rsidRPr="009841A9" w:rsidRDefault="009841A9" w:rsidP="009841A9">
            <w:pPr>
              <w:jc w:val="cente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2022</w:t>
            </w:r>
          </w:p>
        </w:tc>
      </w:tr>
      <w:tr w:rsidR="009841A9" w:rsidRPr="009841A9" w:rsidTr="009841A9">
        <w:trPr>
          <w:trHeight w:val="435"/>
        </w:trPr>
        <w:tc>
          <w:tcPr>
            <w:tcW w:w="783" w:type="pct"/>
            <w:tcBorders>
              <w:top w:val="nil"/>
              <w:left w:val="single" w:sz="4" w:space="0" w:color="auto"/>
              <w:bottom w:val="single" w:sz="4" w:space="0" w:color="auto"/>
              <w:right w:val="single" w:sz="4" w:space="0" w:color="auto"/>
            </w:tcBorders>
            <w:shd w:val="clear" w:color="auto" w:fill="auto"/>
            <w:vAlign w:val="center"/>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Pasivos financieros a coste amortizado</w:t>
            </w:r>
          </w:p>
        </w:tc>
        <w:tc>
          <w:tcPr>
            <w:tcW w:w="18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18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196"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196"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444"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jc w:val="right"/>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15.674.119,15</w:t>
            </w:r>
          </w:p>
        </w:tc>
        <w:tc>
          <w:tcPr>
            <w:tcW w:w="444"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jc w:val="right"/>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14.187.093,03</w:t>
            </w:r>
          </w:p>
        </w:tc>
        <w:tc>
          <w:tcPr>
            <w:tcW w:w="245"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45"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52"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52"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38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jc w:val="right"/>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8.850.174,76</w:t>
            </w:r>
          </w:p>
        </w:tc>
        <w:tc>
          <w:tcPr>
            <w:tcW w:w="38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jc w:val="right"/>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9.857.254,74</w:t>
            </w:r>
          </w:p>
        </w:tc>
        <w:tc>
          <w:tcPr>
            <w:tcW w:w="412"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jc w:val="right"/>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24.524.293,91</w:t>
            </w:r>
          </w:p>
        </w:tc>
        <w:tc>
          <w:tcPr>
            <w:tcW w:w="412"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jc w:val="right"/>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24.044.347,77</w:t>
            </w:r>
          </w:p>
        </w:tc>
      </w:tr>
      <w:tr w:rsidR="009841A9" w:rsidRPr="009841A9" w:rsidTr="009841A9">
        <w:trPr>
          <w:trHeight w:val="540"/>
        </w:trPr>
        <w:tc>
          <w:tcPr>
            <w:tcW w:w="783" w:type="pct"/>
            <w:tcBorders>
              <w:top w:val="nil"/>
              <w:left w:val="single" w:sz="4" w:space="0" w:color="auto"/>
              <w:bottom w:val="single" w:sz="4" w:space="0" w:color="auto"/>
              <w:right w:val="single" w:sz="4" w:space="0" w:color="auto"/>
            </w:tcBorders>
            <w:shd w:val="clear" w:color="auto" w:fill="auto"/>
            <w:vAlign w:val="center"/>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Pasivos a valor razonable con cambios en pérdidas y ganancias</w:t>
            </w:r>
          </w:p>
        </w:tc>
        <w:tc>
          <w:tcPr>
            <w:tcW w:w="18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18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196"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196"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444"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444"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45"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45"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52"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52"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38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38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412"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412"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r>
      <w:tr w:rsidR="009841A9" w:rsidRPr="009841A9" w:rsidTr="009841A9">
        <w:trPr>
          <w:trHeight w:val="435"/>
        </w:trPr>
        <w:tc>
          <w:tcPr>
            <w:tcW w:w="783" w:type="pct"/>
            <w:tcBorders>
              <w:top w:val="nil"/>
              <w:left w:val="single" w:sz="4" w:space="0" w:color="auto"/>
              <w:bottom w:val="single" w:sz="4" w:space="0" w:color="auto"/>
              <w:right w:val="single" w:sz="4" w:space="0" w:color="auto"/>
            </w:tcBorders>
            <w:shd w:val="clear" w:color="auto" w:fill="auto"/>
            <w:vAlign w:val="center"/>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Derivados de cobertura</w:t>
            </w:r>
          </w:p>
        </w:tc>
        <w:tc>
          <w:tcPr>
            <w:tcW w:w="18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18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196"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196"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444"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444"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45"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45"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52"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52"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38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38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412"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412"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r>
      <w:tr w:rsidR="009841A9" w:rsidRPr="009841A9" w:rsidTr="009841A9">
        <w:trPr>
          <w:trHeight w:val="300"/>
        </w:trPr>
        <w:tc>
          <w:tcPr>
            <w:tcW w:w="783" w:type="pct"/>
            <w:tcBorders>
              <w:top w:val="nil"/>
              <w:left w:val="single" w:sz="4" w:space="0" w:color="auto"/>
              <w:bottom w:val="single" w:sz="4" w:space="0" w:color="auto"/>
              <w:right w:val="nil"/>
            </w:tcBorders>
            <w:shd w:val="clear" w:color="auto" w:fill="auto"/>
            <w:vAlign w:val="bottom"/>
            <w:hideMark/>
          </w:tcPr>
          <w:p w:rsidR="009841A9" w:rsidRPr="009841A9" w:rsidRDefault="009841A9" w:rsidP="009841A9">
            <w:pPr>
              <w:rPr>
                <w:rFonts w:ascii="Lucida Bright" w:hAnsi="Lucida Bright" w:cs="Calibri"/>
                <w:b/>
                <w:bCs/>
                <w:color w:val="000000"/>
                <w:sz w:val="14"/>
                <w:szCs w:val="14"/>
                <w:lang w:val="es-ES"/>
              </w:rPr>
            </w:pPr>
            <w:r w:rsidRPr="009841A9">
              <w:rPr>
                <w:rFonts w:ascii="Lucida Bright" w:hAnsi="Lucida Bright" w:cs="Calibri"/>
                <w:b/>
                <w:bCs/>
                <w:color w:val="000000"/>
                <w:sz w:val="14"/>
                <w:szCs w:val="14"/>
                <w:lang w:val="es-ES"/>
              </w:rPr>
              <w:t>TOTAL</w:t>
            </w:r>
          </w:p>
        </w:tc>
        <w:tc>
          <w:tcPr>
            <w:tcW w:w="180" w:type="pct"/>
            <w:tcBorders>
              <w:top w:val="nil"/>
              <w:left w:val="single" w:sz="4" w:space="0" w:color="auto"/>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18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196"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196"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444"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jc w:val="right"/>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15.674.119,15</w:t>
            </w:r>
          </w:p>
        </w:tc>
        <w:tc>
          <w:tcPr>
            <w:tcW w:w="444"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jc w:val="right"/>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14.187.093,03</w:t>
            </w:r>
          </w:p>
        </w:tc>
        <w:tc>
          <w:tcPr>
            <w:tcW w:w="245"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45"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52"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252"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 </w:t>
            </w:r>
          </w:p>
        </w:tc>
        <w:tc>
          <w:tcPr>
            <w:tcW w:w="38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jc w:val="right"/>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8.850.174,76</w:t>
            </w:r>
          </w:p>
        </w:tc>
        <w:tc>
          <w:tcPr>
            <w:tcW w:w="380"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jc w:val="right"/>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9.857.254,74</w:t>
            </w:r>
          </w:p>
        </w:tc>
        <w:tc>
          <w:tcPr>
            <w:tcW w:w="412"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jc w:val="right"/>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24.524.293,91</w:t>
            </w:r>
          </w:p>
        </w:tc>
        <w:tc>
          <w:tcPr>
            <w:tcW w:w="412" w:type="pct"/>
            <w:tcBorders>
              <w:top w:val="nil"/>
              <w:left w:val="nil"/>
              <w:bottom w:val="single" w:sz="4" w:space="0" w:color="auto"/>
              <w:right w:val="single" w:sz="4" w:space="0" w:color="auto"/>
            </w:tcBorders>
            <w:shd w:val="clear" w:color="auto" w:fill="auto"/>
            <w:noWrap/>
            <w:vAlign w:val="bottom"/>
            <w:hideMark/>
          </w:tcPr>
          <w:p w:rsidR="009841A9" w:rsidRPr="009841A9" w:rsidRDefault="009841A9" w:rsidP="009841A9">
            <w:pPr>
              <w:jc w:val="right"/>
              <w:rPr>
                <w:rFonts w:ascii="Lucida Bright" w:hAnsi="Lucida Bright" w:cs="Calibri"/>
                <w:color w:val="000000"/>
                <w:sz w:val="14"/>
                <w:szCs w:val="14"/>
                <w:lang w:val="es-ES"/>
              </w:rPr>
            </w:pPr>
            <w:r w:rsidRPr="009841A9">
              <w:rPr>
                <w:rFonts w:ascii="Lucida Bright" w:hAnsi="Lucida Bright" w:cs="Calibri"/>
                <w:color w:val="000000"/>
                <w:sz w:val="14"/>
                <w:szCs w:val="14"/>
                <w:lang w:val="es-ES"/>
              </w:rPr>
              <w:t>24.044.347,77</w:t>
            </w:r>
          </w:p>
        </w:tc>
      </w:tr>
    </w:tbl>
    <w:p w:rsidR="00920A02" w:rsidRPr="00177858" w:rsidRDefault="00920A02" w:rsidP="00187A36">
      <w:pPr>
        <w:rPr>
          <w:lang w:val="es-ES"/>
        </w:rPr>
      </w:pPr>
    </w:p>
    <w:p w:rsidR="00187A36" w:rsidRDefault="00187A36" w:rsidP="00187A36">
      <w:pPr>
        <w:rPr>
          <w:rFonts w:ascii="NewBaskerville" w:hAnsi="NewBaskerville"/>
        </w:rPr>
      </w:pPr>
    </w:p>
    <w:p w:rsidR="00273586" w:rsidRDefault="00273586" w:rsidP="00187A36">
      <w:pPr>
        <w:rPr>
          <w:rFonts w:ascii="NewBaskerville" w:hAnsi="NewBaskerville"/>
        </w:rPr>
      </w:pPr>
    </w:p>
    <w:p w:rsidR="00273586" w:rsidRDefault="00273586" w:rsidP="00187A36">
      <w:pPr>
        <w:rPr>
          <w:rFonts w:ascii="NewBaskerville" w:hAnsi="NewBaskerville"/>
        </w:rPr>
      </w:pPr>
    </w:p>
    <w:p w:rsidR="00273586" w:rsidRDefault="00273586" w:rsidP="00187A36">
      <w:pPr>
        <w:rPr>
          <w:rFonts w:ascii="NewBaskerville" w:hAnsi="NewBaskerville"/>
        </w:rPr>
      </w:pPr>
    </w:p>
    <w:p w:rsidR="00273586" w:rsidRDefault="00273586" w:rsidP="00187A36">
      <w:pPr>
        <w:rPr>
          <w:rFonts w:ascii="NewBaskerville" w:hAnsi="NewBaskerville"/>
        </w:rPr>
      </w:pPr>
    </w:p>
    <w:p w:rsidR="00273586" w:rsidRDefault="00273586" w:rsidP="00187A36">
      <w:pPr>
        <w:rPr>
          <w:rFonts w:ascii="NewBaskerville" w:hAnsi="NewBaskerville"/>
        </w:rPr>
      </w:pPr>
    </w:p>
    <w:p w:rsidR="00273586" w:rsidRDefault="00273586" w:rsidP="00187A36">
      <w:pPr>
        <w:rPr>
          <w:rFonts w:ascii="NewBaskerville" w:hAnsi="NewBaskerville"/>
        </w:rPr>
      </w:pPr>
    </w:p>
    <w:p w:rsidR="00273586" w:rsidRDefault="00273586" w:rsidP="00187A36">
      <w:pPr>
        <w:rPr>
          <w:rFonts w:ascii="NewBaskerville" w:hAnsi="NewBaskerville"/>
        </w:rPr>
      </w:pPr>
    </w:p>
    <w:p w:rsidR="00273586" w:rsidRDefault="00273586" w:rsidP="00187A36">
      <w:pPr>
        <w:rPr>
          <w:rFonts w:ascii="NewBaskerville" w:hAnsi="NewBaskerville"/>
        </w:rPr>
      </w:pPr>
    </w:p>
    <w:p w:rsidR="00273586" w:rsidRDefault="00273586" w:rsidP="00187A36">
      <w:pPr>
        <w:rPr>
          <w:rFonts w:ascii="NewBaskerville" w:hAnsi="NewBaskerville"/>
        </w:rPr>
      </w:pPr>
    </w:p>
    <w:p w:rsidR="00273586" w:rsidRDefault="00273586" w:rsidP="00187A36">
      <w:pPr>
        <w:rPr>
          <w:rFonts w:ascii="NewBaskerville" w:hAnsi="NewBaskerville"/>
        </w:rPr>
      </w:pPr>
    </w:p>
    <w:p w:rsidR="00920A02" w:rsidRDefault="00920A02" w:rsidP="00187A36">
      <w:pPr>
        <w:rPr>
          <w:rFonts w:ascii="NewBaskerville" w:hAnsi="NewBaskerville"/>
        </w:rPr>
      </w:pPr>
    </w:p>
    <w:p w:rsidR="00920A02" w:rsidRDefault="00920A02" w:rsidP="00187A36">
      <w:pPr>
        <w:rPr>
          <w:rFonts w:ascii="NewBaskerville" w:hAnsi="NewBaskerville"/>
        </w:rPr>
        <w:sectPr w:rsidR="00920A02" w:rsidSect="00DA63BB">
          <w:pgSz w:w="16840" w:h="11907" w:orient="landscape" w:code="9"/>
          <w:pgMar w:top="1985" w:right="1701" w:bottom="1418" w:left="1701" w:header="567" w:footer="720" w:gutter="0"/>
          <w:cols w:space="720"/>
          <w:docGrid w:linePitch="272"/>
        </w:sectPr>
      </w:pPr>
    </w:p>
    <w:p w:rsidR="00187A36" w:rsidRPr="007F67C2" w:rsidRDefault="00F706A9" w:rsidP="00187A36">
      <w:pPr>
        <w:rPr>
          <w:rFonts w:ascii="NewBaskerville" w:hAnsi="NewBaskerville"/>
        </w:rPr>
      </w:pPr>
      <w:r w:rsidRPr="007F67C2">
        <w:rPr>
          <w:rFonts w:ascii="NewBaskerville" w:hAnsi="NewBaskerville"/>
        </w:rPr>
        <w:lastRenderedPageBreak/>
        <w:t>9</w:t>
      </w:r>
      <w:r w:rsidR="00187A36" w:rsidRPr="007F67C2">
        <w:rPr>
          <w:rFonts w:ascii="NewBaskerville" w:hAnsi="NewBaskerville"/>
        </w:rPr>
        <w:t>.1 Activos financieros</w:t>
      </w:r>
    </w:p>
    <w:p w:rsidR="0031074B" w:rsidRDefault="0031074B">
      <w:pPr>
        <w:tabs>
          <w:tab w:val="right" w:pos="8364"/>
        </w:tabs>
        <w:ind w:left="142" w:firstLine="425"/>
        <w:jc w:val="both"/>
      </w:pPr>
    </w:p>
    <w:p w:rsidR="00EF2E30" w:rsidRDefault="00CA44C8">
      <w:pPr>
        <w:tabs>
          <w:tab w:val="right" w:pos="8364"/>
        </w:tabs>
        <w:ind w:left="142" w:firstLine="425"/>
        <w:jc w:val="both"/>
        <w:rPr>
          <w:rFonts w:ascii="NewBaskerville" w:hAnsi="NewBaskerville"/>
        </w:rPr>
      </w:pPr>
      <w:r>
        <w:rPr>
          <w:rFonts w:ascii="NewBaskerville" w:hAnsi="NewBaskerville"/>
        </w:rPr>
        <w:t xml:space="preserve">Las </w:t>
      </w:r>
      <w:r>
        <w:rPr>
          <w:rFonts w:ascii="NewBaskerville" w:hAnsi="NewBaskerville"/>
          <w:b/>
        </w:rPr>
        <w:t>“Inversiones financieras en empresas del grupo y asociadas a largo plazo”</w:t>
      </w:r>
      <w:r>
        <w:rPr>
          <w:rFonts w:ascii="NewBaskerville" w:hAnsi="NewBaskerville"/>
        </w:rPr>
        <w:t xml:space="preserve"> se corresponde al préstamo concedido al Fondo Financiero de Accesibilidad Terrestre Portuaria</w:t>
      </w:r>
      <w:r w:rsidR="006E5280">
        <w:rPr>
          <w:rFonts w:ascii="NewBaskerville" w:hAnsi="NewBaskerville"/>
        </w:rPr>
        <w:t xml:space="preserve"> </w:t>
      </w:r>
      <w:r w:rsidR="00EF2E30">
        <w:rPr>
          <w:rFonts w:ascii="NewBaskerville" w:hAnsi="NewBaskerville"/>
        </w:rPr>
        <w:t>(en adelante FFATP</w:t>
      </w:r>
      <w:r w:rsidR="003F24D6">
        <w:rPr>
          <w:rFonts w:ascii="NewBaskerville" w:hAnsi="NewBaskerville"/>
        </w:rPr>
        <w:t>) con</w:t>
      </w:r>
      <w:r w:rsidR="006E5280">
        <w:rPr>
          <w:rFonts w:ascii="NewBaskerville" w:hAnsi="NewBaskerville"/>
        </w:rPr>
        <w:t xml:space="preserve"> vencimiento superior al año. </w:t>
      </w:r>
    </w:p>
    <w:p w:rsidR="00290279" w:rsidRDefault="00290279">
      <w:pPr>
        <w:tabs>
          <w:tab w:val="right" w:pos="8364"/>
        </w:tabs>
        <w:ind w:left="142" w:firstLine="425"/>
        <w:jc w:val="both"/>
        <w:rPr>
          <w:rFonts w:ascii="NewBaskerville" w:hAnsi="NewBaskerville"/>
        </w:rPr>
      </w:pPr>
    </w:p>
    <w:p w:rsidR="00187A36" w:rsidRDefault="00EF2E30">
      <w:pPr>
        <w:tabs>
          <w:tab w:val="right" w:pos="8364"/>
        </w:tabs>
        <w:ind w:left="142" w:firstLine="425"/>
        <w:jc w:val="both"/>
        <w:rPr>
          <w:rFonts w:ascii="NewBaskerville" w:hAnsi="NewBaskerville"/>
        </w:rPr>
      </w:pPr>
      <w:r>
        <w:rPr>
          <w:rFonts w:ascii="NewBaskerville" w:hAnsi="NewBaskerville"/>
        </w:rPr>
        <w:t xml:space="preserve">Su saldo lo componen las aportaciones obligatorias exigidas por el Comité de Distribución del Fondo de Compensación </w:t>
      </w:r>
      <w:proofErr w:type="spellStart"/>
      <w:r>
        <w:rPr>
          <w:rFonts w:ascii="NewBaskerville" w:hAnsi="NewBaskerville"/>
        </w:rPr>
        <w:t>Interportuario</w:t>
      </w:r>
      <w:proofErr w:type="spellEnd"/>
      <w:r>
        <w:rPr>
          <w:rFonts w:ascii="NewBaskerville" w:hAnsi="NewBaskerville"/>
        </w:rPr>
        <w:t>, en funciones de administración del FFATP, que tendrán naturaleza de préstamo y, cada aportación, de acuerdo con las siguientes condiciones:</w:t>
      </w:r>
    </w:p>
    <w:p w:rsidR="00EF2E30" w:rsidRDefault="00EF2E30" w:rsidP="00EF2E30">
      <w:pPr>
        <w:pStyle w:val="Prrafodelista"/>
        <w:numPr>
          <w:ilvl w:val="0"/>
          <w:numId w:val="6"/>
        </w:numPr>
        <w:tabs>
          <w:tab w:val="right" w:pos="8364"/>
        </w:tabs>
        <w:jc w:val="both"/>
        <w:rPr>
          <w:rFonts w:ascii="NewBaskerville" w:hAnsi="NewBaskerville"/>
        </w:rPr>
      </w:pPr>
      <w:r>
        <w:rPr>
          <w:rFonts w:ascii="NewBaskerville" w:hAnsi="NewBaskerville"/>
        </w:rPr>
        <w:t>Duración del préstamo: 20 años desde desembolso</w:t>
      </w:r>
    </w:p>
    <w:p w:rsidR="00EF2E30" w:rsidRDefault="00EF2E30" w:rsidP="00EF2E30">
      <w:pPr>
        <w:pStyle w:val="Prrafodelista"/>
        <w:numPr>
          <w:ilvl w:val="0"/>
          <w:numId w:val="6"/>
        </w:numPr>
        <w:tabs>
          <w:tab w:val="right" w:pos="8364"/>
        </w:tabs>
        <w:jc w:val="both"/>
        <w:rPr>
          <w:rFonts w:ascii="NewBaskerville" w:hAnsi="NewBaskerville"/>
        </w:rPr>
      </w:pPr>
      <w:r>
        <w:rPr>
          <w:rFonts w:ascii="NewBaskerville" w:hAnsi="NewBaskerville"/>
        </w:rPr>
        <w:t>Plazo de carencia: 3 años desde desembolso</w:t>
      </w:r>
    </w:p>
    <w:p w:rsidR="00EF2E30" w:rsidRDefault="00EF2E30" w:rsidP="00EF2E30">
      <w:pPr>
        <w:pStyle w:val="Prrafodelista"/>
        <w:numPr>
          <w:ilvl w:val="0"/>
          <w:numId w:val="6"/>
        </w:numPr>
        <w:tabs>
          <w:tab w:val="right" w:pos="8364"/>
        </w:tabs>
        <w:jc w:val="both"/>
        <w:rPr>
          <w:rFonts w:ascii="NewBaskerville" w:hAnsi="NewBaskerville"/>
        </w:rPr>
      </w:pPr>
      <w:r>
        <w:rPr>
          <w:rFonts w:ascii="NewBaskerville" w:hAnsi="NewBaskerville"/>
        </w:rPr>
        <w:t>Plazo amortización: Lineal de 17 años desde la finalización del plazo de carencia</w:t>
      </w:r>
    </w:p>
    <w:p w:rsidR="00EF2E30" w:rsidRDefault="00CE0C43" w:rsidP="00EF2E30">
      <w:pPr>
        <w:pStyle w:val="Prrafodelista"/>
        <w:numPr>
          <w:ilvl w:val="0"/>
          <w:numId w:val="6"/>
        </w:numPr>
        <w:tabs>
          <w:tab w:val="right" w:pos="8364"/>
        </w:tabs>
        <w:jc w:val="both"/>
        <w:rPr>
          <w:rFonts w:ascii="NewBaskerville" w:hAnsi="NewBaskerville"/>
        </w:rPr>
      </w:pPr>
      <w:r>
        <w:rPr>
          <w:rFonts w:ascii="NewBaskerville" w:hAnsi="NewBaskerville"/>
        </w:rPr>
        <w:t>Tipo y pago de interés: El tipo establecido en las condiciones entre el FFATP y el Banco Europeo de Inversiones, cada 15 de junio y 15 de diciembre.</w:t>
      </w:r>
    </w:p>
    <w:p w:rsidR="00CE0C43" w:rsidRDefault="00CE0C43" w:rsidP="00EF2E30">
      <w:pPr>
        <w:pStyle w:val="Prrafodelista"/>
        <w:numPr>
          <w:ilvl w:val="0"/>
          <w:numId w:val="6"/>
        </w:numPr>
        <w:tabs>
          <w:tab w:val="right" w:pos="8364"/>
        </w:tabs>
        <w:jc w:val="both"/>
        <w:rPr>
          <w:rFonts w:ascii="NewBaskerville" w:hAnsi="NewBaskerville"/>
        </w:rPr>
      </w:pPr>
      <w:r>
        <w:rPr>
          <w:rFonts w:ascii="NewBaskerville" w:hAnsi="NewBaskerville"/>
        </w:rPr>
        <w:t>Tipo de interés 202</w:t>
      </w:r>
      <w:r w:rsidR="009841A9">
        <w:rPr>
          <w:rFonts w:ascii="NewBaskerville" w:hAnsi="NewBaskerville"/>
        </w:rPr>
        <w:t>3</w:t>
      </w:r>
      <w:r>
        <w:rPr>
          <w:rFonts w:ascii="NewBaskerville" w:hAnsi="NewBaskerville"/>
        </w:rPr>
        <w:t>:</w:t>
      </w:r>
      <w:r w:rsidR="00C76C72">
        <w:rPr>
          <w:rFonts w:ascii="NewBaskerville" w:hAnsi="NewBaskerville"/>
        </w:rPr>
        <w:t xml:space="preserve"> </w:t>
      </w:r>
      <w:r w:rsidR="009841A9">
        <w:rPr>
          <w:rFonts w:ascii="NewBaskerville" w:hAnsi="NewBaskerville"/>
        </w:rPr>
        <w:t>1,</w:t>
      </w:r>
      <w:r w:rsidR="00C76C72">
        <w:rPr>
          <w:rFonts w:ascii="NewBaskerville" w:hAnsi="NewBaskerville"/>
        </w:rPr>
        <w:t>0</w:t>
      </w:r>
      <w:r w:rsidR="009841A9">
        <w:rPr>
          <w:rFonts w:ascii="NewBaskerville" w:hAnsi="NewBaskerville"/>
        </w:rPr>
        <w:t>42</w:t>
      </w:r>
      <w:r w:rsidR="00C76C72">
        <w:rPr>
          <w:rFonts w:ascii="NewBaskerville" w:hAnsi="NewBaskerville"/>
        </w:rPr>
        <w:t>% del 16/12/202</w:t>
      </w:r>
      <w:r w:rsidR="009841A9">
        <w:rPr>
          <w:rFonts w:ascii="NewBaskerville" w:hAnsi="NewBaskerville"/>
        </w:rPr>
        <w:t>2</w:t>
      </w:r>
      <w:r w:rsidR="00C76C72">
        <w:rPr>
          <w:rFonts w:ascii="NewBaskerville" w:hAnsi="NewBaskerville"/>
        </w:rPr>
        <w:t xml:space="preserve"> a 15/06/202</w:t>
      </w:r>
      <w:r w:rsidR="009841A9">
        <w:rPr>
          <w:rFonts w:ascii="NewBaskerville" w:hAnsi="NewBaskerville"/>
        </w:rPr>
        <w:t>3</w:t>
      </w:r>
      <w:r w:rsidR="00C76C72">
        <w:rPr>
          <w:rFonts w:ascii="NewBaskerville" w:hAnsi="NewBaskerville"/>
        </w:rPr>
        <w:t>;</w:t>
      </w:r>
      <w:r>
        <w:rPr>
          <w:rFonts w:ascii="NewBaskerville" w:hAnsi="NewBaskerville"/>
        </w:rPr>
        <w:t xml:space="preserve"> </w:t>
      </w:r>
      <w:r w:rsidR="009841A9">
        <w:rPr>
          <w:rFonts w:ascii="NewBaskerville" w:hAnsi="NewBaskerville"/>
        </w:rPr>
        <w:t>2,959% del 16/06/2023 al 15/12/2023</w:t>
      </w:r>
      <w:r w:rsidR="00C76C72">
        <w:rPr>
          <w:rFonts w:ascii="NewBaskerville" w:hAnsi="NewBaskerville"/>
        </w:rPr>
        <w:t>;</w:t>
      </w:r>
      <w:r w:rsidR="009841A9">
        <w:rPr>
          <w:rFonts w:ascii="NewBaskerville" w:hAnsi="NewBaskerville"/>
        </w:rPr>
        <w:t xml:space="preserve"> 3</w:t>
      </w:r>
      <w:r>
        <w:rPr>
          <w:rFonts w:ascii="NewBaskerville" w:hAnsi="NewBaskerville"/>
        </w:rPr>
        <w:t>,</w:t>
      </w:r>
      <w:r w:rsidR="009841A9">
        <w:rPr>
          <w:rFonts w:ascii="NewBaskerville" w:hAnsi="NewBaskerville"/>
        </w:rPr>
        <w:t>672</w:t>
      </w:r>
      <w:r>
        <w:rPr>
          <w:rFonts w:ascii="NewBaskerville" w:hAnsi="NewBaskerville"/>
        </w:rPr>
        <w:t>% del 16/12/202</w:t>
      </w:r>
      <w:r w:rsidR="009841A9">
        <w:rPr>
          <w:rFonts w:ascii="NewBaskerville" w:hAnsi="NewBaskerville"/>
        </w:rPr>
        <w:t>3 al 15/06/2024</w:t>
      </w:r>
      <w:r>
        <w:rPr>
          <w:rFonts w:ascii="NewBaskerville" w:hAnsi="NewBaskerville"/>
        </w:rPr>
        <w:t>.</w:t>
      </w:r>
    </w:p>
    <w:p w:rsidR="00290279" w:rsidRDefault="00290279" w:rsidP="00290279">
      <w:pPr>
        <w:pStyle w:val="Prrafodelista"/>
        <w:tabs>
          <w:tab w:val="right" w:pos="8364"/>
        </w:tabs>
        <w:ind w:left="1287"/>
        <w:jc w:val="both"/>
        <w:rPr>
          <w:rFonts w:ascii="NewBaskerville" w:hAnsi="NewBaskerville"/>
        </w:rPr>
      </w:pPr>
    </w:p>
    <w:p w:rsidR="000A1693" w:rsidRDefault="00C76C72" w:rsidP="00C76C72">
      <w:pPr>
        <w:tabs>
          <w:tab w:val="right" w:pos="8364"/>
        </w:tabs>
        <w:ind w:firstLine="567"/>
        <w:jc w:val="both"/>
        <w:rPr>
          <w:rFonts w:ascii="NewBaskerville" w:hAnsi="NewBaskerville"/>
        </w:rPr>
      </w:pPr>
      <w:r>
        <w:rPr>
          <w:rFonts w:ascii="NewBaskerville" w:hAnsi="NewBaskerville"/>
        </w:rPr>
        <w:t>En el siguiente cuadro se detalla la composición del saldo:</w:t>
      </w:r>
    </w:p>
    <w:tbl>
      <w:tblPr>
        <w:tblW w:w="6460" w:type="dxa"/>
        <w:tblInd w:w="60" w:type="dxa"/>
        <w:tblCellMar>
          <w:left w:w="70" w:type="dxa"/>
          <w:right w:w="70" w:type="dxa"/>
        </w:tblCellMar>
        <w:tblLook w:val="04A0" w:firstRow="1" w:lastRow="0" w:firstColumn="1" w:lastColumn="0" w:noHBand="0" w:noVBand="1"/>
      </w:tblPr>
      <w:tblGrid>
        <w:gridCol w:w="1425"/>
        <w:gridCol w:w="1294"/>
        <w:gridCol w:w="1220"/>
        <w:gridCol w:w="1201"/>
        <w:gridCol w:w="1320"/>
      </w:tblGrid>
      <w:tr w:rsidR="000332EA" w:rsidRPr="000332EA" w:rsidTr="000332EA">
        <w:trPr>
          <w:trHeight w:val="585"/>
        </w:trPr>
        <w:tc>
          <w:tcPr>
            <w:tcW w:w="1460" w:type="dxa"/>
            <w:tcBorders>
              <w:top w:val="single" w:sz="8" w:space="0" w:color="000000"/>
              <w:left w:val="single" w:sz="8" w:space="0" w:color="000000"/>
              <w:bottom w:val="single" w:sz="8" w:space="0" w:color="000000"/>
              <w:right w:val="single" w:sz="8" w:space="0" w:color="000000"/>
            </w:tcBorders>
            <w:shd w:val="clear" w:color="000000" w:fill="CCFFCC"/>
            <w:vAlign w:val="center"/>
            <w:hideMark/>
          </w:tcPr>
          <w:p w:rsidR="000332EA" w:rsidRPr="000332EA" w:rsidRDefault="000332EA" w:rsidP="000332EA">
            <w:pPr>
              <w:jc w:val="center"/>
              <w:rPr>
                <w:rFonts w:ascii="Lucida Bright" w:hAnsi="Lucida Bright" w:cs="Calibri"/>
                <w:b/>
                <w:bCs/>
                <w:color w:val="000000"/>
                <w:sz w:val="14"/>
                <w:szCs w:val="14"/>
                <w:lang w:val="es-ES"/>
              </w:rPr>
            </w:pPr>
            <w:r w:rsidRPr="000332EA">
              <w:rPr>
                <w:rFonts w:ascii="Lucida Bright" w:hAnsi="Lucida Bright" w:cs="Calibri"/>
                <w:b/>
                <w:bCs/>
                <w:color w:val="000000"/>
                <w:sz w:val="14"/>
                <w:szCs w:val="14"/>
                <w:lang w:val="es-ES"/>
              </w:rPr>
              <w:t>Ejercicio de desembolso aportación</w:t>
            </w:r>
          </w:p>
        </w:tc>
        <w:tc>
          <w:tcPr>
            <w:tcW w:w="1260" w:type="dxa"/>
            <w:tcBorders>
              <w:top w:val="single" w:sz="8" w:space="0" w:color="000000"/>
              <w:left w:val="nil"/>
              <w:bottom w:val="single" w:sz="8" w:space="0" w:color="000000"/>
              <w:right w:val="single" w:sz="8" w:space="0" w:color="000000"/>
            </w:tcBorders>
            <w:shd w:val="clear" w:color="000000" w:fill="CCFFCC"/>
            <w:vAlign w:val="center"/>
            <w:hideMark/>
          </w:tcPr>
          <w:p w:rsidR="000332EA" w:rsidRPr="000332EA" w:rsidRDefault="000332EA" w:rsidP="000332EA">
            <w:pPr>
              <w:jc w:val="center"/>
              <w:rPr>
                <w:rFonts w:ascii="Lucida Bright" w:hAnsi="Lucida Bright" w:cs="Calibri"/>
                <w:b/>
                <w:bCs/>
                <w:color w:val="000000"/>
                <w:sz w:val="14"/>
                <w:szCs w:val="14"/>
                <w:lang w:val="es-ES"/>
              </w:rPr>
            </w:pPr>
            <w:r w:rsidRPr="000332EA">
              <w:rPr>
                <w:rFonts w:ascii="Lucida Bright" w:hAnsi="Lucida Bright" w:cs="Calibri"/>
                <w:b/>
                <w:bCs/>
                <w:color w:val="000000"/>
                <w:sz w:val="14"/>
                <w:szCs w:val="14"/>
                <w:lang w:val="es-ES"/>
              </w:rPr>
              <w:t>Saldo a l/p a 31/12/2023</w:t>
            </w:r>
          </w:p>
        </w:tc>
        <w:tc>
          <w:tcPr>
            <w:tcW w:w="1220" w:type="dxa"/>
            <w:tcBorders>
              <w:top w:val="single" w:sz="8" w:space="0" w:color="000000"/>
              <w:left w:val="nil"/>
              <w:bottom w:val="single" w:sz="8" w:space="0" w:color="000000"/>
              <w:right w:val="single" w:sz="8" w:space="0" w:color="000000"/>
            </w:tcBorders>
            <w:shd w:val="clear" w:color="000000" w:fill="CCFFCC"/>
            <w:vAlign w:val="center"/>
            <w:hideMark/>
          </w:tcPr>
          <w:p w:rsidR="000332EA" w:rsidRPr="000332EA" w:rsidRDefault="000332EA" w:rsidP="000332EA">
            <w:pPr>
              <w:jc w:val="center"/>
              <w:rPr>
                <w:rFonts w:ascii="Lucida Bright" w:hAnsi="Lucida Bright" w:cs="Calibri"/>
                <w:b/>
                <w:bCs/>
                <w:color w:val="000000"/>
                <w:sz w:val="14"/>
                <w:szCs w:val="14"/>
                <w:lang w:val="es-ES"/>
              </w:rPr>
            </w:pPr>
            <w:r w:rsidRPr="000332EA">
              <w:rPr>
                <w:rFonts w:ascii="Lucida Bright" w:hAnsi="Lucida Bright" w:cs="Calibri"/>
                <w:b/>
                <w:bCs/>
                <w:color w:val="000000"/>
                <w:sz w:val="14"/>
                <w:szCs w:val="14"/>
                <w:lang w:val="es-ES"/>
              </w:rPr>
              <w:t>Saldo a c/p a 31/12/2023</w:t>
            </w:r>
          </w:p>
        </w:tc>
        <w:tc>
          <w:tcPr>
            <w:tcW w:w="1200" w:type="dxa"/>
            <w:tcBorders>
              <w:top w:val="single" w:sz="8" w:space="0" w:color="000000"/>
              <w:left w:val="nil"/>
              <w:bottom w:val="single" w:sz="8" w:space="0" w:color="000000"/>
              <w:right w:val="single" w:sz="8" w:space="0" w:color="000000"/>
            </w:tcBorders>
            <w:shd w:val="clear" w:color="000000" w:fill="CCFFCC"/>
            <w:noWrap/>
            <w:vAlign w:val="center"/>
            <w:hideMark/>
          </w:tcPr>
          <w:p w:rsidR="000332EA" w:rsidRPr="000332EA" w:rsidRDefault="000332EA" w:rsidP="000332EA">
            <w:pPr>
              <w:jc w:val="center"/>
              <w:rPr>
                <w:rFonts w:ascii="Lucida Bright" w:hAnsi="Lucida Bright" w:cs="Calibri"/>
                <w:b/>
                <w:bCs/>
                <w:color w:val="000000"/>
                <w:sz w:val="14"/>
                <w:szCs w:val="14"/>
                <w:lang w:val="es-ES"/>
              </w:rPr>
            </w:pPr>
            <w:r w:rsidRPr="000332EA">
              <w:rPr>
                <w:rFonts w:ascii="Lucida Bright" w:hAnsi="Lucida Bright" w:cs="Calibri"/>
                <w:b/>
                <w:bCs/>
                <w:color w:val="000000"/>
                <w:sz w:val="14"/>
                <w:szCs w:val="14"/>
                <w:lang w:val="es-ES"/>
              </w:rPr>
              <w:t>Vencimiento</w:t>
            </w:r>
          </w:p>
        </w:tc>
        <w:tc>
          <w:tcPr>
            <w:tcW w:w="1320" w:type="dxa"/>
            <w:tcBorders>
              <w:top w:val="single" w:sz="8" w:space="0" w:color="000000"/>
              <w:left w:val="nil"/>
              <w:bottom w:val="single" w:sz="8" w:space="0" w:color="000000"/>
              <w:right w:val="single" w:sz="8" w:space="0" w:color="000000"/>
            </w:tcBorders>
            <w:shd w:val="clear" w:color="000000" w:fill="CCFFCC"/>
            <w:vAlign w:val="center"/>
            <w:hideMark/>
          </w:tcPr>
          <w:p w:rsidR="000332EA" w:rsidRPr="000332EA" w:rsidRDefault="000332EA" w:rsidP="000332EA">
            <w:pPr>
              <w:jc w:val="center"/>
              <w:rPr>
                <w:rFonts w:ascii="Lucida Bright" w:hAnsi="Lucida Bright" w:cs="Calibri"/>
                <w:b/>
                <w:bCs/>
                <w:color w:val="000000"/>
                <w:sz w:val="14"/>
                <w:szCs w:val="14"/>
                <w:lang w:val="es-ES"/>
              </w:rPr>
            </w:pPr>
            <w:r w:rsidRPr="000332EA">
              <w:rPr>
                <w:rFonts w:ascii="Lucida Bright" w:hAnsi="Lucida Bright" w:cs="Calibri"/>
                <w:b/>
                <w:bCs/>
                <w:color w:val="000000"/>
                <w:sz w:val="14"/>
                <w:szCs w:val="14"/>
                <w:lang w:val="es-ES"/>
              </w:rPr>
              <w:t xml:space="preserve"> Inicio amortizaciones</w:t>
            </w:r>
          </w:p>
        </w:tc>
      </w:tr>
      <w:tr w:rsidR="000332EA" w:rsidRPr="000332EA" w:rsidTr="000332EA">
        <w:trPr>
          <w:trHeight w:val="300"/>
        </w:trPr>
        <w:tc>
          <w:tcPr>
            <w:tcW w:w="1460" w:type="dxa"/>
            <w:tcBorders>
              <w:top w:val="nil"/>
              <w:left w:val="single" w:sz="8" w:space="0" w:color="000000"/>
              <w:bottom w:val="single" w:sz="4" w:space="0" w:color="000000"/>
              <w:right w:val="single" w:sz="4" w:space="0" w:color="000000"/>
            </w:tcBorders>
            <w:shd w:val="clear" w:color="auto" w:fill="auto"/>
            <w:vAlign w:val="center"/>
            <w:hideMark/>
          </w:tcPr>
          <w:p w:rsidR="000332EA" w:rsidRPr="000332EA" w:rsidRDefault="000332EA" w:rsidP="000332EA">
            <w:pPr>
              <w:jc w:val="center"/>
              <w:rPr>
                <w:rFonts w:ascii="Lucida Bright" w:hAnsi="Lucida Bright" w:cs="Calibri"/>
                <w:color w:val="000000"/>
                <w:sz w:val="18"/>
                <w:szCs w:val="18"/>
                <w:lang w:val="es-ES"/>
              </w:rPr>
            </w:pPr>
            <w:r w:rsidRPr="000332EA">
              <w:rPr>
                <w:rFonts w:ascii="Lucida Bright" w:hAnsi="Lucida Bright" w:cs="Calibri"/>
                <w:color w:val="000000"/>
                <w:sz w:val="18"/>
                <w:szCs w:val="18"/>
                <w:lang w:val="es-ES"/>
              </w:rPr>
              <w:t>2019</w:t>
            </w:r>
          </w:p>
        </w:tc>
        <w:tc>
          <w:tcPr>
            <w:tcW w:w="1260" w:type="dxa"/>
            <w:tcBorders>
              <w:top w:val="nil"/>
              <w:left w:val="nil"/>
              <w:bottom w:val="single" w:sz="4" w:space="0" w:color="000000"/>
              <w:right w:val="single" w:sz="4" w:space="0" w:color="000000"/>
            </w:tcBorders>
            <w:shd w:val="clear" w:color="auto" w:fill="auto"/>
            <w:noWrap/>
            <w:vAlign w:val="center"/>
            <w:hideMark/>
          </w:tcPr>
          <w:p w:rsidR="000332EA" w:rsidRPr="000332EA" w:rsidRDefault="000332EA" w:rsidP="000332EA">
            <w:pPr>
              <w:jc w:val="right"/>
              <w:rPr>
                <w:rFonts w:ascii="Lucida Bright" w:hAnsi="Lucida Bright" w:cs="Calibri"/>
                <w:sz w:val="18"/>
                <w:szCs w:val="18"/>
                <w:lang w:val="es-ES"/>
              </w:rPr>
            </w:pPr>
            <w:r w:rsidRPr="000332EA">
              <w:rPr>
                <w:rFonts w:ascii="Lucida Bright" w:hAnsi="Lucida Bright" w:cs="Calibri"/>
                <w:sz w:val="18"/>
                <w:szCs w:val="18"/>
                <w:lang w:val="es-ES"/>
              </w:rPr>
              <w:t>195.176,46</w:t>
            </w:r>
          </w:p>
        </w:tc>
        <w:tc>
          <w:tcPr>
            <w:tcW w:w="1220" w:type="dxa"/>
            <w:tcBorders>
              <w:top w:val="nil"/>
              <w:left w:val="nil"/>
              <w:bottom w:val="single" w:sz="4" w:space="0" w:color="000000"/>
              <w:right w:val="single" w:sz="4" w:space="0" w:color="000000"/>
            </w:tcBorders>
            <w:shd w:val="clear" w:color="auto" w:fill="auto"/>
            <w:noWrap/>
            <w:vAlign w:val="center"/>
            <w:hideMark/>
          </w:tcPr>
          <w:p w:rsidR="000332EA" w:rsidRPr="000332EA" w:rsidRDefault="000332EA" w:rsidP="000332EA">
            <w:pPr>
              <w:jc w:val="right"/>
              <w:rPr>
                <w:rFonts w:ascii="Lucida Bright" w:hAnsi="Lucida Bright" w:cs="Calibri"/>
                <w:sz w:val="18"/>
                <w:szCs w:val="18"/>
                <w:lang w:val="es-ES"/>
              </w:rPr>
            </w:pPr>
            <w:r w:rsidRPr="000332EA">
              <w:rPr>
                <w:rFonts w:ascii="Lucida Bright" w:hAnsi="Lucida Bright" w:cs="Calibri"/>
                <w:sz w:val="18"/>
                <w:szCs w:val="18"/>
                <w:lang w:val="es-ES"/>
              </w:rPr>
              <w:t>13.941,18</w:t>
            </w:r>
          </w:p>
        </w:tc>
        <w:tc>
          <w:tcPr>
            <w:tcW w:w="1200" w:type="dxa"/>
            <w:tcBorders>
              <w:top w:val="nil"/>
              <w:left w:val="nil"/>
              <w:bottom w:val="single" w:sz="4" w:space="0" w:color="000000"/>
              <w:right w:val="single" w:sz="8" w:space="0" w:color="000000"/>
            </w:tcBorders>
            <w:shd w:val="clear" w:color="000000" w:fill="FFFFFF"/>
            <w:noWrap/>
            <w:vAlign w:val="center"/>
            <w:hideMark/>
          </w:tcPr>
          <w:p w:rsidR="000332EA" w:rsidRPr="000332EA" w:rsidRDefault="000332EA" w:rsidP="000332EA">
            <w:pPr>
              <w:jc w:val="right"/>
              <w:rPr>
                <w:rFonts w:ascii="Lucida Bright" w:hAnsi="Lucida Bright" w:cs="Calibri"/>
                <w:color w:val="000000"/>
                <w:sz w:val="18"/>
                <w:szCs w:val="18"/>
                <w:lang w:val="es-ES"/>
              </w:rPr>
            </w:pPr>
            <w:r w:rsidRPr="000332EA">
              <w:rPr>
                <w:rFonts w:ascii="Lucida Bright" w:hAnsi="Lucida Bright" w:cs="Calibri"/>
                <w:color w:val="000000"/>
                <w:sz w:val="18"/>
                <w:szCs w:val="18"/>
                <w:lang w:val="es-ES"/>
              </w:rPr>
              <w:t>15/12/2038</w:t>
            </w:r>
          </w:p>
        </w:tc>
        <w:tc>
          <w:tcPr>
            <w:tcW w:w="1320" w:type="dxa"/>
            <w:tcBorders>
              <w:top w:val="nil"/>
              <w:left w:val="single" w:sz="4" w:space="0" w:color="000000"/>
              <w:bottom w:val="single" w:sz="4" w:space="0" w:color="000000"/>
              <w:right w:val="single" w:sz="8" w:space="0" w:color="000000"/>
            </w:tcBorders>
            <w:shd w:val="clear" w:color="000000" w:fill="FFFFFF"/>
            <w:noWrap/>
            <w:vAlign w:val="center"/>
            <w:hideMark/>
          </w:tcPr>
          <w:p w:rsidR="000332EA" w:rsidRPr="000332EA" w:rsidRDefault="000332EA" w:rsidP="000332EA">
            <w:pPr>
              <w:jc w:val="right"/>
              <w:rPr>
                <w:rFonts w:ascii="Lucida Bright" w:hAnsi="Lucida Bright" w:cs="Calibri"/>
                <w:color w:val="000000"/>
                <w:sz w:val="18"/>
                <w:szCs w:val="18"/>
                <w:lang w:val="es-ES"/>
              </w:rPr>
            </w:pPr>
            <w:r w:rsidRPr="000332EA">
              <w:rPr>
                <w:rFonts w:ascii="Lucida Bright" w:hAnsi="Lucida Bright" w:cs="Calibri"/>
                <w:color w:val="000000"/>
                <w:sz w:val="18"/>
                <w:szCs w:val="18"/>
                <w:lang w:val="es-ES"/>
              </w:rPr>
              <w:t>15/12/2022</w:t>
            </w:r>
          </w:p>
        </w:tc>
      </w:tr>
      <w:tr w:rsidR="000332EA" w:rsidRPr="000332EA" w:rsidTr="000332EA">
        <w:trPr>
          <w:trHeight w:val="300"/>
        </w:trPr>
        <w:tc>
          <w:tcPr>
            <w:tcW w:w="1460" w:type="dxa"/>
            <w:tcBorders>
              <w:top w:val="nil"/>
              <w:left w:val="single" w:sz="8" w:space="0" w:color="000000"/>
              <w:bottom w:val="single" w:sz="4" w:space="0" w:color="000000"/>
              <w:right w:val="single" w:sz="4" w:space="0" w:color="000000"/>
            </w:tcBorders>
            <w:shd w:val="clear" w:color="auto" w:fill="auto"/>
            <w:vAlign w:val="center"/>
            <w:hideMark/>
          </w:tcPr>
          <w:p w:rsidR="000332EA" w:rsidRPr="000332EA" w:rsidRDefault="000332EA" w:rsidP="000332EA">
            <w:pPr>
              <w:jc w:val="center"/>
              <w:rPr>
                <w:rFonts w:ascii="Lucida Bright" w:hAnsi="Lucida Bright" w:cs="Calibri"/>
                <w:color w:val="000000"/>
                <w:sz w:val="18"/>
                <w:szCs w:val="18"/>
                <w:lang w:val="es-ES"/>
              </w:rPr>
            </w:pPr>
            <w:r w:rsidRPr="000332EA">
              <w:rPr>
                <w:rFonts w:ascii="Lucida Bright" w:hAnsi="Lucida Bright" w:cs="Calibri"/>
                <w:color w:val="000000"/>
                <w:sz w:val="18"/>
                <w:szCs w:val="18"/>
                <w:lang w:val="es-ES"/>
              </w:rPr>
              <w:t>2020</w:t>
            </w:r>
          </w:p>
        </w:tc>
        <w:tc>
          <w:tcPr>
            <w:tcW w:w="1260" w:type="dxa"/>
            <w:tcBorders>
              <w:top w:val="nil"/>
              <w:left w:val="nil"/>
              <w:bottom w:val="single" w:sz="4" w:space="0" w:color="000000"/>
              <w:right w:val="single" w:sz="4" w:space="0" w:color="000000"/>
            </w:tcBorders>
            <w:shd w:val="clear" w:color="auto" w:fill="auto"/>
            <w:noWrap/>
            <w:vAlign w:val="center"/>
            <w:hideMark/>
          </w:tcPr>
          <w:p w:rsidR="000332EA" w:rsidRPr="000332EA" w:rsidRDefault="000332EA" w:rsidP="000332EA">
            <w:pPr>
              <w:jc w:val="right"/>
              <w:rPr>
                <w:rFonts w:ascii="Lucida Bright" w:hAnsi="Lucida Bright" w:cs="Calibri"/>
                <w:sz w:val="18"/>
                <w:szCs w:val="18"/>
                <w:lang w:val="es-ES"/>
              </w:rPr>
            </w:pPr>
            <w:r w:rsidRPr="000332EA">
              <w:rPr>
                <w:rFonts w:ascii="Lucida Bright" w:hAnsi="Lucida Bright" w:cs="Calibri"/>
                <w:sz w:val="18"/>
                <w:szCs w:val="18"/>
                <w:lang w:val="es-ES"/>
              </w:rPr>
              <w:t>209.117,64</w:t>
            </w:r>
          </w:p>
        </w:tc>
        <w:tc>
          <w:tcPr>
            <w:tcW w:w="1220" w:type="dxa"/>
            <w:tcBorders>
              <w:top w:val="nil"/>
              <w:left w:val="nil"/>
              <w:bottom w:val="single" w:sz="4" w:space="0" w:color="000000"/>
              <w:right w:val="single" w:sz="4" w:space="0" w:color="000000"/>
            </w:tcBorders>
            <w:shd w:val="clear" w:color="auto" w:fill="auto"/>
            <w:noWrap/>
            <w:vAlign w:val="center"/>
            <w:hideMark/>
          </w:tcPr>
          <w:p w:rsidR="000332EA" w:rsidRPr="000332EA" w:rsidRDefault="000332EA" w:rsidP="000332EA">
            <w:pPr>
              <w:jc w:val="right"/>
              <w:rPr>
                <w:rFonts w:ascii="Lucida Bright" w:hAnsi="Lucida Bright" w:cs="Calibri"/>
                <w:sz w:val="18"/>
                <w:szCs w:val="18"/>
                <w:lang w:val="es-ES"/>
              </w:rPr>
            </w:pPr>
            <w:r w:rsidRPr="000332EA">
              <w:rPr>
                <w:rFonts w:ascii="Lucida Bright" w:hAnsi="Lucida Bright" w:cs="Calibri"/>
                <w:sz w:val="18"/>
                <w:szCs w:val="18"/>
                <w:lang w:val="es-ES"/>
              </w:rPr>
              <w:t>13.941,18</w:t>
            </w:r>
          </w:p>
        </w:tc>
        <w:tc>
          <w:tcPr>
            <w:tcW w:w="1200" w:type="dxa"/>
            <w:tcBorders>
              <w:top w:val="nil"/>
              <w:left w:val="nil"/>
              <w:bottom w:val="single" w:sz="4" w:space="0" w:color="000000"/>
              <w:right w:val="single" w:sz="8" w:space="0" w:color="000000"/>
            </w:tcBorders>
            <w:shd w:val="clear" w:color="000000" w:fill="FFFFFF"/>
            <w:noWrap/>
            <w:vAlign w:val="center"/>
            <w:hideMark/>
          </w:tcPr>
          <w:p w:rsidR="000332EA" w:rsidRPr="000332EA" w:rsidRDefault="000332EA" w:rsidP="000332EA">
            <w:pPr>
              <w:jc w:val="right"/>
              <w:rPr>
                <w:rFonts w:ascii="Lucida Bright" w:hAnsi="Lucida Bright" w:cs="Calibri"/>
                <w:color w:val="000000"/>
                <w:sz w:val="18"/>
                <w:szCs w:val="18"/>
                <w:lang w:val="es-ES"/>
              </w:rPr>
            </w:pPr>
            <w:r w:rsidRPr="000332EA">
              <w:rPr>
                <w:rFonts w:ascii="Lucida Bright" w:hAnsi="Lucida Bright" w:cs="Calibri"/>
                <w:color w:val="000000"/>
                <w:sz w:val="18"/>
                <w:szCs w:val="18"/>
                <w:lang w:val="es-ES"/>
              </w:rPr>
              <w:t>15/12/2039</w:t>
            </w:r>
          </w:p>
        </w:tc>
        <w:tc>
          <w:tcPr>
            <w:tcW w:w="1320" w:type="dxa"/>
            <w:tcBorders>
              <w:top w:val="nil"/>
              <w:left w:val="single" w:sz="4" w:space="0" w:color="000000"/>
              <w:bottom w:val="single" w:sz="4" w:space="0" w:color="000000"/>
              <w:right w:val="single" w:sz="8" w:space="0" w:color="000000"/>
            </w:tcBorders>
            <w:shd w:val="clear" w:color="000000" w:fill="FFFFFF"/>
            <w:noWrap/>
            <w:vAlign w:val="center"/>
            <w:hideMark/>
          </w:tcPr>
          <w:p w:rsidR="000332EA" w:rsidRPr="000332EA" w:rsidRDefault="000332EA" w:rsidP="000332EA">
            <w:pPr>
              <w:jc w:val="right"/>
              <w:rPr>
                <w:rFonts w:ascii="Lucida Bright" w:hAnsi="Lucida Bright" w:cs="Calibri"/>
                <w:color w:val="000000"/>
                <w:sz w:val="18"/>
                <w:szCs w:val="18"/>
                <w:lang w:val="es-ES"/>
              </w:rPr>
            </w:pPr>
            <w:r w:rsidRPr="000332EA">
              <w:rPr>
                <w:rFonts w:ascii="Lucida Bright" w:hAnsi="Lucida Bright" w:cs="Calibri"/>
                <w:color w:val="000000"/>
                <w:sz w:val="18"/>
                <w:szCs w:val="18"/>
                <w:lang w:val="es-ES"/>
              </w:rPr>
              <w:t>15/12/2023</w:t>
            </w:r>
          </w:p>
        </w:tc>
      </w:tr>
      <w:tr w:rsidR="000332EA" w:rsidRPr="000332EA" w:rsidTr="000332EA">
        <w:trPr>
          <w:trHeight w:val="300"/>
        </w:trPr>
        <w:tc>
          <w:tcPr>
            <w:tcW w:w="1460" w:type="dxa"/>
            <w:tcBorders>
              <w:top w:val="nil"/>
              <w:left w:val="single" w:sz="8" w:space="0" w:color="000000"/>
              <w:bottom w:val="single" w:sz="4" w:space="0" w:color="000000"/>
              <w:right w:val="single" w:sz="4" w:space="0" w:color="000000"/>
            </w:tcBorders>
            <w:shd w:val="clear" w:color="auto" w:fill="auto"/>
            <w:vAlign w:val="center"/>
            <w:hideMark/>
          </w:tcPr>
          <w:p w:rsidR="000332EA" w:rsidRPr="000332EA" w:rsidRDefault="000332EA" w:rsidP="000332EA">
            <w:pPr>
              <w:jc w:val="center"/>
              <w:rPr>
                <w:rFonts w:ascii="Lucida Bright" w:hAnsi="Lucida Bright" w:cs="Calibri"/>
                <w:color w:val="000000"/>
                <w:sz w:val="18"/>
                <w:szCs w:val="18"/>
                <w:lang w:val="es-ES"/>
              </w:rPr>
            </w:pPr>
            <w:r w:rsidRPr="000332EA">
              <w:rPr>
                <w:rFonts w:ascii="Lucida Bright" w:hAnsi="Lucida Bright" w:cs="Calibri"/>
                <w:color w:val="000000"/>
                <w:sz w:val="18"/>
                <w:szCs w:val="18"/>
                <w:lang w:val="es-ES"/>
              </w:rPr>
              <w:t>2021</w:t>
            </w:r>
          </w:p>
        </w:tc>
        <w:tc>
          <w:tcPr>
            <w:tcW w:w="1260" w:type="dxa"/>
            <w:tcBorders>
              <w:top w:val="nil"/>
              <w:left w:val="nil"/>
              <w:bottom w:val="single" w:sz="4" w:space="0" w:color="000000"/>
              <w:right w:val="single" w:sz="4" w:space="0" w:color="000000"/>
            </w:tcBorders>
            <w:shd w:val="clear" w:color="000000" w:fill="FFFFFF"/>
            <w:noWrap/>
            <w:vAlign w:val="center"/>
            <w:hideMark/>
          </w:tcPr>
          <w:p w:rsidR="000332EA" w:rsidRPr="000332EA" w:rsidRDefault="000332EA" w:rsidP="000332EA">
            <w:pPr>
              <w:jc w:val="right"/>
              <w:rPr>
                <w:rFonts w:ascii="Lucida Bright" w:hAnsi="Lucida Bright" w:cs="Calibri"/>
                <w:color w:val="000000"/>
                <w:sz w:val="18"/>
                <w:szCs w:val="18"/>
                <w:lang w:val="es-ES"/>
              </w:rPr>
            </w:pPr>
            <w:r w:rsidRPr="000332EA">
              <w:rPr>
                <w:rFonts w:ascii="Lucida Bright" w:hAnsi="Lucida Bright" w:cs="Calibri"/>
                <w:color w:val="000000"/>
                <w:sz w:val="18"/>
                <w:szCs w:val="18"/>
                <w:lang w:val="es-ES"/>
              </w:rPr>
              <w:t>1.169.882,35</w:t>
            </w:r>
          </w:p>
        </w:tc>
        <w:tc>
          <w:tcPr>
            <w:tcW w:w="1220" w:type="dxa"/>
            <w:tcBorders>
              <w:top w:val="nil"/>
              <w:left w:val="nil"/>
              <w:bottom w:val="single" w:sz="4" w:space="0" w:color="000000"/>
              <w:right w:val="single" w:sz="4" w:space="0" w:color="000000"/>
            </w:tcBorders>
            <w:shd w:val="clear" w:color="000000" w:fill="FFFFFF"/>
            <w:noWrap/>
            <w:vAlign w:val="center"/>
            <w:hideMark/>
          </w:tcPr>
          <w:p w:rsidR="000332EA" w:rsidRPr="000332EA" w:rsidRDefault="000332EA" w:rsidP="000332EA">
            <w:pPr>
              <w:jc w:val="right"/>
              <w:rPr>
                <w:rFonts w:ascii="Lucida Bright" w:hAnsi="Lucida Bright" w:cs="Calibri"/>
                <w:color w:val="000000"/>
                <w:sz w:val="18"/>
                <w:szCs w:val="18"/>
                <w:lang w:val="es-ES"/>
              </w:rPr>
            </w:pPr>
            <w:r w:rsidRPr="000332EA">
              <w:rPr>
                <w:rFonts w:ascii="Lucida Bright" w:hAnsi="Lucida Bright" w:cs="Calibri"/>
                <w:color w:val="000000"/>
                <w:sz w:val="18"/>
                <w:szCs w:val="18"/>
                <w:lang w:val="es-ES"/>
              </w:rPr>
              <w:t>73.117,65</w:t>
            </w:r>
          </w:p>
        </w:tc>
        <w:tc>
          <w:tcPr>
            <w:tcW w:w="1200" w:type="dxa"/>
            <w:tcBorders>
              <w:top w:val="nil"/>
              <w:left w:val="nil"/>
              <w:bottom w:val="single" w:sz="4" w:space="0" w:color="000000"/>
              <w:right w:val="single" w:sz="8" w:space="0" w:color="000000"/>
            </w:tcBorders>
            <w:shd w:val="clear" w:color="000000" w:fill="FFFFFF"/>
            <w:noWrap/>
            <w:vAlign w:val="center"/>
            <w:hideMark/>
          </w:tcPr>
          <w:p w:rsidR="000332EA" w:rsidRPr="000332EA" w:rsidRDefault="000332EA" w:rsidP="000332EA">
            <w:pPr>
              <w:jc w:val="right"/>
              <w:rPr>
                <w:rFonts w:ascii="Lucida Bright" w:hAnsi="Lucida Bright" w:cs="Calibri"/>
                <w:color w:val="000000"/>
                <w:sz w:val="18"/>
                <w:szCs w:val="18"/>
                <w:lang w:val="es-ES"/>
              </w:rPr>
            </w:pPr>
            <w:r w:rsidRPr="000332EA">
              <w:rPr>
                <w:rFonts w:ascii="Lucida Bright" w:hAnsi="Lucida Bright" w:cs="Calibri"/>
                <w:color w:val="000000"/>
                <w:sz w:val="18"/>
                <w:szCs w:val="18"/>
                <w:lang w:val="es-ES"/>
              </w:rPr>
              <w:t>17/12/2040</w:t>
            </w:r>
          </w:p>
        </w:tc>
        <w:tc>
          <w:tcPr>
            <w:tcW w:w="1320" w:type="dxa"/>
            <w:tcBorders>
              <w:top w:val="nil"/>
              <w:left w:val="single" w:sz="4" w:space="0" w:color="000000"/>
              <w:bottom w:val="single" w:sz="4" w:space="0" w:color="000000"/>
              <w:right w:val="single" w:sz="8" w:space="0" w:color="000000"/>
            </w:tcBorders>
            <w:shd w:val="clear" w:color="000000" w:fill="FFFFFF"/>
            <w:noWrap/>
            <w:vAlign w:val="center"/>
            <w:hideMark/>
          </w:tcPr>
          <w:p w:rsidR="000332EA" w:rsidRPr="000332EA" w:rsidRDefault="000332EA" w:rsidP="000332EA">
            <w:pPr>
              <w:jc w:val="right"/>
              <w:rPr>
                <w:rFonts w:ascii="Lucida Bright" w:hAnsi="Lucida Bright" w:cs="Calibri"/>
                <w:color w:val="000000"/>
                <w:sz w:val="18"/>
                <w:szCs w:val="18"/>
                <w:lang w:val="es-ES"/>
              </w:rPr>
            </w:pPr>
            <w:r w:rsidRPr="000332EA">
              <w:rPr>
                <w:rFonts w:ascii="Lucida Bright" w:hAnsi="Lucida Bright" w:cs="Calibri"/>
                <w:color w:val="000000"/>
                <w:sz w:val="18"/>
                <w:szCs w:val="18"/>
                <w:lang w:val="es-ES"/>
              </w:rPr>
              <w:t>16/12/2024</w:t>
            </w:r>
          </w:p>
        </w:tc>
      </w:tr>
      <w:tr w:rsidR="000332EA" w:rsidRPr="000332EA" w:rsidTr="000332EA">
        <w:trPr>
          <w:trHeight w:val="300"/>
        </w:trPr>
        <w:tc>
          <w:tcPr>
            <w:tcW w:w="1460" w:type="dxa"/>
            <w:tcBorders>
              <w:top w:val="nil"/>
              <w:left w:val="single" w:sz="8" w:space="0" w:color="000000"/>
              <w:bottom w:val="single" w:sz="8" w:space="0" w:color="000000"/>
              <w:right w:val="single" w:sz="4" w:space="0" w:color="000000"/>
            </w:tcBorders>
            <w:shd w:val="clear" w:color="auto" w:fill="auto"/>
            <w:vAlign w:val="center"/>
            <w:hideMark/>
          </w:tcPr>
          <w:p w:rsidR="000332EA" w:rsidRPr="000332EA" w:rsidRDefault="000332EA" w:rsidP="000332EA">
            <w:pPr>
              <w:jc w:val="center"/>
              <w:rPr>
                <w:rFonts w:ascii="Lucida Bright" w:hAnsi="Lucida Bright" w:cs="Calibri"/>
                <w:color w:val="000000"/>
                <w:sz w:val="18"/>
                <w:szCs w:val="18"/>
                <w:lang w:val="es-ES"/>
              </w:rPr>
            </w:pPr>
            <w:r w:rsidRPr="000332EA">
              <w:rPr>
                <w:rFonts w:ascii="Lucida Bright" w:hAnsi="Lucida Bright" w:cs="Calibri"/>
                <w:color w:val="000000"/>
                <w:sz w:val="18"/>
                <w:szCs w:val="18"/>
                <w:lang w:val="es-ES"/>
              </w:rPr>
              <w:t>2022</w:t>
            </w:r>
          </w:p>
        </w:tc>
        <w:tc>
          <w:tcPr>
            <w:tcW w:w="1260" w:type="dxa"/>
            <w:tcBorders>
              <w:top w:val="nil"/>
              <w:left w:val="nil"/>
              <w:bottom w:val="single" w:sz="8" w:space="0" w:color="000000"/>
              <w:right w:val="single" w:sz="4" w:space="0" w:color="000000"/>
            </w:tcBorders>
            <w:shd w:val="clear" w:color="000000" w:fill="FFFFFF"/>
            <w:noWrap/>
            <w:vAlign w:val="center"/>
            <w:hideMark/>
          </w:tcPr>
          <w:p w:rsidR="000332EA" w:rsidRPr="000332EA" w:rsidRDefault="000332EA" w:rsidP="000332EA">
            <w:pPr>
              <w:jc w:val="right"/>
              <w:rPr>
                <w:rFonts w:ascii="Lucida Bright" w:hAnsi="Lucida Bright" w:cs="Calibri"/>
                <w:color w:val="000000"/>
                <w:sz w:val="18"/>
                <w:szCs w:val="18"/>
                <w:lang w:val="es-ES"/>
              </w:rPr>
            </w:pPr>
            <w:r w:rsidRPr="000332EA">
              <w:rPr>
                <w:rFonts w:ascii="Lucida Bright" w:hAnsi="Lucida Bright" w:cs="Calibri"/>
                <w:color w:val="000000"/>
                <w:sz w:val="18"/>
                <w:szCs w:val="18"/>
                <w:lang w:val="es-ES"/>
              </w:rPr>
              <w:t>3.845.000,00</w:t>
            </w:r>
          </w:p>
        </w:tc>
        <w:tc>
          <w:tcPr>
            <w:tcW w:w="1220" w:type="dxa"/>
            <w:tcBorders>
              <w:top w:val="nil"/>
              <w:left w:val="nil"/>
              <w:bottom w:val="single" w:sz="8" w:space="0" w:color="000000"/>
              <w:right w:val="single" w:sz="4" w:space="0" w:color="000000"/>
            </w:tcBorders>
            <w:shd w:val="clear" w:color="000000" w:fill="FFFFFF"/>
            <w:noWrap/>
            <w:vAlign w:val="center"/>
            <w:hideMark/>
          </w:tcPr>
          <w:p w:rsidR="000332EA" w:rsidRPr="000332EA" w:rsidRDefault="000332EA" w:rsidP="000332EA">
            <w:pPr>
              <w:jc w:val="right"/>
              <w:rPr>
                <w:rFonts w:ascii="Lucida Bright" w:hAnsi="Lucida Bright" w:cs="Calibri"/>
                <w:color w:val="000000"/>
                <w:sz w:val="18"/>
                <w:szCs w:val="18"/>
                <w:lang w:val="es-ES"/>
              </w:rPr>
            </w:pPr>
            <w:r w:rsidRPr="000332EA">
              <w:rPr>
                <w:rFonts w:ascii="Lucida Bright" w:hAnsi="Lucida Bright" w:cs="Calibri"/>
                <w:color w:val="000000"/>
                <w:sz w:val="18"/>
                <w:szCs w:val="18"/>
                <w:lang w:val="es-ES"/>
              </w:rPr>
              <w:t>0,00</w:t>
            </w:r>
          </w:p>
        </w:tc>
        <w:tc>
          <w:tcPr>
            <w:tcW w:w="1200" w:type="dxa"/>
            <w:tcBorders>
              <w:top w:val="nil"/>
              <w:left w:val="nil"/>
              <w:bottom w:val="single" w:sz="8" w:space="0" w:color="000000"/>
              <w:right w:val="single" w:sz="8" w:space="0" w:color="000000"/>
            </w:tcBorders>
            <w:shd w:val="clear" w:color="000000" w:fill="FFFFFF"/>
            <w:noWrap/>
            <w:vAlign w:val="center"/>
            <w:hideMark/>
          </w:tcPr>
          <w:p w:rsidR="000332EA" w:rsidRPr="000332EA" w:rsidRDefault="000332EA" w:rsidP="000332EA">
            <w:pPr>
              <w:jc w:val="right"/>
              <w:rPr>
                <w:rFonts w:ascii="Lucida Bright" w:hAnsi="Lucida Bright" w:cs="Calibri"/>
                <w:color w:val="000000"/>
                <w:sz w:val="18"/>
                <w:szCs w:val="18"/>
                <w:lang w:val="es-ES"/>
              </w:rPr>
            </w:pPr>
            <w:r w:rsidRPr="000332EA">
              <w:rPr>
                <w:rFonts w:ascii="Lucida Bright" w:hAnsi="Lucida Bright" w:cs="Calibri"/>
                <w:color w:val="000000"/>
                <w:sz w:val="18"/>
                <w:szCs w:val="18"/>
                <w:lang w:val="es-ES"/>
              </w:rPr>
              <w:t>16/12/2041</w:t>
            </w:r>
          </w:p>
        </w:tc>
        <w:tc>
          <w:tcPr>
            <w:tcW w:w="1320" w:type="dxa"/>
            <w:tcBorders>
              <w:top w:val="nil"/>
              <w:left w:val="single" w:sz="4" w:space="0" w:color="000000"/>
              <w:bottom w:val="single" w:sz="8" w:space="0" w:color="000000"/>
              <w:right w:val="single" w:sz="8" w:space="0" w:color="000000"/>
            </w:tcBorders>
            <w:shd w:val="clear" w:color="000000" w:fill="FFFFFF"/>
            <w:noWrap/>
            <w:vAlign w:val="center"/>
            <w:hideMark/>
          </w:tcPr>
          <w:p w:rsidR="000332EA" w:rsidRPr="000332EA" w:rsidRDefault="000332EA" w:rsidP="000332EA">
            <w:pPr>
              <w:jc w:val="right"/>
              <w:rPr>
                <w:rFonts w:ascii="Lucida Bright" w:hAnsi="Lucida Bright" w:cs="Calibri"/>
                <w:color w:val="000000"/>
                <w:sz w:val="18"/>
                <w:szCs w:val="18"/>
                <w:lang w:val="es-ES"/>
              </w:rPr>
            </w:pPr>
            <w:r w:rsidRPr="000332EA">
              <w:rPr>
                <w:rFonts w:ascii="Lucida Bright" w:hAnsi="Lucida Bright" w:cs="Calibri"/>
                <w:color w:val="000000"/>
                <w:sz w:val="18"/>
                <w:szCs w:val="18"/>
                <w:lang w:val="es-ES"/>
              </w:rPr>
              <w:t>15/12/2025</w:t>
            </w:r>
          </w:p>
        </w:tc>
      </w:tr>
      <w:tr w:rsidR="000332EA" w:rsidRPr="000332EA" w:rsidTr="000332EA">
        <w:trPr>
          <w:trHeight w:val="300"/>
        </w:trPr>
        <w:tc>
          <w:tcPr>
            <w:tcW w:w="1460" w:type="dxa"/>
            <w:tcBorders>
              <w:top w:val="nil"/>
              <w:left w:val="single" w:sz="8" w:space="0" w:color="000000"/>
              <w:bottom w:val="single" w:sz="8" w:space="0" w:color="000000"/>
              <w:right w:val="single" w:sz="8" w:space="0" w:color="000000"/>
            </w:tcBorders>
            <w:shd w:val="clear" w:color="auto" w:fill="auto"/>
            <w:vAlign w:val="center"/>
            <w:hideMark/>
          </w:tcPr>
          <w:p w:rsidR="000332EA" w:rsidRPr="000332EA" w:rsidRDefault="000332EA" w:rsidP="000332EA">
            <w:pPr>
              <w:ind w:firstLineChars="200" w:firstLine="361"/>
              <w:jc w:val="right"/>
              <w:rPr>
                <w:rFonts w:ascii="Lucida Bright" w:hAnsi="Lucida Bright" w:cs="Calibri"/>
                <w:b/>
                <w:bCs/>
                <w:color w:val="000000"/>
                <w:sz w:val="18"/>
                <w:szCs w:val="18"/>
                <w:lang w:val="es-ES"/>
              </w:rPr>
            </w:pPr>
            <w:r w:rsidRPr="000332EA">
              <w:rPr>
                <w:rFonts w:ascii="Lucida Bright" w:hAnsi="Lucida Bright" w:cs="Calibri"/>
                <w:b/>
                <w:bCs/>
                <w:color w:val="000000"/>
                <w:sz w:val="18"/>
                <w:szCs w:val="18"/>
                <w:lang w:val="es-ES"/>
              </w:rPr>
              <w:t>TOTAL</w:t>
            </w:r>
          </w:p>
        </w:tc>
        <w:tc>
          <w:tcPr>
            <w:tcW w:w="1260" w:type="dxa"/>
            <w:tcBorders>
              <w:top w:val="nil"/>
              <w:left w:val="nil"/>
              <w:bottom w:val="single" w:sz="8" w:space="0" w:color="000000"/>
              <w:right w:val="single" w:sz="8" w:space="0" w:color="000000"/>
            </w:tcBorders>
            <w:shd w:val="clear" w:color="auto" w:fill="auto"/>
            <w:noWrap/>
            <w:vAlign w:val="center"/>
            <w:hideMark/>
          </w:tcPr>
          <w:p w:rsidR="000332EA" w:rsidRPr="000332EA" w:rsidRDefault="000332EA" w:rsidP="000332EA">
            <w:pPr>
              <w:jc w:val="right"/>
              <w:rPr>
                <w:rFonts w:ascii="Lucida Bright" w:hAnsi="Lucida Bright" w:cs="Calibri"/>
                <w:b/>
                <w:bCs/>
                <w:color w:val="000000"/>
                <w:sz w:val="18"/>
                <w:szCs w:val="18"/>
                <w:lang w:val="es-ES"/>
              </w:rPr>
            </w:pPr>
            <w:r w:rsidRPr="000332EA">
              <w:rPr>
                <w:rFonts w:ascii="Lucida Bright" w:hAnsi="Lucida Bright" w:cs="Calibri"/>
                <w:b/>
                <w:bCs/>
                <w:color w:val="000000"/>
                <w:sz w:val="18"/>
                <w:szCs w:val="18"/>
                <w:lang w:val="es-ES"/>
              </w:rPr>
              <w:t>5.419.176,45</w:t>
            </w:r>
          </w:p>
        </w:tc>
        <w:tc>
          <w:tcPr>
            <w:tcW w:w="1220" w:type="dxa"/>
            <w:tcBorders>
              <w:top w:val="nil"/>
              <w:left w:val="nil"/>
              <w:bottom w:val="single" w:sz="8" w:space="0" w:color="000000"/>
              <w:right w:val="single" w:sz="8" w:space="0" w:color="000000"/>
            </w:tcBorders>
            <w:shd w:val="clear" w:color="auto" w:fill="auto"/>
            <w:noWrap/>
            <w:vAlign w:val="center"/>
            <w:hideMark/>
          </w:tcPr>
          <w:p w:rsidR="000332EA" w:rsidRPr="001805BE" w:rsidRDefault="000332EA" w:rsidP="000332EA">
            <w:pPr>
              <w:jc w:val="right"/>
              <w:rPr>
                <w:rFonts w:ascii="Lucida Bright" w:hAnsi="Lucida Bright" w:cs="Calibri"/>
                <w:b/>
                <w:color w:val="000000"/>
                <w:sz w:val="18"/>
                <w:szCs w:val="18"/>
                <w:lang w:val="es-ES"/>
              </w:rPr>
            </w:pPr>
            <w:r w:rsidRPr="001805BE">
              <w:rPr>
                <w:rFonts w:ascii="Lucida Bright" w:hAnsi="Lucida Bright" w:cs="Calibri"/>
                <w:b/>
                <w:color w:val="000000"/>
                <w:sz w:val="18"/>
                <w:szCs w:val="18"/>
                <w:lang w:val="es-ES"/>
              </w:rPr>
              <w:t>101.000,01</w:t>
            </w:r>
          </w:p>
        </w:tc>
        <w:tc>
          <w:tcPr>
            <w:tcW w:w="1200" w:type="dxa"/>
            <w:tcBorders>
              <w:top w:val="nil"/>
              <w:left w:val="nil"/>
              <w:bottom w:val="single" w:sz="8" w:space="0" w:color="000000"/>
              <w:right w:val="single" w:sz="8" w:space="0" w:color="000000"/>
            </w:tcBorders>
            <w:shd w:val="clear" w:color="auto" w:fill="auto"/>
            <w:noWrap/>
            <w:vAlign w:val="center"/>
            <w:hideMark/>
          </w:tcPr>
          <w:p w:rsidR="000332EA" w:rsidRPr="000332EA" w:rsidRDefault="000332EA" w:rsidP="000332EA">
            <w:pPr>
              <w:jc w:val="right"/>
              <w:rPr>
                <w:rFonts w:ascii="Lucida Bright" w:hAnsi="Lucida Bright" w:cs="Calibri"/>
                <w:b/>
                <w:bCs/>
                <w:color w:val="000000"/>
                <w:sz w:val="18"/>
                <w:szCs w:val="18"/>
                <w:lang w:val="es-ES"/>
              </w:rPr>
            </w:pPr>
            <w:r w:rsidRPr="000332EA">
              <w:rPr>
                <w:rFonts w:ascii="Lucida Bright" w:hAnsi="Lucida Bright" w:cs="Calibri"/>
                <w:b/>
                <w:bCs/>
                <w:color w:val="000000"/>
                <w:sz w:val="18"/>
                <w:szCs w:val="18"/>
                <w:lang w:val="es-ES"/>
              </w:rPr>
              <w:t> </w:t>
            </w:r>
          </w:p>
        </w:tc>
        <w:tc>
          <w:tcPr>
            <w:tcW w:w="1320" w:type="dxa"/>
            <w:tcBorders>
              <w:top w:val="nil"/>
              <w:left w:val="nil"/>
              <w:bottom w:val="single" w:sz="8" w:space="0" w:color="000000"/>
              <w:right w:val="single" w:sz="8" w:space="0" w:color="000000"/>
            </w:tcBorders>
            <w:shd w:val="clear" w:color="auto" w:fill="auto"/>
            <w:noWrap/>
            <w:vAlign w:val="center"/>
            <w:hideMark/>
          </w:tcPr>
          <w:p w:rsidR="000332EA" w:rsidRPr="000332EA" w:rsidRDefault="000332EA" w:rsidP="000332EA">
            <w:pPr>
              <w:jc w:val="right"/>
              <w:rPr>
                <w:rFonts w:ascii="Lucida Bright" w:hAnsi="Lucida Bright" w:cs="Calibri"/>
                <w:b/>
                <w:bCs/>
                <w:color w:val="000000"/>
                <w:sz w:val="18"/>
                <w:szCs w:val="18"/>
                <w:lang w:val="es-ES"/>
              </w:rPr>
            </w:pPr>
            <w:r w:rsidRPr="000332EA">
              <w:rPr>
                <w:rFonts w:ascii="Lucida Bright" w:hAnsi="Lucida Bright" w:cs="Calibri"/>
                <w:b/>
                <w:bCs/>
                <w:color w:val="000000"/>
                <w:sz w:val="18"/>
                <w:szCs w:val="18"/>
                <w:lang w:val="es-ES"/>
              </w:rPr>
              <w:t> </w:t>
            </w:r>
          </w:p>
        </w:tc>
      </w:tr>
    </w:tbl>
    <w:p w:rsidR="008E3490" w:rsidRDefault="008E3490" w:rsidP="00C76C72">
      <w:pPr>
        <w:tabs>
          <w:tab w:val="right" w:pos="8364"/>
        </w:tabs>
        <w:ind w:firstLine="567"/>
        <w:jc w:val="both"/>
        <w:rPr>
          <w:rFonts w:ascii="NewBaskerville" w:hAnsi="NewBaskerville"/>
        </w:rPr>
      </w:pPr>
    </w:p>
    <w:p w:rsidR="00C76C72" w:rsidRDefault="00C76C72" w:rsidP="00C76C72">
      <w:pPr>
        <w:tabs>
          <w:tab w:val="right" w:pos="8364"/>
        </w:tabs>
        <w:ind w:firstLine="567"/>
        <w:jc w:val="both"/>
        <w:rPr>
          <w:rFonts w:ascii="NewBaskerville" w:hAnsi="NewBaskerville"/>
        </w:rPr>
      </w:pPr>
    </w:p>
    <w:p w:rsidR="008E3490" w:rsidRDefault="008E3490" w:rsidP="00C76C72">
      <w:pPr>
        <w:tabs>
          <w:tab w:val="right" w:pos="8364"/>
        </w:tabs>
        <w:ind w:firstLine="567"/>
        <w:jc w:val="both"/>
        <w:rPr>
          <w:rFonts w:ascii="NewBaskerville" w:hAnsi="NewBaskerville"/>
        </w:rPr>
      </w:pPr>
      <w:r>
        <w:rPr>
          <w:rFonts w:ascii="NewBaskerville" w:hAnsi="NewBaskerville"/>
        </w:rPr>
        <w:t>Los intereses devengados a 31/12/202</w:t>
      </w:r>
      <w:r w:rsidR="005259A2">
        <w:rPr>
          <w:rFonts w:ascii="NewBaskerville" w:hAnsi="NewBaskerville"/>
        </w:rPr>
        <w:t>3</w:t>
      </w:r>
      <w:r>
        <w:rPr>
          <w:rFonts w:ascii="NewBaskerville" w:hAnsi="NewBaskerville"/>
        </w:rPr>
        <w:t xml:space="preserve"> ascendieron a </w:t>
      </w:r>
      <w:r w:rsidR="005259A2">
        <w:rPr>
          <w:rFonts w:ascii="NewBaskerville" w:hAnsi="NewBaskerville"/>
        </w:rPr>
        <w:t>9</w:t>
      </w:r>
      <w:r>
        <w:rPr>
          <w:rFonts w:ascii="NewBaskerville" w:hAnsi="NewBaskerville"/>
        </w:rPr>
        <w:t>.</w:t>
      </w:r>
      <w:r w:rsidR="005259A2">
        <w:rPr>
          <w:rFonts w:ascii="NewBaskerville" w:hAnsi="NewBaskerville"/>
        </w:rPr>
        <w:t>571</w:t>
      </w:r>
      <w:r>
        <w:rPr>
          <w:rFonts w:ascii="NewBaskerville" w:hAnsi="NewBaskerville"/>
        </w:rPr>
        <w:t>,</w:t>
      </w:r>
      <w:r w:rsidR="005259A2">
        <w:rPr>
          <w:rFonts w:ascii="NewBaskerville" w:hAnsi="NewBaskerville"/>
        </w:rPr>
        <w:t>98</w:t>
      </w:r>
      <w:r>
        <w:rPr>
          <w:rFonts w:ascii="NewBaskerville" w:hAnsi="NewBaskerville"/>
        </w:rPr>
        <w:t xml:space="preserve"> euros.</w:t>
      </w:r>
    </w:p>
    <w:p w:rsidR="008E3490" w:rsidRDefault="008E3490" w:rsidP="00C76C72">
      <w:pPr>
        <w:tabs>
          <w:tab w:val="right" w:pos="8364"/>
        </w:tabs>
        <w:ind w:firstLine="567"/>
        <w:jc w:val="both"/>
        <w:rPr>
          <w:rFonts w:ascii="NewBaskerville" w:hAnsi="NewBaskerville"/>
        </w:rPr>
      </w:pPr>
    </w:p>
    <w:p w:rsidR="008E3490" w:rsidRDefault="00C859FC" w:rsidP="00C76C72">
      <w:pPr>
        <w:tabs>
          <w:tab w:val="right" w:pos="8364"/>
        </w:tabs>
        <w:ind w:firstLine="567"/>
        <w:jc w:val="both"/>
        <w:rPr>
          <w:rFonts w:ascii="NewBaskerville" w:hAnsi="NewBaskerville"/>
        </w:rPr>
      </w:pPr>
      <w:r>
        <w:rPr>
          <w:rFonts w:ascii="NewBaskerville" w:hAnsi="NewBaskerville"/>
        </w:rPr>
        <w:t>Las aportaciones obligatorias exigibles del FFATP pendientes a fecha de 31/12/202</w:t>
      </w:r>
      <w:r w:rsidR="005259A2">
        <w:rPr>
          <w:rFonts w:ascii="NewBaskerville" w:hAnsi="NewBaskerville"/>
        </w:rPr>
        <w:t>3</w:t>
      </w:r>
      <w:r>
        <w:rPr>
          <w:rFonts w:ascii="NewBaskerville" w:hAnsi="NewBaskerville"/>
        </w:rPr>
        <w:t xml:space="preserve"> (deducidas, en su caso las compensaciones aprobadas) que representan el compromiso firme de adquisición de activos financieros se detallan en:</w:t>
      </w:r>
    </w:p>
    <w:p w:rsidR="005259A2" w:rsidRDefault="005259A2" w:rsidP="00C76C72">
      <w:pPr>
        <w:tabs>
          <w:tab w:val="right" w:pos="8364"/>
        </w:tabs>
        <w:ind w:firstLine="567"/>
        <w:jc w:val="both"/>
        <w:rPr>
          <w:rFonts w:ascii="NewBaskerville" w:hAnsi="NewBaskerville"/>
        </w:rPr>
      </w:pPr>
    </w:p>
    <w:tbl>
      <w:tblPr>
        <w:tblW w:w="2740" w:type="dxa"/>
        <w:tblInd w:w="1588" w:type="dxa"/>
        <w:tblCellMar>
          <w:left w:w="70" w:type="dxa"/>
          <w:right w:w="70" w:type="dxa"/>
        </w:tblCellMar>
        <w:tblLook w:val="04A0" w:firstRow="1" w:lastRow="0" w:firstColumn="1" w:lastColumn="0" w:noHBand="0" w:noVBand="1"/>
      </w:tblPr>
      <w:tblGrid>
        <w:gridCol w:w="1320"/>
        <w:gridCol w:w="1420"/>
      </w:tblGrid>
      <w:tr w:rsidR="005259A2" w:rsidRPr="005259A2" w:rsidTr="005259A2">
        <w:trPr>
          <w:trHeight w:val="585"/>
        </w:trPr>
        <w:tc>
          <w:tcPr>
            <w:tcW w:w="1320" w:type="dxa"/>
            <w:tcBorders>
              <w:top w:val="single" w:sz="8" w:space="0" w:color="000000"/>
              <w:left w:val="single" w:sz="8" w:space="0" w:color="000000"/>
              <w:bottom w:val="single" w:sz="8" w:space="0" w:color="000000"/>
              <w:right w:val="single" w:sz="8" w:space="0" w:color="000000"/>
            </w:tcBorders>
            <w:shd w:val="clear" w:color="000000" w:fill="CCFFCC"/>
            <w:vAlign w:val="center"/>
            <w:hideMark/>
          </w:tcPr>
          <w:p w:rsidR="005259A2" w:rsidRPr="005259A2" w:rsidRDefault="005259A2" w:rsidP="005259A2">
            <w:pPr>
              <w:jc w:val="center"/>
              <w:rPr>
                <w:rFonts w:ascii="Lucida Bright" w:hAnsi="Lucida Bright" w:cs="Calibri"/>
                <w:b/>
                <w:bCs/>
                <w:color w:val="000000"/>
                <w:sz w:val="14"/>
                <w:szCs w:val="14"/>
                <w:lang w:val="es-ES"/>
              </w:rPr>
            </w:pPr>
            <w:r w:rsidRPr="005259A2">
              <w:rPr>
                <w:rFonts w:ascii="Lucida Bright" w:hAnsi="Lucida Bright" w:cs="Calibri"/>
                <w:b/>
                <w:bCs/>
                <w:color w:val="000000"/>
                <w:sz w:val="14"/>
                <w:szCs w:val="14"/>
                <w:lang w:val="es-ES"/>
              </w:rPr>
              <w:t>Exigible de</w:t>
            </w:r>
          </w:p>
        </w:tc>
        <w:tc>
          <w:tcPr>
            <w:tcW w:w="1420" w:type="dxa"/>
            <w:tcBorders>
              <w:top w:val="single" w:sz="8" w:space="0" w:color="000000"/>
              <w:left w:val="nil"/>
              <w:bottom w:val="single" w:sz="8" w:space="0" w:color="000000"/>
              <w:right w:val="single" w:sz="8" w:space="0" w:color="000000"/>
            </w:tcBorders>
            <w:shd w:val="clear" w:color="000000" w:fill="CCFFCC"/>
            <w:vAlign w:val="center"/>
            <w:hideMark/>
          </w:tcPr>
          <w:p w:rsidR="005259A2" w:rsidRPr="005259A2" w:rsidRDefault="005259A2" w:rsidP="005259A2">
            <w:pPr>
              <w:jc w:val="center"/>
              <w:rPr>
                <w:rFonts w:ascii="Lucida Bright" w:hAnsi="Lucida Bright" w:cs="Calibri"/>
                <w:b/>
                <w:bCs/>
                <w:color w:val="000000"/>
                <w:sz w:val="14"/>
                <w:szCs w:val="14"/>
                <w:lang w:val="es-ES"/>
              </w:rPr>
            </w:pPr>
            <w:r w:rsidRPr="005259A2">
              <w:rPr>
                <w:rFonts w:ascii="Lucida Bright" w:hAnsi="Lucida Bright" w:cs="Calibri"/>
                <w:b/>
                <w:bCs/>
                <w:color w:val="000000"/>
                <w:sz w:val="14"/>
                <w:szCs w:val="14"/>
                <w:lang w:val="es-ES"/>
              </w:rPr>
              <w:t>Importe exigible</w:t>
            </w:r>
          </w:p>
        </w:tc>
      </w:tr>
      <w:tr w:rsidR="005259A2" w:rsidRPr="005259A2" w:rsidTr="005259A2">
        <w:trPr>
          <w:trHeight w:val="300"/>
        </w:trPr>
        <w:tc>
          <w:tcPr>
            <w:tcW w:w="1320"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259A2" w:rsidRPr="005259A2" w:rsidRDefault="005259A2" w:rsidP="005259A2">
            <w:pPr>
              <w:jc w:val="center"/>
              <w:rPr>
                <w:rFonts w:ascii="Lucida Bright" w:hAnsi="Lucida Bright" w:cs="Calibri"/>
                <w:color w:val="000000"/>
                <w:sz w:val="18"/>
                <w:szCs w:val="18"/>
                <w:lang w:val="es-ES"/>
              </w:rPr>
            </w:pPr>
            <w:r w:rsidRPr="005259A2">
              <w:rPr>
                <w:rFonts w:ascii="Lucida Bright" w:hAnsi="Lucida Bright" w:cs="Calibri"/>
                <w:color w:val="000000"/>
                <w:sz w:val="18"/>
                <w:szCs w:val="18"/>
                <w:lang w:val="es-ES"/>
              </w:rPr>
              <w:t>2019</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5259A2" w:rsidRPr="005259A2" w:rsidRDefault="005259A2" w:rsidP="005259A2">
            <w:pPr>
              <w:jc w:val="right"/>
              <w:rPr>
                <w:rFonts w:ascii="Lucida Bright" w:hAnsi="Lucida Bright" w:cs="Calibri"/>
                <w:sz w:val="18"/>
                <w:szCs w:val="18"/>
                <w:lang w:val="es-ES"/>
              </w:rPr>
            </w:pPr>
            <w:r w:rsidRPr="005259A2">
              <w:rPr>
                <w:rFonts w:ascii="Lucida Bright" w:hAnsi="Lucida Bright" w:cs="Calibri"/>
                <w:sz w:val="18"/>
                <w:szCs w:val="18"/>
                <w:lang w:val="es-ES"/>
              </w:rPr>
              <w:t>2.022.000,00</w:t>
            </w:r>
          </w:p>
        </w:tc>
      </w:tr>
      <w:tr w:rsidR="005259A2" w:rsidRPr="005259A2" w:rsidTr="005259A2">
        <w:trPr>
          <w:trHeight w:val="300"/>
        </w:trPr>
        <w:tc>
          <w:tcPr>
            <w:tcW w:w="1320" w:type="dxa"/>
            <w:tcBorders>
              <w:top w:val="nil"/>
              <w:left w:val="single" w:sz="8" w:space="0" w:color="000000"/>
              <w:bottom w:val="single" w:sz="4" w:space="0" w:color="000000"/>
              <w:right w:val="single" w:sz="4" w:space="0" w:color="000000"/>
            </w:tcBorders>
            <w:shd w:val="clear" w:color="auto" w:fill="auto"/>
            <w:vAlign w:val="center"/>
            <w:hideMark/>
          </w:tcPr>
          <w:p w:rsidR="005259A2" w:rsidRPr="005259A2" w:rsidRDefault="005259A2" w:rsidP="005259A2">
            <w:pPr>
              <w:jc w:val="center"/>
              <w:rPr>
                <w:rFonts w:ascii="Lucida Bright" w:hAnsi="Lucida Bright" w:cs="Calibri"/>
                <w:color w:val="000000"/>
                <w:sz w:val="18"/>
                <w:szCs w:val="18"/>
                <w:lang w:val="es-ES"/>
              </w:rPr>
            </w:pPr>
            <w:r w:rsidRPr="005259A2">
              <w:rPr>
                <w:rFonts w:ascii="Lucida Bright" w:hAnsi="Lucida Bright" w:cs="Calibri"/>
                <w:color w:val="000000"/>
                <w:sz w:val="18"/>
                <w:szCs w:val="18"/>
                <w:lang w:val="es-ES"/>
              </w:rPr>
              <w:t>2020</w:t>
            </w:r>
          </w:p>
        </w:tc>
        <w:tc>
          <w:tcPr>
            <w:tcW w:w="1420" w:type="dxa"/>
            <w:tcBorders>
              <w:top w:val="nil"/>
              <w:left w:val="nil"/>
              <w:bottom w:val="single" w:sz="4" w:space="0" w:color="000000"/>
              <w:right w:val="single" w:sz="4" w:space="0" w:color="000000"/>
            </w:tcBorders>
            <w:shd w:val="clear" w:color="000000" w:fill="FFFFFF"/>
            <w:noWrap/>
            <w:vAlign w:val="center"/>
            <w:hideMark/>
          </w:tcPr>
          <w:p w:rsidR="005259A2" w:rsidRPr="005259A2" w:rsidRDefault="005259A2" w:rsidP="005259A2">
            <w:pPr>
              <w:jc w:val="right"/>
              <w:rPr>
                <w:rFonts w:ascii="Lucida Bright" w:hAnsi="Lucida Bright" w:cs="Calibri"/>
                <w:color w:val="000000"/>
                <w:sz w:val="18"/>
                <w:szCs w:val="18"/>
                <w:lang w:val="es-ES"/>
              </w:rPr>
            </w:pPr>
            <w:r w:rsidRPr="005259A2">
              <w:rPr>
                <w:rFonts w:ascii="Lucida Bright" w:hAnsi="Lucida Bright" w:cs="Calibri"/>
                <w:color w:val="000000"/>
                <w:sz w:val="18"/>
                <w:szCs w:val="18"/>
                <w:lang w:val="es-ES"/>
              </w:rPr>
              <w:t>3.069.000,00</w:t>
            </w:r>
          </w:p>
        </w:tc>
      </w:tr>
      <w:tr w:rsidR="005259A2" w:rsidRPr="005259A2" w:rsidTr="005259A2">
        <w:trPr>
          <w:trHeight w:val="300"/>
        </w:trPr>
        <w:tc>
          <w:tcPr>
            <w:tcW w:w="1320" w:type="dxa"/>
            <w:tcBorders>
              <w:top w:val="nil"/>
              <w:left w:val="single" w:sz="8" w:space="0" w:color="000000"/>
              <w:bottom w:val="nil"/>
              <w:right w:val="single" w:sz="4" w:space="0" w:color="000000"/>
            </w:tcBorders>
            <w:shd w:val="clear" w:color="auto" w:fill="auto"/>
            <w:vAlign w:val="center"/>
            <w:hideMark/>
          </w:tcPr>
          <w:p w:rsidR="005259A2" w:rsidRPr="005259A2" w:rsidRDefault="005259A2" w:rsidP="005259A2">
            <w:pPr>
              <w:jc w:val="center"/>
              <w:rPr>
                <w:rFonts w:ascii="Lucida Bright" w:hAnsi="Lucida Bright" w:cs="Calibri"/>
                <w:color w:val="000000"/>
                <w:sz w:val="18"/>
                <w:szCs w:val="18"/>
                <w:lang w:val="es-ES"/>
              </w:rPr>
            </w:pPr>
            <w:r w:rsidRPr="005259A2">
              <w:rPr>
                <w:rFonts w:ascii="Lucida Bright" w:hAnsi="Lucida Bright" w:cs="Calibri"/>
                <w:color w:val="000000"/>
                <w:sz w:val="18"/>
                <w:szCs w:val="18"/>
                <w:lang w:val="es-ES"/>
              </w:rPr>
              <w:t>2021</w:t>
            </w:r>
          </w:p>
        </w:tc>
        <w:tc>
          <w:tcPr>
            <w:tcW w:w="1420" w:type="dxa"/>
            <w:tcBorders>
              <w:top w:val="nil"/>
              <w:left w:val="nil"/>
              <w:bottom w:val="nil"/>
              <w:right w:val="single" w:sz="4" w:space="0" w:color="000000"/>
            </w:tcBorders>
            <w:shd w:val="clear" w:color="000000" w:fill="FFFFFF"/>
            <w:noWrap/>
            <w:vAlign w:val="center"/>
            <w:hideMark/>
          </w:tcPr>
          <w:p w:rsidR="005259A2" w:rsidRPr="005259A2" w:rsidRDefault="005259A2" w:rsidP="005259A2">
            <w:pPr>
              <w:jc w:val="right"/>
              <w:rPr>
                <w:rFonts w:ascii="Lucida Bright" w:hAnsi="Lucida Bright" w:cs="Calibri"/>
                <w:color w:val="000000"/>
                <w:sz w:val="18"/>
                <w:szCs w:val="18"/>
                <w:lang w:val="es-ES"/>
              </w:rPr>
            </w:pPr>
            <w:r w:rsidRPr="005259A2">
              <w:rPr>
                <w:rFonts w:ascii="Lucida Bright" w:hAnsi="Lucida Bright" w:cs="Calibri"/>
                <w:color w:val="000000"/>
                <w:sz w:val="18"/>
                <w:szCs w:val="18"/>
                <w:lang w:val="es-ES"/>
              </w:rPr>
              <w:t>2.381.000,00</w:t>
            </w:r>
          </w:p>
        </w:tc>
      </w:tr>
      <w:tr w:rsidR="005259A2" w:rsidRPr="005259A2" w:rsidTr="005259A2">
        <w:trPr>
          <w:trHeight w:val="300"/>
        </w:trPr>
        <w:tc>
          <w:tcPr>
            <w:tcW w:w="1320" w:type="dxa"/>
            <w:tcBorders>
              <w:top w:val="single" w:sz="4" w:space="0" w:color="000000"/>
              <w:left w:val="single" w:sz="8" w:space="0" w:color="000000"/>
              <w:bottom w:val="nil"/>
              <w:right w:val="single" w:sz="4" w:space="0" w:color="000000"/>
            </w:tcBorders>
            <w:shd w:val="clear" w:color="auto" w:fill="auto"/>
            <w:vAlign w:val="center"/>
            <w:hideMark/>
          </w:tcPr>
          <w:p w:rsidR="005259A2" w:rsidRPr="005259A2" w:rsidRDefault="005259A2" w:rsidP="005259A2">
            <w:pPr>
              <w:jc w:val="center"/>
              <w:rPr>
                <w:rFonts w:ascii="Lucida Bright" w:hAnsi="Lucida Bright" w:cs="Calibri"/>
                <w:color w:val="000000"/>
                <w:sz w:val="18"/>
                <w:szCs w:val="18"/>
                <w:lang w:val="es-ES"/>
              </w:rPr>
            </w:pPr>
            <w:r w:rsidRPr="005259A2">
              <w:rPr>
                <w:rFonts w:ascii="Lucida Bright" w:hAnsi="Lucida Bright" w:cs="Calibri"/>
                <w:color w:val="000000"/>
                <w:sz w:val="18"/>
                <w:szCs w:val="18"/>
                <w:lang w:val="es-ES"/>
              </w:rPr>
              <w:t>2022</w:t>
            </w:r>
          </w:p>
        </w:tc>
        <w:tc>
          <w:tcPr>
            <w:tcW w:w="1420" w:type="dxa"/>
            <w:tcBorders>
              <w:top w:val="single" w:sz="4" w:space="0" w:color="000000"/>
              <w:left w:val="nil"/>
              <w:bottom w:val="nil"/>
              <w:right w:val="single" w:sz="8" w:space="0" w:color="000000"/>
            </w:tcBorders>
            <w:shd w:val="clear" w:color="000000" w:fill="FFFFFF"/>
            <w:noWrap/>
            <w:vAlign w:val="center"/>
            <w:hideMark/>
          </w:tcPr>
          <w:p w:rsidR="005259A2" w:rsidRPr="005259A2" w:rsidRDefault="005259A2" w:rsidP="005259A2">
            <w:pPr>
              <w:jc w:val="right"/>
              <w:rPr>
                <w:rFonts w:ascii="Lucida Bright" w:hAnsi="Lucida Bright" w:cs="Calibri"/>
                <w:color w:val="000000"/>
                <w:sz w:val="18"/>
                <w:szCs w:val="18"/>
                <w:lang w:val="es-ES"/>
              </w:rPr>
            </w:pPr>
            <w:r w:rsidRPr="005259A2">
              <w:rPr>
                <w:rFonts w:ascii="Lucida Bright" w:hAnsi="Lucida Bright" w:cs="Calibri"/>
                <w:color w:val="000000"/>
                <w:sz w:val="18"/>
                <w:szCs w:val="18"/>
                <w:lang w:val="es-ES"/>
              </w:rPr>
              <w:t>2.671.000,00</w:t>
            </w:r>
          </w:p>
        </w:tc>
      </w:tr>
      <w:tr w:rsidR="005259A2" w:rsidRPr="005259A2" w:rsidTr="005259A2">
        <w:trPr>
          <w:trHeight w:val="300"/>
        </w:trPr>
        <w:tc>
          <w:tcPr>
            <w:tcW w:w="132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5259A2" w:rsidRPr="005259A2" w:rsidRDefault="005259A2" w:rsidP="005259A2">
            <w:pPr>
              <w:jc w:val="center"/>
              <w:rPr>
                <w:rFonts w:ascii="Lucida Bright" w:hAnsi="Lucida Bright" w:cs="Calibri"/>
                <w:color w:val="000000"/>
                <w:sz w:val="18"/>
                <w:szCs w:val="18"/>
                <w:lang w:val="es-ES"/>
              </w:rPr>
            </w:pPr>
            <w:r w:rsidRPr="005259A2">
              <w:rPr>
                <w:rFonts w:ascii="Lucida Bright" w:hAnsi="Lucida Bright" w:cs="Calibri"/>
                <w:color w:val="000000"/>
                <w:sz w:val="18"/>
                <w:szCs w:val="18"/>
                <w:lang w:val="es-ES"/>
              </w:rPr>
              <w:t>2023</w:t>
            </w:r>
          </w:p>
        </w:tc>
        <w:tc>
          <w:tcPr>
            <w:tcW w:w="1420" w:type="dxa"/>
            <w:tcBorders>
              <w:top w:val="single" w:sz="4" w:space="0" w:color="000000"/>
              <w:left w:val="nil"/>
              <w:bottom w:val="single" w:sz="8" w:space="0" w:color="000000"/>
              <w:right w:val="single" w:sz="8" w:space="0" w:color="000000"/>
            </w:tcBorders>
            <w:shd w:val="clear" w:color="000000" w:fill="FFFFFF"/>
            <w:noWrap/>
            <w:vAlign w:val="center"/>
            <w:hideMark/>
          </w:tcPr>
          <w:p w:rsidR="005259A2" w:rsidRPr="005259A2" w:rsidRDefault="005259A2" w:rsidP="005259A2">
            <w:pPr>
              <w:jc w:val="right"/>
              <w:rPr>
                <w:rFonts w:ascii="Lucida Bright" w:hAnsi="Lucida Bright" w:cs="Calibri"/>
                <w:color w:val="000000"/>
                <w:sz w:val="18"/>
                <w:szCs w:val="18"/>
                <w:lang w:val="es-ES"/>
              </w:rPr>
            </w:pPr>
            <w:r w:rsidRPr="005259A2">
              <w:rPr>
                <w:rFonts w:ascii="Lucida Bright" w:hAnsi="Lucida Bright" w:cs="Calibri"/>
                <w:color w:val="000000"/>
                <w:sz w:val="18"/>
                <w:szCs w:val="18"/>
                <w:lang w:val="es-ES"/>
              </w:rPr>
              <w:t>3.959.000,00</w:t>
            </w:r>
          </w:p>
        </w:tc>
      </w:tr>
      <w:tr w:rsidR="005259A2" w:rsidRPr="005259A2" w:rsidTr="005259A2">
        <w:trPr>
          <w:trHeight w:val="30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5259A2" w:rsidRPr="005259A2" w:rsidRDefault="005259A2" w:rsidP="005259A2">
            <w:pPr>
              <w:ind w:firstLineChars="200" w:firstLine="361"/>
              <w:jc w:val="right"/>
              <w:rPr>
                <w:rFonts w:ascii="Lucida Bright" w:hAnsi="Lucida Bright" w:cs="Calibri"/>
                <w:b/>
                <w:bCs/>
                <w:color w:val="000000"/>
                <w:sz w:val="18"/>
                <w:szCs w:val="18"/>
                <w:lang w:val="es-ES"/>
              </w:rPr>
            </w:pPr>
            <w:r w:rsidRPr="005259A2">
              <w:rPr>
                <w:rFonts w:ascii="Lucida Bright" w:hAnsi="Lucida Bright" w:cs="Calibri"/>
                <w:b/>
                <w:bCs/>
                <w:color w:val="000000"/>
                <w:sz w:val="18"/>
                <w:szCs w:val="18"/>
                <w:lang w:val="es-ES"/>
              </w:rPr>
              <w:t>TOTAL</w:t>
            </w:r>
          </w:p>
        </w:tc>
        <w:tc>
          <w:tcPr>
            <w:tcW w:w="1420" w:type="dxa"/>
            <w:tcBorders>
              <w:top w:val="nil"/>
              <w:left w:val="nil"/>
              <w:bottom w:val="single" w:sz="8" w:space="0" w:color="000000"/>
              <w:right w:val="single" w:sz="8" w:space="0" w:color="000000"/>
            </w:tcBorders>
            <w:shd w:val="clear" w:color="auto" w:fill="auto"/>
            <w:noWrap/>
            <w:vAlign w:val="center"/>
            <w:hideMark/>
          </w:tcPr>
          <w:p w:rsidR="005259A2" w:rsidRPr="005259A2" w:rsidRDefault="005259A2" w:rsidP="005259A2">
            <w:pPr>
              <w:jc w:val="right"/>
              <w:rPr>
                <w:rFonts w:ascii="Lucida Bright" w:hAnsi="Lucida Bright" w:cs="Calibri"/>
                <w:b/>
                <w:bCs/>
                <w:color w:val="000000"/>
                <w:sz w:val="18"/>
                <w:szCs w:val="18"/>
                <w:lang w:val="es-ES"/>
              </w:rPr>
            </w:pPr>
            <w:r w:rsidRPr="005259A2">
              <w:rPr>
                <w:rFonts w:ascii="Lucida Bright" w:hAnsi="Lucida Bright" w:cs="Calibri"/>
                <w:b/>
                <w:bCs/>
                <w:color w:val="000000"/>
                <w:sz w:val="18"/>
                <w:szCs w:val="18"/>
                <w:lang w:val="es-ES"/>
              </w:rPr>
              <w:t>14.102.000,00</w:t>
            </w:r>
          </w:p>
        </w:tc>
      </w:tr>
    </w:tbl>
    <w:p w:rsidR="00C859FC" w:rsidRDefault="00C859FC" w:rsidP="00C76C72">
      <w:pPr>
        <w:tabs>
          <w:tab w:val="right" w:pos="8364"/>
        </w:tabs>
        <w:ind w:firstLine="567"/>
        <w:jc w:val="both"/>
        <w:rPr>
          <w:rFonts w:ascii="NewBaskerville" w:hAnsi="NewBaskerville"/>
        </w:rPr>
      </w:pPr>
    </w:p>
    <w:p w:rsidR="00C859FC" w:rsidRPr="00C76C72" w:rsidRDefault="00C859FC" w:rsidP="00C76C72">
      <w:pPr>
        <w:tabs>
          <w:tab w:val="right" w:pos="8364"/>
        </w:tabs>
        <w:ind w:firstLine="567"/>
        <w:jc w:val="both"/>
        <w:rPr>
          <w:rFonts w:ascii="NewBaskerville" w:hAnsi="NewBaskerville"/>
        </w:rPr>
      </w:pPr>
    </w:p>
    <w:p w:rsidR="00CE0C43" w:rsidRDefault="00423F10" w:rsidP="008E3490">
      <w:pPr>
        <w:tabs>
          <w:tab w:val="right" w:pos="8364"/>
        </w:tabs>
        <w:ind w:firstLine="567"/>
        <w:jc w:val="both"/>
        <w:rPr>
          <w:rFonts w:ascii="NewBaskerville" w:hAnsi="NewBaskerville"/>
        </w:rPr>
      </w:pPr>
      <w:r>
        <w:rPr>
          <w:rFonts w:ascii="NewBaskerville" w:hAnsi="NewBaskerville"/>
        </w:rPr>
        <w:t>Cabe indic</w:t>
      </w:r>
      <w:r w:rsidR="005259A2">
        <w:rPr>
          <w:rFonts w:ascii="NewBaskerville" w:hAnsi="NewBaskerville"/>
        </w:rPr>
        <w:t>ar que en el presupuesto de 2024</w:t>
      </w:r>
      <w:r>
        <w:rPr>
          <w:rFonts w:ascii="NewBaskerville" w:hAnsi="NewBaskerville"/>
        </w:rPr>
        <w:t xml:space="preserve"> del FFATP no está prevista la exigencia de nuevos desembolsos de aportaciones obligatorias en dicho ejercicio.</w:t>
      </w:r>
    </w:p>
    <w:p w:rsidR="00DA63BB" w:rsidRDefault="00DA63BB" w:rsidP="008E3490">
      <w:pPr>
        <w:tabs>
          <w:tab w:val="right" w:pos="8364"/>
        </w:tabs>
        <w:ind w:firstLine="567"/>
        <w:jc w:val="both"/>
        <w:rPr>
          <w:rFonts w:ascii="NewBaskerville" w:hAnsi="NewBaskerville"/>
        </w:rPr>
      </w:pPr>
    </w:p>
    <w:p w:rsidR="00DA63BB" w:rsidRDefault="00DA63BB" w:rsidP="008E3490">
      <w:pPr>
        <w:tabs>
          <w:tab w:val="right" w:pos="8364"/>
        </w:tabs>
        <w:ind w:firstLine="567"/>
        <w:jc w:val="both"/>
        <w:rPr>
          <w:rFonts w:ascii="NewBaskerville" w:hAnsi="NewBaskerville"/>
        </w:rPr>
      </w:pPr>
    </w:p>
    <w:p w:rsidR="00DA63BB" w:rsidRDefault="00DA63BB" w:rsidP="008E3490">
      <w:pPr>
        <w:tabs>
          <w:tab w:val="right" w:pos="8364"/>
        </w:tabs>
        <w:ind w:firstLine="567"/>
        <w:jc w:val="both"/>
        <w:rPr>
          <w:rFonts w:ascii="NewBaskerville" w:hAnsi="NewBaskerville"/>
        </w:rPr>
      </w:pPr>
    </w:p>
    <w:p w:rsidR="000337F0" w:rsidRDefault="000337F0" w:rsidP="008E3490">
      <w:pPr>
        <w:tabs>
          <w:tab w:val="right" w:pos="8364"/>
        </w:tabs>
        <w:ind w:firstLine="567"/>
        <w:jc w:val="both"/>
        <w:rPr>
          <w:rFonts w:ascii="NewBaskerville" w:hAnsi="NewBaskerville"/>
        </w:rPr>
        <w:sectPr w:rsidR="000337F0" w:rsidSect="00790C4F">
          <w:pgSz w:w="11907" w:h="16840" w:code="9"/>
          <w:pgMar w:top="1701" w:right="1418" w:bottom="1701" w:left="1985" w:header="567" w:footer="720" w:gutter="0"/>
          <w:cols w:space="720"/>
          <w:docGrid w:linePitch="272"/>
        </w:sectPr>
      </w:pPr>
    </w:p>
    <w:p w:rsidR="00DA63BB" w:rsidRDefault="00DA63BB" w:rsidP="008E3490">
      <w:pPr>
        <w:tabs>
          <w:tab w:val="right" w:pos="8364"/>
        </w:tabs>
        <w:ind w:firstLine="567"/>
        <w:jc w:val="both"/>
        <w:rPr>
          <w:rFonts w:ascii="NewBaskerville" w:hAnsi="NewBaskerville"/>
        </w:rPr>
      </w:pPr>
    </w:p>
    <w:p w:rsidR="009B466D" w:rsidRDefault="009B466D" w:rsidP="008E3490">
      <w:pPr>
        <w:tabs>
          <w:tab w:val="right" w:pos="8364"/>
        </w:tabs>
        <w:ind w:firstLine="567"/>
        <w:jc w:val="both"/>
        <w:rPr>
          <w:rFonts w:ascii="NewBaskerville" w:hAnsi="NewBaskerville"/>
        </w:rPr>
      </w:pPr>
    </w:p>
    <w:p w:rsidR="009B466D" w:rsidRDefault="009B466D" w:rsidP="008E3490">
      <w:pPr>
        <w:tabs>
          <w:tab w:val="right" w:pos="8364"/>
        </w:tabs>
        <w:ind w:firstLine="567"/>
        <w:jc w:val="both"/>
        <w:rPr>
          <w:rFonts w:ascii="NewBaskerville" w:hAnsi="NewBaskerville"/>
        </w:rPr>
      </w:pPr>
    </w:p>
    <w:p w:rsidR="009B466D" w:rsidRDefault="009B466D" w:rsidP="008E3490">
      <w:pPr>
        <w:tabs>
          <w:tab w:val="right" w:pos="8364"/>
        </w:tabs>
        <w:ind w:firstLine="567"/>
        <w:jc w:val="both"/>
        <w:rPr>
          <w:rFonts w:ascii="NewBaskerville" w:hAnsi="NewBaskerville"/>
        </w:rPr>
      </w:pPr>
    </w:p>
    <w:tbl>
      <w:tblPr>
        <w:tblW w:w="13040" w:type="dxa"/>
        <w:tblInd w:w="70" w:type="dxa"/>
        <w:tblCellMar>
          <w:left w:w="70" w:type="dxa"/>
          <w:right w:w="70" w:type="dxa"/>
        </w:tblCellMar>
        <w:tblLook w:val="04A0" w:firstRow="1" w:lastRow="0" w:firstColumn="1" w:lastColumn="0" w:noHBand="0" w:noVBand="1"/>
      </w:tblPr>
      <w:tblGrid>
        <w:gridCol w:w="3729"/>
        <w:gridCol w:w="1120"/>
        <w:gridCol w:w="959"/>
        <w:gridCol w:w="955"/>
        <w:gridCol w:w="1020"/>
        <w:gridCol w:w="1178"/>
        <w:gridCol w:w="1069"/>
        <w:gridCol w:w="1036"/>
        <w:gridCol w:w="1036"/>
        <w:gridCol w:w="1136"/>
      </w:tblGrid>
      <w:tr w:rsidR="009B466D" w:rsidRPr="009B466D" w:rsidTr="009B466D">
        <w:trPr>
          <w:trHeight w:val="300"/>
        </w:trPr>
        <w:tc>
          <w:tcPr>
            <w:tcW w:w="8796" w:type="dxa"/>
            <w:gridSpan w:val="6"/>
            <w:tcBorders>
              <w:top w:val="nil"/>
              <w:left w:val="nil"/>
              <w:bottom w:val="single" w:sz="4" w:space="0" w:color="auto"/>
              <w:right w:val="nil"/>
            </w:tcBorders>
            <w:shd w:val="clear" w:color="auto" w:fill="auto"/>
            <w:noWrap/>
            <w:vAlign w:val="bottom"/>
            <w:hideMark/>
          </w:tcPr>
          <w:p w:rsidR="009B466D" w:rsidRPr="009B466D" w:rsidRDefault="009B466D" w:rsidP="009B466D">
            <w:pPr>
              <w:jc w:val="center"/>
              <w:rPr>
                <w:rFonts w:ascii="Lucida Bright" w:hAnsi="Lucida Bright" w:cs="Calibri"/>
                <w:b/>
                <w:bCs/>
                <w:sz w:val="18"/>
                <w:szCs w:val="18"/>
                <w:lang w:val="es-ES"/>
              </w:rPr>
            </w:pPr>
            <w:r w:rsidRPr="009B466D">
              <w:rPr>
                <w:rFonts w:ascii="Lucida Bright" w:hAnsi="Lucida Bright" w:cs="Calibri"/>
                <w:b/>
                <w:bCs/>
                <w:sz w:val="18"/>
                <w:szCs w:val="18"/>
                <w:lang w:val="es-ES"/>
              </w:rPr>
              <w:t>CUADRO: INVERSIONES EN EMPRESAS DEL GRUPO Y ASOCIADAS A LARGO PLAZO 2023</w:t>
            </w:r>
          </w:p>
        </w:tc>
        <w:tc>
          <w:tcPr>
            <w:tcW w:w="1036" w:type="dxa"/>
            <w:tcBorders>
              <w:top w:val="nil"/>
              <w:left w:val="nil"/>
              <w:bottom w:val="nil"/>
              <w:right w:val="nil"/>
            </w:tcBorders>
            <w:shd w:val="clear" w:color="000000" w:fill="FFFFFF"/>
            <w:noWrap/>
            <w:vAlign w:val="center"/>
            <w:hideMark/>
          </w:tcPr>
          <w:p w:rsidR="009B466D" w:rsidRPr="009B466D" w:rsidRDefault="009B466D" w:rsidP="009B466D">
            <w:pPr>
              <w:rPr>
                <w:rFonts w:ascii="Tahoma" w:hAnsi="Tahoma" w:cs="Tahoma"/>
                <w:lang w:val="es-ES"/>
              </w:rPr>
            </w:pPr>
            <w:r w:rsidRPr="009B466D">
              <w:rPr>
                <w:rFonts w:ascii="Tahoma" w:hAnsi="Tahoma" w:cs="Tahoma"/>
                <w:lang w:val="es-ES"/>
              </w:rPr>
              <w:t> </w:t>
            </w:r>
          </w:p>
        </w:tc>
        <w:tc>
          <w:tcPr>
            <w:tcW w:w="1036" w:type="dxa"/>
            <w:tcBorders>
              <w:top w:val="nil"/>
              <w:left w:val="nil"/>
              <w:bottom w:val="nil"/>
              <w:right w:val="nil"/>
            </w:tcBorders>
            <w:shd w:val="clear" w:color="000000" w:fill="FFFFFF"/>
            <w:noWrap/>
            <w:vAlign w:val="bottom"/>
            <w:hideMark/>
          </w:tcPr>
          <w:p w:rsidR="009B466D" w:rsidRPr="009B466D" w:rsidRDefault="009B466D" w:rsidP="009B466D">
            <w:pPr>
              <w:rPr>
                <w:rFonts w:ascii="Lucida Bright" w:hAnsi="Lucida Bright" w:cs="Calibri"/>
                <w:sz w:val="14"/>
                <w:szCs w:val="14"/>
                <w:lang w:val="es-ES"/>
              </w:rPr>
            </w:pPr>
            <w:r w:rsidRPr="009B466D">
              <w:rPr>
                <w:rFonts w:ascii="Lucida Bright" w:hAnsi="Lucida Bright" w:cs="Calibri"/>
                <w:sz w:val="14"/>
                <w:szCs w:val="14"/>
                <w:lang w:val="es-ES"/>
              </w:rPr>
              <w:t>(en euros)</w:t>
            </w:r>
          </w:p>
        </w:tc>
        <w:tc>
          <w:tcPr>
            <w:tcW w:w="1036" w:type="dxa"/>
            <w:tcBorders>
              <w:top w:val="nil"/>
              <w:left w:val="nil"/>
              <w:bottom w:val="nil"/>
              <w:right w:val="nil"/>
            </w:tcBorders>
            <w:shd w:val="clear" w:color="000000" w:fill="FFFFFF"/>
            <w:noWrap/>
            <w:vAlign w:val="center"/>
            <w:hideMark/>
          </w:tcPr>
          <w:p w:rsidR="009B466D" w:rsidRPr="009B466D" w:rsidRDefault="009B466D" w:rsidP="009B466D">
            <w:pPr>
              <w:rPr>
                <w:rFonts w:ascii="Tahoma" w:hAnsi="Tahoma" w:cs="Tahoma"/>
                <w:lang w:val="es-ES"/>
              </w:rPr>
            </w:pPr>
            <w:r w:rsidRPr="009B466D">
              <w:rPr>
                <w:rFonts w:ascii="Tahoma" w:hAnsi="Tahoma" w:cs="Tahoma"/>
                <w:lang w:val="es-ES"/>
              </w:rPr>
              <w:t> </w:t>
            </w:r>
          </w:p>
        </w:tc>
        <w:tc>
          <w:tcPr>
            <w:tcW w:w="1136" w:type="dxa"/>
            <w:tcBorders>
              <w:top w:val="nil"/>
              <w:left w:val="nil"/>
              <w:bottom w:val="nil"/>
              <w:right w:val="nil"/>
            </w:tcBorders>
            <w:shd w:val="clear" w:color="000000" w:fill="FFFFFF"/>
            <w:noWrap/>
            <w:vAlign w:val="center"/>
            <w:hideMark/>
          </w:tcPr>
          <w:p w:rsidR="009B466D" w:rsidRPr="009B466D" w:rsidRDefault="009B466D" w:rsidP="009B466D">
            <w:pPr>
              <w:rPr>
                <w:rFonts w:ascii="Tahoma" w:hAnsi="Tahoma" w:cs="Tahoma"/>
                <w:lang w:val="es-ES"/>
              </w:rPr>
            </w:pPr>
            <w:r w:rsidRPr="009B466D">
              <w:rPr>
                <w:rFonts w:ascii="Tahoma" w:hAnsi="Tahoma" w:cs="Tahoma"/>
                <w:lang w:val="es-ES"/>
              </w:rPr>
              <w:t> </w:t>
            </w:r>
          </w:p>
        </w:tc>
      </w:tr>
      <w:tr w:rsidR="009B466D" w:rsidRPr="009B466D" w:rsidTr="009B466D">
        <w:trPr>
          <w:trHeight w:val="735"/>
        </w:trPr>
        <w:tc>
          <w:tcPr>
            <w:tcW w:w="3729" w:type="dxa"/>
            <w:tcBorders>
              <w:top w:val="single" w:sz="4" w:space="0" w:color="auto"/>
              <w:left w:val="single" w:sz="4" w:space="0" w:color="auto"/>
              <w:bottom w:val="single" w:sz="4" w:space="0" w:color="auto"/>
              <w:right w:val="single" w:sz="4" w:space="0" w:color="000000"/>
            </w:tcBorders>
            <w:shd w:val="clear" w:color="000000" w:fill="CCFFCC"/>
            <w:vAlign w:val="center"/>
            <w:hideMark/>
          </w:tcPr>
          <w:p w:rsidR="009B466D" w:rsidRPr="009B466D" w:rsidRDefault="009B466D" w:rsidP="009B466D">
            <w:pPr>
              <w:jc w:val="center"/>
              <w:rPr>
                <w:rFonts w:ascii="Lucida Bright" w:hAnsi="Lucida Bright" w:cs="Calibri"/>
                <w:b/>
                <w:bCs/>
                <w:sz w:val="14"/>
                <w:szCs w:val="14"/>
                <w:lang w:val="es-ES"/>
              </w:rPr>
            </w:pPr>
            <w:r w:rsidRPr="009B466D">
              <w:rPr>
                <w:rFonts w:ascii="Lucida Bright" w:hAnsi="Lucida Bright" w:cs="Calibri"/>
                <w:b/>
                <w:bCs/>
                <w:sz w:val="14"/>
                <w:szCs w:val="14"/>
                <w:lang w:val="es-ES"/>
              </w:rPr>
              <w:t>INVERSIONES EN EMPRESAS DEL GRUPO</w:t>
            </w:r>
            <w:r w:rsidRPr="009B466D">
              <w:rPr>
                <w:rFonts w:ascii="Lucida Bright" w:hAnsi="Lucida Bright" w:cs="Calibri"/>
                <w:b/>
                <w:bCs/>
                <w:sz w:val="14"/>
                <w:szCs w:val="14"/>
                <w:lang w:val="es-ES"/>
              </w:rPr>
              <w:br/>
              <w:t>Y ASOCIADAS A LARGO PLAZO</w:t>
            </w:r>
          </w:p>
        </w:tc>
        <w:tc>
          <w:tcPr>
            <w:tcW w:w="1120" w:type="dxa"/>
            <w:tcBorders>
              <w:top w:val="nil"/>
              <w:left w:val="nil"/>
              <w:bottom w:val="single" w:sz="4" w:space="0" w:color="auto"/>
              <w:right w:val="single" w:sz="4" w:space="0" w:color="auto"/>
            </w:tcBorders>
            <w:shd w:val="clear" w:color="000000" w:fill="CCFFCC"/>
            <w:vAlign w:val="center"/>
            <w:hideMark/>
          </w:tcPr>
          <w:p w:rsidR="009B466D" w:rsidRPr="009B466D" w:rsidRDefault="009B466D" w:rsidP="009B466D">
            <w:pPr>
              <w:jc w:val="center"/>
              <w:rPr>
                <w:rFonts w:ascii="Lucida Bright" w:hAnsi="Lucida Bright" w:cs="Calibri"/>
                <w:sz w:val="14"/>
                <w:szCs w:val="14"/>
                <w:lang w:val="es-ES"/>
              </w:rPr>
            </w:pPr>
            <w:r w:rsidRPr="009B466D">
              <w:rPr>
                <w:rFonts w:ascii="Lucida Bright" w:hAnsi="Lucida Bright" w:cs="Calibri"/>
                <w:sz w:val="14"/>
                <w:szCs w:val="14"/>
                <w:lang w:val="es-ES"/>
              </w:rPr>
              <w:t>Saldo a</w:t>
            </w:r>
            <w:r w:rsidRPr="009B466D">
              <w:rPr>
                <w:rFonts w:ascii="Lucida Bright" w:hAnsi="Lucida Bright" w:cs="Calibri"/>
                <w:sz w:val="14"/>
                <w:szCs w:val="14"/>
                <w:lang w:val="es-ES"/>
              </w:rPr>
              <w:br/>
              <w:t>31-12-22</w:t>
            </w:r>
          </w:p>
        </w:tc>
        <w:tc>
          <w:tcPr>
            <w:tcW w:w="959" w:type="dxa"/>
            <w:tcBorders>
              <w:top w:val="nil"/>
              <w:left w:val="nil"/>
              <w:bottom w:val="nil"/>
              <w:right w:val="nil"/>
            </w:tcBorders>
            <w:shd w:val="clear" w:color="000000" w:fill="CCFFCC"/>
            <w:vAlign w:val="center"/>
            <w:hideMark/>
          </w:tcPr>
          <w:p w:rsidR="009B466D" w:rsidRPr="009B466D" w:rsidRDefault="009B466D" w:rsidP="009B466D">
            <w:pPr>
              <w:jc w:val="center"/>
              <w:rPr>
                <w:rFonts w:ascii="Lucida Bright" w:hAnsi="Lucida Bright" w:cs="Calibri"/>
                <w:sz w:val="14"/>
                <w:szCs w:val="14"/>
                <w:lang w:val="es-ES"/>
              </w:rPr>
            </w:pPr>
            <w:r w:rsidRPr="009B466D">
              <w:rPr>
                <w:rFonts w:ascii="Lucida Bright" w:hAnsi="Lucida Bright" w:cs="Calibri"/>
                <w:sz w:val="14"/>
                <w:szCs w:val="14"/>
                <w:lang w:val="es-ES"/>
              </w:rPr>
              <w:t>Adiciones del ejercicio (+)</w:t>
            </w:r>
          </w:p>
        </w:tc>
        <w:tc>
          <w:tcPr>
            <w:tcW w:w="920" w:type="dxa"/>
            <w:tcBorders>
              <w:top w:val="nil"/>
              <w:left w:val="single" w:sz="4" w:space="0" w:color="auto"/>
              <w:bottom w:val="nil"/>
              <w:right w:val="single" w:sz="4" w:space="0" w:color="auto"/>
            </w:tcBorders>
            <w:shd w:val="clear" w:color="000000" w:fill="CCFFCC"/>
            <w:vAlign w:val="center"/>
            <w:hideMark/>
          </w:tcPr>
          <w:p w:rsidR="009B466D" w:rsidRPr="009B466D" w:rsidRDefault="009B466D" w:rsidP="009B466D">
            <w:pPr>
              <w:jc w:val="center"/>
              <w:rPr>
                <w:rFonts w:ascii="Lucida Bright" w:hAnsi="Lucida Bright" w:cs="Calibri"/>
                <w:sz w:val="14"/>
                <w:szCs w:val="14"/>
                <w:lang w:val="es-ES"/>
              </w:rPr>
            </w:pPr>
            <w:r w:rsidRPr="009B466D">
              <w:rPr>
                <w:rFonts w:ascii="Lucida Bright" w:hAnsi="Lucida Bright" w:cs="Calibri"/>
                <w:sz w:val="14"/>
                <w:szCs w:val="14"/>
                <w:lang w:val="es-ES"/>
              </w:rPr>
              <w:t>Cancelación anticipada (-)</w:t>
            </w:r>
          </w:p>
        </w:tc>
        <w:tc>
          <w:tcPr>
            <w:tcW w:w="1020" w:type="dxa"/>
            <w:tcBorders>
              <w:top w:val="nil"/>
              <w:left w:val="nil"/>
              <w:bottom w:val="nil"/>
              <w:right w:val="nil"/>
            </w:tcBorders>
            <w:shd w:val="clear" w:color="000000" w:fill="CCFFCC"/>
            <w:vAlign w:val="center"/>
            <w:hideMark/>
          </w:tcPr>
          <w:p w:rsidR="009B466D" w:rsidRPr="009B466D" w:rsidRDefault="009B466D" w:rsidP="009B466D">
            <w:pPr>
              <w:jc w:val="center"/>
              <w:rPr>
                <w:rFonts w:ascii="Lucida Bright" w:hAnsi="Lucida Bright" w:cs="Calibri"/>
                <w:sz w:val="14"/>
                <w:szCs w:val="14"/>
                <w:lang w:val="es-ES"/>
              </w:rPr>
            </w:pPr>
            <w:r w:rsidRPr="009B466D">
              <w:rPr>
                <w:rFonts w:ascii="Lucida Bright" w:hAnsi="Lucida Bright" w:cs="Calibri"/>
                <w:sz w:val="14"/>
                <w:szCs w:val="14"/>
                <w:lang w:val="es-ES"/>
              </w:rPr>
              <w:t>Traspasos a corto plazo (-)</w:t>
            </w:r>
          </w:p>
        </w:tc>
        <w:tc>
          <w:tcPr>
            <w:tcW w:w="1048" w:type="dxa"/>
            <w:tcBorders>
              <w:top w:val="nil"/>
              <w:left w:val="single" w:sz="4" w:space="0" w:color="auto"/>
              <w:bottom w:val="single" w:sz="4" w:space="0" w:color="auto"/>
              <w:right w:val="single" w:sz="4" w:space="0" w:color="auto"/>
            </w:tcBorders>
            <w:shd w:val="clear" w:color="000000" w:fill="CCFFCC"/>
            <w:vAlign w:val="center"/>
            <w:hideMark/>
          </w:tcPr>
          <w:p w:rsidR="009B466D" w:rsidRPr="009B466D" w:rsidRDefault="009B466D" w:rsidP="009B466D">
            <w:pPr>
              <w:jc w:val="center"/>
              <w:rPr>
                <w:rFonts w:ascii="Lucida Bright" w:hAnsi="Lucida Bright" w:cs="Calibri"/>
                <w:sz w:val="14"/>
                <w:szCs w:val="14"/>
                <w:lang w:val="es-ES"/>
              </w:rPr>
            </w:pPr>
            <w:r w:rsidRPr="009B466D">
              <w:rPr>
                <w:rFonts w:ascii="Lucida Bright" w:hAnsi="Lucida Bright" w:cs="Calibri"/>
                <w:sz w:val="14"/>
                <w:szCs w:val="14"/>
                <w:lang w:val="es-ES"/>
              </w:rPr>
              <w:t>Enajenación de participaciones y otras (-)</w:t>
            </w:r>
          </w:p>
        </w:tc>
        <w:tc>
          <w:tcPr>
            <w:tcW w:w="1036" w:type="dxa"/>
            <w:tcBorders>
              <w:top w:val="single" w:sz="4" w:space="0" w:color="auto"/>
              <w:left w:val="nil"/>
              <w:bottom w:val="single" w:sz="4" w:space="0" w:color="auto"/>
              <w:right w:val="single" w:sz="4" w:space="0" w:color="auto"/>
            </w:tcBorders>
            <w:shd w:val="clear" w:color="000000" w:fill="CCFFCC"/>
            <w:vAlign w:val="center"/>
            <w:hideMark/>
          </w:tcPr>
          <w:p w:rsidR="009B466D" w:rsidRPr="009B466D" w:rsidRDefault="009B466D" w:rsidP="009B466D">
            <w:pPr>
              <w:jc w:val="center"/>
              <w:rPr>
                <w:rFonts w:ascii="Lucida Bright" w:hAnsi="Lucida Bright" w:cs="Calibri"/>
                <w:sz w:val="14"/>
                <w:szCs w:val="14"/>
                <w:lang w:val="es-ES"/>
              </w:rPr>
            </w:pPr>
            <w:r w:rsidRPr="009B466D">
              <w:rPr>
                <w:rFonts w:ascii="Lucida Bright" w:hAnsi="Lucida Bright" w:cs="Calibri"/>
                <w:sz w:val="14"/>
                <w:szCs w:val="14"/>
                <w:lang w:val="es-ES"/>
              </w:rPr>
              <w:t>Actualización financiera (+)</w:t>
            </w:r>
          </w:p>
        </w:tc>
        <w:tc>
          <w:tcPr>
            <w:tcW w:w="1036" w:type="dxa"/>
            <w:tcBorders>
              <w:top w:val="single" w:sz="4" w:space="0" w:color="auto"/>
              <w:left w:val="nil"/>
              <w:bottom w:val="single" w:sz="4" w:space="0" w:color="auto"/>
              <w:right w:val="single" w:sz="4" w:space="0" w:color="auto"/>
            </w:tcBorders>
            <w:shd w:val="clear" w:color="000000" w:fill="CCFFCC"/>
            <w:vAlign w:val="center"/>
            <w:hideMark/>
          </w:tcPr>
          <w:p w:rsidR="009B466D" w:rsidRPr="009B466D" w:rsidRDefault="009B466D" w:rsidP="009B466D">
            <w:pPr>
              <w:jc w:val="center"/>
              <w:rPr>
                <w:rFonts w:ascii="Lucida Bright" w:hAnsi="Lucida Bright" w:cs="Calibri"/>
                <w:sz w:val="14"/>
                <w:szCs w:val="14"/>
                <w:lang w:val="es-ES"/>
              </w:rPr>
            </w:pPr>
            <w:r w:rsidRPr="009B466D">
              <w:rPr>
                <w:rFonts w:ascii="Lucida Bright" w:hAnsi="Lucida Bright" w:cs="Calibri"/>
                <w:sz w:val="14"/>
                <w:szCs w:val="14"/>
                <w:lang w:val="es-ES"/>
              </w:rPr>
              <w:t>Variación valor razonable (+/-)</w:t>
            </w:r>
          </w:p>
        </w:tc>
        <w:tc>
          <w:tcPr>
            <w:tcW w:w="1036" w:type="dxa"/>
            <w:tcBorders>
              <w:top w:val="single" w:sz="4" w:space="0" w:color="auto"/>
              <w:left w:val="nil"/>
              <w:bottom w:val="single" w:sz="4" w:space="0" w:color="auto"/>
              <w:right w:val="single" w:sz="4" w:space="0" w:color="auto"/>
            </w:tcBorders>
            <w:shd w:val="clear" w:color="000000" w:fill="CCFFCC"/>
            <w:vAlign w:val="center"/>
            <w:hideMark/>
          </w:tcPr>
          <w:p w:rsidR="009B466D" w:rsidRPr="009B466D" w:rsidRDefault="009B466D" w:rsidP="009B466D">
            <w:pPr>
              <w:jc w:val="center"/>
              <w:rPr>
                <w:rFonts w:ascii="Lucida Bright" w:hAnsi="Lucida Bright" w:cs="Calibri"/>
                <w:sz w:val="14"/>
                <w:szCs w:val="14"/>
                <w:lang w:val="es-ES"/>
              </w:rPr>
            </w:pPr>
            <w:r w:rsidRPr="009B466D">
              <w:rPr>
                <w:rFonts w:ascii="Lucida Bright" w:hAnsi="Lucida Bright" w:cs="Calibri"/>
                <w:sz w:val="14"/>
                <w:szCs w:val="14"/>
                <w:lang w:val="es-ES"/>
              </w:rPr>
              <w:t>Ajustes por cambio de valor (+/-)</w:t>
            </w:r>
          </w:p>
        </w:tc>
        <w:tc>
          <w:tcPr>
            <w:tcW w:w="1136" w:type="dxa"/>
            <w:tcBorders>
              <w:top w:val="single" w:sz="4" w:space="0" w:color="auto"/>
              <w:left w:val="nil"/>
              <w:bottom w:val="single" w:sz="4" w:space="0" w:color="auto"/>
              <w:right w:val="single" w:sz="4" w:space="0" w:color="auto"/>
            </w:tcBorders>
            <w:shd w:val="clear" w:color="000000" w:fill="CCFFCC"/>
            <w:vAlign w:val="center"/>
            <w:hideMark/>
          </w:tcPr>
          <w:p w:rsidR="009B466D" w:rsidRPr="009B466D" w:rsidRDefault="009B466D" w:rsidP="009B466D">
            <w:pPr>
              <w:jc w:val="center"/>
              <w:rPr>
                <w:rFonts w:ascii="Lucida Bright" w:hAnsi="Lucida Bright" w:cs="Calibri"/>
                <w:sz w:val="14"/>
                <w:szCs w:val="14"/>
                <w:lang w:val="es-ES"/>
              </w:rPr>
            </w:pPr>
            <w:r w:rsidRPr="009B466D">
              <w:rPr>
                <w:rFonts w:ascii="Lucida Bright" w:hAnsi="Lucida Bright" w:cs="Calibri"/>
                <w:sz w:val="14"/>
                <w:szCs w:val="14"/>
                <w:lang w:val="es-ES"/>
              </w:rPr>
              <w:t>Saldo a</w:t>
            </w:r>
            <w:r w:rsidRPr="009B466D">
              <w:rPr>
                <w:rFonts w:ascii="Lucida Bright" w:hAnsi="Lucida Bright" w:cs="Calibri"/>
                <w:sz w:val="14"/>
                <w:szCs w:val="14"/>
                <w:lang w:val="es-ES"/>
              </w:rPr>
              <w:br/>
              <w:t>31-12-23</w:t>
            </w:r>
          </w:p>
        </w:tc>
      </w:tr>
      <w:tr w:rsidR="009B466D" w:rsidRPr="009B466D" w:rsidTr="009B466D">
        <w:trPr>
          <w:trHeight w:val="300"/>
        </w:trPr>
        <w:tc>
          <w:tcPr>
            <w:tcW w:w="372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B466D" w:rsidRPr="009B466D" w:rsidRDefault="009B466D" w:rsidP="009B466D">
            <w:pPr>
              <w:rPr>
                <w:rFonts w:ascii="Lucida Bright" w:hAnsi="Lucida Bright" w:cs="Calibri"/>
                <w:sz w:val="14"/>
                <w:szCs w:val="14"/>
                <w:lang w:val="es-ES"/>
              </w:rPr>
            </w:pPr>
            <w:r w:rsidRPr="009B466D">
              <w:rPr>
                <w:rFonts w:ascii="Lucida Bright" w:hAnsi="Lucida Bright" w:cs="Calibri"/>
                <w:sz w:val="14"/>
                <w:szCs w:val="14"/>
                <w:lang w:val="es-ES"/>
              </w:rPr>
              <w:t xml:space="preserve">  Instrumentos de patrimonio</w:t>
            </w:r>
          </w:p>
        </w:tc>
        <w:tc>
          <w:tcPr>
            <w:tcW w:w="1120" w:type="dxa"/>
            <w:tcBorders>
              <w:top w:val="nil"/>
              <w:left w:val="nil"/>
              <w:bottom w:val="single" w:sz="4" w:space="0" w:color="auto"/>
              <w:right w:val="single" w:sz="4" w:space="0" w:color="auto"/>
            </w:tcBorders>
            <w:shd w:val="clear" w:color="auto" w:fill="auto"/>
            <w:noWrap/>
            <w:vAlign w:val="center"/>
            <w:hideMark/>
          </w:tcPr>
          <w:p w:rsidR="009B466D" w:rsidRPr="009B466D" w:rsidRDefault="009B466D" w:rsidP="009B466D">
            <w:pPr>
              <w:jc w:val="right"/>
              <w:rPr>
                <w:rFonts w:ascii="Lucida Bright" w:hAnsi="Lucida Bright" w:cs="Calibri"/>
                <w:sz w:val="14"/>
                <w:szCs w:val="14"/>
                <w:lang w:val="es-ES"/>
              </w:rPr>
            </w:pPr>
            <w:r w:rsidRPr="009B466D">
              <w:rPr>
                <w:rFonts w:ascii="Lucida Bright" w:hAnsi="Lucida Bright" w:cs="Calibri"/>
                <w:sz w:val="14"/>
                <w:szCs w:val="14"/>
                <w:lang w:val="es-ES"/>
              </w:rPr>
              <w:t xml:space="preserve">- </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9B466D" w:rsidRPr="009B466D" w:rsidRDefault="009B466D" w:rsidP="009B466D">
            <w:pPr>
              <w:jc w:val="right"/>
              <w:rPr>
                <w:rFonts w:ascii="Lucida Bright" w:hAnsi="Lucida Bright" w:cs="Calibri"/>
                <w:sz w:val="14"/>
                <w:szCs w:val="14"/>
                <w:lang w:val="es-ES"/>
              </w:rPr>
            </w:pPr>
            <w:r w:rsidRPr="009B466D">
              <w:rPr>
                <w:rFonts w:ascii="Lucida Bright" w:hAnsi="Lucida Bright" w:cs="Calibri"/>
                <w:sz w:val="14"/>
                <w:szCs w:val="14"/>
                <w:lang w:val="es-ES"/>
              </w:rPr>
              <w:t xml:space="preserve">-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9B466D" w:rsidRPr="009B466D" w:rsidRDefault="009B466D" w:rsidP="009B466D">
            <w:pPr>
              <w:jc w:val="right"/>
              <w:rPr>
                <w:rFonts w:ascii="Lucida Bright" w:hAnsi="Lucida Bright" w:cs="Calibri"/>
                <w:sz w:val="14"/>
                <w:szCs w:val="14"/>
                <w:lang w:val="es-ES"/>
              </w:rPr>
            </w:pPr>
            <w:r w:rsidRPr="009B466D">
              <w:rPr>
                <w:rFonts w:ascii="Lucida Bright" w:hAnsi="Lucida Bright" w:cs="Calibri"/>
                <w:sz w:val="14"/>
                <w:szCs w:val="14"/>
                <w:lang w:val="es-ES"/>
              </w:rPr>
              <w:t xml:space="preserve">-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B466D" w:rsidRPr="009B466D" w:rsidRDefault="009B466D" w:rsidP="009B466D">
            <w:pPr>
              <w:jc w:val="right"/>
              <w:rPr>
                <w:rFonts w:ascii="Lucida Bright" w:hAnsi="Lucida Bright" w:cs="Calibri"/>
                <w:sz w:val="14"/>
                <w:szCs w:val="14"/>
                <w:lang w:val="es-ES"/>
              </w:rPr>
            </w:pPr>
            <w:r w:rsidRPr="009B466D">
              <w:rPr>
                <w:rFonts w:ascii="Lucida Bright" w:hAnsi="Lucida Bright" w:cs="Calibri"/>
                <w:sz w:val="14"/>
                <w:szCs w:val="14"/>
                <w:lang w:val="es-ES"/>
              </w:rPr>
              <w:t xml:space="preserve">- </w:t>
            </w:r>
          </w:p>
        </w:tc>
        <w:tc>
          <w:tcPr>
            <w:tcW w:w="1048" w:type="dxa"/>
            <w:tcBorders>
              <w:top w:val="nil"/>
              <w:left w:val="nil"/>
              <w:bottom w:val="single" w:sz="4" w:space="0" w:color="auto"/>
              <w:right w:val="single" w:sz="4" w:space="0" w:color="auto"/>
            </w:tcBorders>
            <w:shd w:val="clear" w:color="auto" w:fill="auto"/>
            <w:noWrap/>
            <w:vAlign w:val="center"/>
            <w:hideMark/>
          </w:tcPr>
          <w:p w:rsidR="009B466D" w:rsidRPr="009B466D" w:rsidRDefault="009B466D" w:rsidP="009B466D">
            <w:pPr>
              <w:jc w:val="right"/>
              <w:rPr>
                <w:rFonts w:ascii="Lucida Bright" w:hAnsi="Lucida Bright" w:cs="Calibri"/>
                <w:sz w:val="14"/>
                <w:szCs w:val="14"/>
                <w:lang w:val="es-ES"/>
              </w:rPr>
            </w:pPr>
            <w:r w:rsidRPr="009B466D">
              <w:rPr>
                <w:rFonts w:ascii="Lucida Bright" w:hAnsi="Lucida Bright" w:cs="Calibri"/>
                <w:sz w:val="14"/>
                <w:szCs w:val="14"/>
                <w:lang w:val="es-ES"/>
              </w:rPr>
              <w:t xml:space="preserve">- </w:t>
            </w:r>
          </w:p>
        </w:tc>
        <w:tc>
          <w:tcPr>
            <w:tcW w:w="1036" w:type="dxa"/>
            <w:tcBorders>
              <w:top w:val="nil"/>
              <w:left w:val="nil"/>
              <w:bottom w:val="single" w:sz="4" w:space="0" w:color="auto"/>
              <w:right w:val="single" w:sz="4" w:space="0" w:color="auto"/>
            </w:tcBorders>
            <w:shd w:val="clear" w:color="auto" w:fill="auto"/>
            <w:noWrap/>
            <w:vAlign w:val="center"/>
            <w:hideMark/>
          </w:tcPr>
          <w:p w:rsidR="009B466D" w:rsidRPr="009B466D" w:rsidRDefault="009B466D" w:rsidP="009B466D">
            <w:pPr>
              <w:jc w:val="right"/>
              <w:rPr>
                <w:rFonts w:ascii="Lucida Bright" w:hAnsi="Lucida Bright" w:cs="Calibri"/>
                <w:sz w:val="14"/>
                <w:szCs w:val="14"/>
                <w:lang w:val="es-ES"/>
              </w:rPr>
            </w:pPr>
            <w:r w:rsidRPr="009B466D">
              <w:rPr>
                <w:rFonts w:ascii="Lucida Bright" w:hAnsi="Lucida Bright" w:cs="Calibri"/>
                <w:sz w:val="14"/>
                <w:szCs w:val="14"/>
                <w:lang w:val="es-ES"/>
              </w:rPr>
              <w:t xml:space="preserve">- </w:t>
            </w:r>
          </w:p>
        </w:tc>
        <w:tc>
          <w:tcPr>
            <w:tcW w:w="1036" w:type="dxa"/>
            <w:tcBorders>
              <w:top w:val="nil"/>
              <w:left w:val="nil"/>
              <w:bottom w:val="single" w:sz="4" w:space="0" w:color="auto"/>
              <w:right w:val="single" w:sz="4" w:space="0" w:color="auto"/>
            </w:tcBorders>
            <w:shd w:val="clear" w:color="auto" w:fill="auto"/>
            <w:noWrap/>
            <w:vAlign w:val="center"/>
            <w:hideMark/>
          </w:tcPr>
          <w:p w:rsidR="009B466D" w:rsidRPr="009B466D" w:rsidRDefault="009B466D" w:rsidP="009B466D">
            <w:pPr>
              <w:jc w:val="right"/>
              <w:rPr>
                <w:rFonts w:ascii="Lucida Bright" w:hAnsi="Lucida Bright" w:cs="Calibri"/>
                <w:sz w:val="14"/>
                <w:szCs w:val="14"/>
                <w:lang w:val="es-ES"/>
              </w:rPr>
            </w:pPr>
            <w:r w:rsidRPr="009B466D">
              <w:rPr>
                <w:rFonts w:ascii="Lucida Bright" w:hAnsi="Lucida Bright" w:cs="Calibri"/>
                <w:sz w:val="14"/>
                <w:szCs w:val="14"/>
                <w:lang w:val="es-ES"/>
              </w:rPr>
              <w:t xml:space="preserve">- </w:t>
            </w:r>
          </w:p>
        </w:tc>
        <w:tc>
          <w:tcPr>
            <w:tcW w:w="1036" w:type="dxa"/>
            <w:tcBorders>
              <w:top w:val="nil"/>
              <w:left w:val="nil"/>
              <w:bottom w:val="single" w:sz="4" w:space="0" w:color="auto"/>
              <w:right w:val="single" w:sz="4" w:space="0" w:color="auto"/>
            </w:tcBorders>
            <w:shd w:val="clear" w:color="auto" w:fill="auto"/>
            <w:noWrap/>
            <w:vAlign w:val="center"/>
            <w:hideMark/>
          </w:tcPr>
          <w:p w:rsidR="009B466D" w:rsidRPr="009B466D" w:rsidRDefault="009B466D" w:rsidP="009B466D">
            <w:pPr>
              <w:jc w:val="right"/>
              <w:rPr>
                <w:rFonts w:ascii="Lucida Bright" w:hAnsi="Lucida Bright" w:cs="Calibri"/>
                <w:sz w:val="14"/>
                <w:szCs w:val="14"/>
                <w:lang w:val="es-ES"/>
              </w:rPr>
            </w:pPr>
            <w:r w:rsidRPr="009B466D">
              <w:rPr>
                <w:rFonts w:ascii="Lucida Bright" w:hAnsi="Lucida Bright" w:cs="Calibri"/>
                <w:sz w:val="14"/>
                <w:szCs w:val="14"/>
                <w:lang w:val="es-ES"/>
              </w:rPr>
              <w:t xml:space="preserve">- </w:t>
            </w:r>
          </w:p>
        </w:tc>
        <w:tc>
          <w:tcPr>
            <w:tcW w:w="1136" w:type="dxa"/>
            <w:tcBorders>
              <w:top w:val="nil"/>
              <w:left w:val="nil"/>
              <w:bottom w:val="single" w:sz="4" w:space="0" w:color="auto"/>
              <w:right w:val="single" w:sz="4" w:space="0" w:color="auto"/>
            </w:tcBorders>
            <w:shd w:val="clear" w:color="auto" w:fill="auto"/>
            <w:noWrap/>
            <w:vAlign w:val="center"/>
            <w:hideMark/>
          </w:tcPr>
          <w:p w:rsidR="009B466D" w:rsidRPr="009B466D" w:rsidRDefault="009B466D" w:rsidP="009B466D">
            <w:pPr>
              <w:jc w:val="right"/>
              <w:rPr>
                <w:rFonts w:ascii="Lucida Bright" w:hAnsi="Lucida Bright" w:cs="Calibri"/>
                <w:sz w:val="14"/>
                <w:szCs w:val="14"/>
                <w:lang w:val="es-ES"/>
              </w:rPr>
            </w:pPr>
            <w:r w:rsidRPr="009B466D">
              <w:rPr>
                <w:rFonts w:ascii="Lucida Bright" w:hAnsi="Lucida Bright" w:cs="Calibri"/>
                <w:sz w:val="14"/>
                <w:szCs w:val="14"/>
                <w:lang w:val="es-ES"/>
              </w:rPr>
              <w:t xml:space="preserve">- </w:t>
            </w:r>
          </w:p>
        </w:tc>
      </w:tr>
      <w:tr w:rsidR="009B466D" w:rsidRPr="009B466D" w:rsidTr="009B466D">
        <w:trPr>
          <w:trHeight w:val="300"/>
        </w:trPr>
        <w:tc>
          <w:tcPr>
            <w:tcW w:w="372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xml:space="preserve">a) Participaciones a </w:t>
            </w:r>
            <w:proofErr w:type="spellStart"/>
            <w:r w:rsidRPr="009B466D">
              <w:rPr>
                <w:rFonts w:ascii="Lucida Bright" w:hAnsi="Lucida Bright" w:cs="Calibri"/>
                <w:i/>
                <w:iCs/>
                <w:sz w:val="14"/>
                <w:szCs w:val="14"/>
                <w:lang w:val="es-ES"/>
              </w:rPr>
              <w:t>l.p</w:t>
            </w:r>
            <w:proofErr w:type="spellEnd"/>
            <w:r w:rsidRPr="009B466D">
              <w:rPr>
                <w:rFonts w:ascii="Lucida Bright" w:hAnsi="Lucida Bright" w:cs="Calibri"/>
                <w:i/>
                <w:iCs/>
                <w:sz w:val="14"/>
                <w:szCs w:val="14"/>
                <w:lang w:val="es-ES"/>
              </w:rPr>
              <w:t>. en empresas del grupo</w:t>
            </w:r>
          </w:p>
        </w:tc>
        <w:tc>
          <w:tcPr>
            <w:tcW w:w="1120"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959"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920"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048"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136" w:type="dxa"/>
            <w:tcBorders>
              <w:top w:val="nil"/>
              <w:left w:val="nil"/>
              <w:bottom w:val="single" w:sz="4" w:space="0" w:color="auto"/>
              <w:right w:val="single" w:sz="4" w:space="0" w:color="auto"/>
            </w:tcBorders>
            <w:shd w:val="clear" w:color="auto" w:fill="auto"/>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r>
      <w:tr w:rsidR="009B466D" w:rsidRPr="009B466D" w:rsidTr="009B466D">
        <w:trPr>
          <w:trHeight w:val="300"/>
        </w:trPr>
        <w:tc>
          <w:tcPr>
            <w:tcW w:w="372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xml:space="preserve">b) Participaciones a </w:t>
            </w:r>
            <w:proofErr w:type="spellStart"/>
            <w:r w:rsidRPr="009B466D">
              <w:rPr>
                <w:rFonts w:ascii="Lucida Bright" w:hAnsi="Lucida Bright" w:cs="Calibri"/>
                <w:i/>
                <w:iCs/>
                <w:sz w:val="14"/>
                <w:szCs w:val="14"/>
                <w:lang w:val="es-ES"/>
              </w:rPr>
              <w:t>l.p</w:t>
            </w:r>
            <w:proofErr w:type="spellEnd"/>
            <w:r w:rsidRPr="009B466D">
              <w:rPr>
                <w:rFonts w:ascii="Lucida Bright" w:hAnsi="Lucida Bright" w:cs="Calibri"/>
                <w:i/>
                <w:iCs/>
                <w:sz w:val="14"/>
                <w:szCs w:val="14"/>
                <w:lang w:val="es-ES"/>
              </w:rPr>
              <w:t>. en empresas asociadas</w:t>
            </w:r>
          </w:p>
        </w:tc>
        <w:tc>
          <w:tcPr>
            <w:tcW w:w="1120"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959"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920"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048"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136" w:type="dxa"/>
            <w:tcBorders>
              <w:top w:val="nil"/>
              <w:left w:val="nil"/>
              <w:bottom w:val="single" w:sz="4" w:space="0" w:color="auto"/>
              <w:right w:val="single" w:sz="4" w:space="0" w:color="auto"/>
            </w:tcBorders>
            <w:shd w:val="clear" w:color="auto" w:fill="auto"/>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r>
      <w:tr w:rsidR="009B466D" w:rsidRPr="009B466D" w:rsidTr="009B466D">
        <w:trPr>
          <w:trHeight w:val="300"/>
        </w:trPr>
        <w:tc>
          <w:tcPr>
            <w:tcW w:w="372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B466D" w:rsidRPr="009B466D" w:rsidRDefault="009B466D" w:rsidP="009B466D">
            <w:pPr>
              <w:rPr>
                <w:rFonts w:ascii="Lucida Bright" w:hAnsi="Lucida Bright" w:cs="Calibri"/>
                <w:sz w:val="14"/>
                <w:szCs w:val="14"/>
                <w:lang w:val="es-ES"/>
              </w:rPr>
            </w:pPr>
            <w:r w:rsidRPr="009B466D">
              <w:rPr>
                <w:rFonts w:ascii="Lucida Bright" w:hAnsi="Lucida Bright" w:cs="Calibri"/>
                <w:sz w:val="14"/>
                <w:szCs w:val="14"/>
                <w:lang w:val="es-ES"/>
              </w:rPr>
              <w:t xml:space="preserve">  Créditos a empresas</w:t>
            </w:r>
          </w:p>
        </w:tc>
        <w:tc>
          <w:tcPr>
            <w:tcW w:w="1120" w:type="dxa"/>
            <w:tcBorders>
              <w:top w:val="single" w:sz="4" w:space="0" w:color="auto"/>
              <w:left w:val="nil"/>
              <w:bottom w:val="single" w:sz="4" w:space="0" w:color="auto"/>
              <w:right w:val="single" w:sz="4" w:space="0" w:color="auto"/>
            </w:tcBorders>
            <w:shd w:val="clear" w:color="000000" w:fill="FFFFFF"/>
            <w:noWrap/>
            <w:vAlign w:val="center"/>
            <w:hideMark/>
          </w:tcPr>
          <w:p w:rsidR="009B466D" w:rsidRPr="009B466D" w:rsidRDefault="009B466D" w:rsidP="009B466D">
            <w:pPr>
              <w:jc w:val="right"/>
              <w:rPr>
                <w:rFonts w:ascii="Lucida Bright" w:hAnsi="Lucida Bright" w:cs="Calibri"/>
                <w:sz w:val="14"/>
                <w:szCs w:val="14"/>
                <w:lang w:val="es-ES"/>
              </w:rPr>
            </w:pPr>
            <w:r w:rsidRPr="009B466D">
              <w:rPr>
                <w:rFonts w:ascii="Lucida Bright" w:hAnsi="Lucida Bright" w:cs="Calibri"/>
                <w:sz w:val="14"/>
                <w:szCs w:val="14"/>
                <w:lang w:val="es-ES"/>
              </w:rPr>
              <w:t xml:space="preserve">5.520.176,46 </w:t>
            </w:r>
          </w:p>
        </w:tc>
        <w:tc>
          <w:tcPr>
            <w:tcW w:w="959" w:type="dxa"/>
            <w:tcBorders>
              <w:top w:val="single" w:sz="4" w:space="0" w:color="auto"/>
              <w:left w:val="nil"/>
              <w:bottom w:val="single" w:sz="4" w:space="0" w:color="auto"/>
              <w:right w:val="single" w:sz="4" w:space="0" w:color="auto"/>
            </w:tcBorders>
            <w:shd w:val="clear" w:color="000000" w:fill="FFFFFF"/>
            <w:noWrap/>
            <w:vAlign w:val="center"/>
            <w:hideMark/>
          </w:tcPr>
          <w:p w:rsidR="009B466D" w:rsidRPr="009B466D" w:rsidRDefault="009B466D" w:rsidP="009B466D">
            <w:pPr>
              <w:jc w:val="right"/>
              <w:rPr>
                <w:rFonts w:ascii="Lucida Bright" w:hAnsi="Lucida Bright" w:cs="Calibri"/>
                <w:sz w:val="14"/>
                <w:szCs w:val="14"/>
                <w:lang w:val="es-ES"/>
              </w:rPr>
            </w:pPr>
            <w:r w:rsidRPr="009B466D">
              <w:rPr>
                <w:rFonts w:ascii="Lucida Bright" w:hAnsi="Lucida Bright" w:cs="Calibri"/>
                <w:sz w:val="14"/>
                <w:szCs w:val="14"/>
                <w:lang w:val="es-ES"/>
              </w:rPr>
              <w:t xml:space="preserve">- </w:t>
            </w:r>
          </w:p>
        </w:tc>
        <w:tc>
          <w:tcPr>
            <w:tcW w:w="920" w:type="dxa"/>
            <w:tcBorders>
              <w:top w:val="single" w:sz="4" w:space="0" w:color="auto"/>
              <w:left w:val="nil"/>
              <w:bottom w:val="single" w:sz="4" w:space="0" w:color="auto"/>
              <w:right w:val="single" w:sz="4" w:space="0" w:color="auto"/>
            </w:tcBorders>
            <w:shd w:val="clear" w:color="000000" w:fill="FFFFFF"/>
            <w:noWrap/>
            <w:vAlign w:val="center"/>
            <w:hideMark/>
          </w:tcPr>
          <w:p w:rsidR="009B466D" w:rsidRPr="009B466D" w:rsidRDefault="009B466D" w:rsidP="009B466D">
            <w:pPr>
              <w:jc w:val="right"/>
              <w:rPr>
                <w:rFonts w:ascii="Lucida Bright" w:hAnsi="Lucida Bright" w:cs="Calibri"/>
                <w:sz w:val="14"/>
                <w:szCs w:val="14"/>
                <w:lang w:val="es-ES"/>
              </w:rPr>
            </w:pPr>
            <w:r w:rsidRPr="009B466D">
              <w:rPr>
                <w:rFonts w:ascii="Lucida Bright" w:hAnsi="Lucida Bright" w:cs="Calibri"/>
                <w:sz w:val="14"/>
                <w:szCs w:val="14"/>
                <w:lang w:val="es-ES"/>
              </w:rPr>
              <w:t xml:space="preserve">- </w:t>
            </w:r>
          </w:p>
        </w:tc>
        <w:tc>
          <w:tcPr>
            <w:tcW w:w="1020" w:type="dxa"/>
            <w:tcBorders>
              <w:top w:val="single" w:sz="4" w:space="0" w:color="auto"/>
              <w:left w:val="nil"/>
              <w:bottom w:val="single" w:sz="4" w:space="0" w:color="auto"/>
              <w:right w:val="single" w:sz="4" w:space="0" w:color="auto"/>
            </w:tcBorders>
            <w:shd w:val="clear" w:color="000000" w:fill="FFFFFF"/>
            <w:noWrap/>
            <w:vAlign w:val="center"/>
            <w:hideMark/>
          </w:tcPr>
          <w:p w:rsidR="009B466D" w:rsidRPr="009B466D" w:rsidRDefault="009B466D" w:rsidP="009B466D">
            <w:pPr>
              <w:jc w:val="right"/>
              <w:rPr>
                <w:rFonts w:ascii="Lucida Bright" w:hAnsi="Lucida Bright" w:cs="Calibri"/>
                <w:sz w:val="14"/>
                <w:szCs w:val="14"/>
                <w:lang w:val="es-ES"/>
              </w:rPr>
            </w:pPr>
            <w:r w:rsidRPr="009B466D">
              <w:rPr>
                <w:rFonts w:ascii="Lucida Bright" w:hAnsi="Lucida Bright" w:cs="Calibri"/>
                <w:sz w:val="14"/>
                <w:szCs w:val="14"/>
                <w:lang w:val="es-ES"/>
              </w:rPr>
              <w:t xml:space="preserve">(101.000,01) </w:t>
            </w:r>
          </w:p>
        </w:tc>
        <w:tc>
          <w:tcPr>
            <w:tcW w:w="1048" w:type="dxa"/>
            <w:tcBorders>
              <w:top w:val="single" w:sz="4" w:space="0" w:color="auto"/>
              <w:left w:val="nil"/>
              <w:bottom w:val="single" w:sz="4" w:space="0" w:color="auto"/>
              <w:right w:val="single" w:sz="4" w:space="0" w:color="auto"/>
            </w:tcBorders>
            <w:shd w:val="clear" w:color="000000" w:fill="FFFFFF"/>
            <w:noWrap/>
            <w:vAlign w:val="center"/>
            <w:hideMark/>
          </w:tcPr>
          <w:p w:rsidR="009B466D" w:rsidRPr="009B466D" w:rsidRDefault="009B466D" w:rsidP="009B466D">
            <w:pPr>
              <w:jc w:val="right"/>
              <w:rPr>
                <w:rFonts w:ascii="Lucida Bright" w:hAnsi="Lucida Bright" w:cs="Calibri"/>
                <w:sz w:val="14"/>
                <w:szCs w:val="14"/>
                <w:lang w:val="es-ES"/>
              </w:rPr>
            </w:pPr>
            <w:r w:rsidRPr="009B466D">
              <w:rPr>
                <w:rFonts w:ascii="Lucida Bright" w:hAnsi="Lucida Bright" w:cs="Calibri"/>
                <w:sz w:val="14"/>
                <w:szCs w:val="14"/>
                <w:lang w:val="es-ES"/>
              </w:rPr>
              <w:t xml:space="preserve">- </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rsidR="009B466D" w:rsidRPr="009B466D" w:rsidRDefault="009B466D" w:rsidP="009B466D">
            <w:pPr>
              <w:jc w:val="right"/>
              <w:rPr>
                <w:rFonts w:ascii="Lucida Bright" w:hAnsi="Lucida Bright" w:cs="Calibri"/>
                <w:sz w:val="14"/>
                <w:szCs w:val="14"/>
                <w:lang w:val="es-ES"/>
              </w:rPr>
            </w:pPr>
            <w:r w:rsidRPr="009B466D">
              <w:rPr>
                <w:rFonts w:ascii="Lucida Bright" w:hAnsi="Lucida Bright" w:cs="Calibri"/>
                <w:sz w:val="14"/>
                <w:szCs w:val="14"/>
                <w:lang w:val="es-ES"/>
              </w:rPr>
              <w:t xml:space="preserve">- </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rsidR="009B466D" w:rsidRPr="009B466D" w:rsidRDefault="009B466D" w:rsidP="009B466D">
            <w:pPr>
              <w:jc w:val="right"/>
              <w:rPr>
                <w:rFonts w:ascii="Lucida Bright" w:hAnsi="Lucida Bright" w:cs="Calibri"/>
                <w:sz w:val="14"/>
                <w:szCs w:val="14"/>
                <w:lang w:val="es-ES"/>
              </w:rPr>
            </w:pPr>
            <w:r w:rsidRPr="009B466D">
              <w:rPr>
                <w:rFonts w:ascii="Lucida Bright" w:hAnsi="Lucida Bright" w:cs="Calibri"/>
                <w:sz w:val="14"/>
                <w:szCs w:val="14"/>
                <w:lang w:val="es-ES"/>
              </w:rPr>
              <w:t xml:space="preserve">- </w:t>
            </w:r>
          </w:p>
        </w:tc>
        <w:tc>
          <w:tcPr>
            <w:tcW w:w="1036" w:type="dxa"/>
            <w:tcBorders>
              <w:top w:val="single" w:sz="4" w:space="0" w:color="auto"/>
              <w:left w:val="nil"/>
              <w:bottom w:val="single" w:sz="4" w:space="0" w:color="auto"/>
              <w:right w:val="single" w:sz="4" w:space="0" w:color="auto"/>
            </w:tcBorders>
            <w:shd w:val="clear" w:color="000000" w:fill="FFFFFF"/>
            <w:noWrap/>
            <w:vAlign w:val="center"/>
            <w:hideMark/>
          </w:tcPr>
          <w:p w:rsidR="009B466D" w:rsidRPr="009B466D" w:rsidRDefault="009B466D" w:rsidP="009B466D">
            <w:pPr>
              <w:jc w:val="right"/>
              <w:rPr>
                <w:rFonts w:ascii="Lucida Bright" w:hAnsi="Lucida Bright" w:cs="Calibri"/>
                <w:sz w:val="14"/>
                <w:szCs w:val="14"/>
                <w:lang w:val="es-ES"/>
              </w:rPr>
            </w:pPr>
            <w:r w:rsidRPr="009B466D">
              <w:rPr>
                <w:rFonts w:ascii="Lucida Bright" w:hAnsi="Lucida Bright" w:cs="Calibri"/>
                <w:sz w:val="14"/>
                <w:szCs w:val="14"/>
                <w:lang w:val="es-ES"/>
              </w:rPr>
              <w:t xml:space="preserve">- </w:t>
            </w:r>
          </w:p>
        </w:tc>
        <w:tc>
          <w:tcPr>
            <w:tcW w:w="1136" w:type="dxa"/>
            <w:tcBorders>
              <w:top w:val="single" w:sz="4" w:space="0" w:color="auto"/>
              <w:left w:val="nil"/>
              <w:bottom w:val="single" w:sz="4" w:space="0" w:color="auto"/>
              <w:right w:val="single" w:sz="4" w:space="0" w:color="auto"/>
            </w:tcBorders>
            <w:shd w:val="clear" w:color="000000" w:fill="FFFFFF"/>
            <w:noWrap/>
            <w:vAlign w:val="center"/>
            <w:hideMark/>
          </w:tcPr>
          <w:p w:rsidR="009B466D" w:rsidRPr="009B466D" w:rsidRDefault="009B466D" w:rsidP="009B466D">
            <w:pPr>
              <w:jc w:val="right"/>
              <w:rPr>
                <w:rFonts w:ascii="Lucida Bright" w:hAnsi="Lucida Bright" w:cs="Calibri"/>
                <w:sz w:val="14"/>
                <w:szCs w:val="14"/>
                <w:lang w:val="es-ES"/>
              </w:rPr>
            </w:pPr>
            <w:r w:rsidRPr="009B466D">
              <w:rPr>
                <w:rFonts w:ascii="Lucida Bright" w:hAnsi="Lucida Bright" w:cs="Calibri"/>
                <w:sz w:val="14"/>
                <w:szCs w:val="14"/>
                <w:lang w:val="es-ES"/>
              </w:rPr>
              <w:t xml:space="preserve">5.419.176,45 </w:t>
            </w:r>
          </w:p>
        </w:tc>
      </w:tr>
      <w:tr w:rsidR="009B466D" w:rsidRPr="009B466D" w:rsidTr="009B466D">
        <w:trPr>
          <w:trHeight w:val="300"/>
        </w:trPr>
        <w:tc>
          <w:tcPr>
            <w:tcW w:w="372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xml:space="preserve">a) Créditos a </w:t>
            </w:r>
            <w:proofErr w:type="spellStart"/>
            <w:r w:rsidRPr="009B466D">
              <w:rPr>
                <w:rFonts w:ascii="Lucida Bright" w:hAnsi="Lucida Bright" w:cs="Calibri"/>
                <w:i/>
                <w:iCs/>
                <w:sz w:val="14"/>
                <w:szCs w:val="14"/>
                <w:lang w:val="es-ES"/>
              </w:rPr>
              <w:t>l.p</w:t>
            </w:r>
            <w:proofErr w:type="spellEnd"/>
            <w:r w:rsidRPr="009B466D">
              <w:rPr>
                <w:rFonts w:ascii="Lucida Bright" w:hAnsi="Lucida Bright" w:cs="Calibri"/>
                <w:i/>
                <w:iCs/>
                <w:sz w:val="14"/>
                <w:szCs w:val="14"/>
                <w:lang w:val="es-ES"/>
              </w:rPr>
              <w:t>. a empresas del grupo</w:t>
            </w:r>
          </w:p>
        </w:tc>
        <w:tc>
          <w:tcPr>
            <w:tcW w:w="1120"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959"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920"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048"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136" w:type="dxa"/>
            <w:tcBorders>
              <w:top w:val="nil"/>
              <w:left w:val="nil"/>
              <w:bottom w:val="single" w:sz="4" w:space="0" w:color="auto"/>
              <w:right w:val="single" w:sz="4" w:space="0" w:color="auto"/>
            </w:tcBorders>
            <w:shd w:val="clear" w:color="auto" w:fill="auto"/>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r>
      <w:tr w:rsidR="009B466D" w:rsidRPr="009B466D" w:rsidTr="009B466D">
        <w:trPr>
          <w:trHeight w:val="300"/>
        </w:trPr>
        <w:tc>
          <w:tcPr>
            <w:tcW w:w="372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xml:space="preserve">b) Créditos a </w:t>
            </w:r>
            <w:proofErr w:type="spellStart"/>
            <w:r w:rsidRPr="009B466D">
              <w:rPr>
                <w:rFonts w:ascii="Lucida Bright" w:hAnsi="Lucida Bright" w:cs="Calibri"/>
                <w:i/>
                <w:iCs/>
                <w:sz w:val="14"/>
                <w:szCs w:val="14"/>
                <w:lang w:val="es-ES"/>
              </w:rPr>
              <w:t>l.p</w:t>
            </w:r>
            <w:proofErr w:type="spellEnd"/>
            <w:r w:rsidRPr="009B466D">
              <w:rPr>
                <w:rFonts w:ascii="Lucida Bright" w:hAnsi="Lucida Bright" w:cs="Calibri"/>
                <w:i/>
                <w:iCs/>
                <w:sz w:val="14"/>
                <w:szCs w:val="14"/>
                <w:lang w:val="es-ES"/>
              </w:rPr>
              <w:t>. a empresas asociadas</w:t>
            </w:r>
          </w:p>
        </w:tc>
        <w:tc>
          <w:tcPr>
            <w:tcW w:w="1120"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959"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920"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048"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136" w:type="dxa"/>
            <w:tcBorders>
              <w:top w:val="nil"/>
              <w:left w:val="nil"/>
              <w:bottom w:val="single" w:sz="4" w:space="0" w:color="auto"/>
              <w:right w:val="single" w:sz="4" w:space="0" w:color="auto"/>
            </w:tcBorders>
            <w:shd w:val="clear" w:color="auto" w:fill="auto"/>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r>
      <w:tr w:rsidR="009B466D" w:rsidRPr="009B466D" w:rsidTr="009B466D">
        <w:trPr>
          <w:trHeight w:val="300"/>
        </w:trPr>
        <w:tc>
          <w:tcPr>
            <w:tcW w:w="372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xml:space="preserve">c) Préstamos a </w:t>
            </w:r>
            <w:proofErr w:type="spellStart"/>
            <w:r w:rsidRPr="009B466D">
              <w:rPr>
                <w:rFonts w:ascii="Lucida Bright" w:hAnsi="Lucida Bright" w:cs="Calibri"/>
                <w:i/>
                <w:iCs/>
                <w:sz w:val="14"/>
                <w:szCs w:val="14"/>
                <w:lang w:val="es-ES"/>
              </w:rPr>
              <w:t>l.p</w:t>
            </w:r>
            <w:proofErr w:type="spellEnd"/>
            <w:r w:rsidRPr="009B466D">
              <w:rPr>
                <w:rFonts w:ascii="Lucida Bright" w:hAnsi="Lucida Bright" w:cs="Calibri"/>
                <w:i/>
                <w:iCs/>
                <w:sz w:val="14"/>
                <w:szCs w:val="14"/>
                <w:lang w:val="es-ES"/>
              </w:rPr>
              <w:t>. concedidos al Fondo de Accesibilidad</w:t>
            </w:r>
          </w:p>
        </w:tc>
        <w:tc>
          <w:tcPr>
            <w:tcW w:w="1120"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jc w:val="right"/>
              <w:rPr>
                <w:rFonts w:ascii="Lucida Bright" w:hAnsi="Lucida Bright" w:cs="Calibri"/>
                <w:i/>
                <w:iCs/>
                <w:sz w:val="14"/>
                <w:szCs w:val="14"/>
                <w:lang w:val="es-ES"/>
              </w:rPr>
            </w:pPr>
            <w:r w:rsidRPr="009B466D">
              <w:rPr>
                <w:rFonts w:ascii="Lucida Bright" w:hAnsi="Lucida Bright" w:cs="Calibri"/>
                <w:i/>
                <w:iCs/>
                <w:sz w:val="14"/>
                <w:szCs w:val="14"/>
                <w:lang w:val="es-ES"/>
              </w:rPr>
              <w:t xml:space="preserve">5.520.176,46 </w:t>
            </w:r>
          </w:p>
        </w:tc>
        <w:tc>
          <w:tcPr>
            <w:tcW w:w="959"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920"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020"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jc w:val="right"/>
              <w:rPr>
                <w:rFonts w:ascii="Lucida Bright" w:hAnsi="Lucida Bright" w:cs="Calibri"/>
                <w:i/>
                <w:iCs/>
                <w:sz w:val="14"/>
                <w:szCs w:val="14"/>
                <w:lang w:val="es-ES"/>
              </w:rPr>
            </w:pPr>
            <w:r w:rsidRPr="009B466D">
              <w:rPr>
                <w:rFonts w:ascii="Lucida Bright" w:hAnsi="Lucida Bright" w:cs="Calibri"/>
                <w:i/>
                <w:iCs/>
                <w:sz w:val="14"/>
                <w:szCs w:val="14"/>
                <w:lang w:val="es-ES"/>
              </w:rPr>
              <w:t xml:space="preserve">(101.000,01) </w:t>
            </w:r>
          </w:p>
        </w:tc>
        <w:tc>
          <w:tcPr>
            <w:tcW w:w="1048"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036" w:type="dxa"/>
            <w:tcBorders>
              <w:top w:val="nil"/>
              <w:left w:val="nil"/>
              <w:bottom w:val="single" w:sz="4" w:space="0" w:color="auto"/>
              <w:right w:val="single" w:sz="4" w:space="0" w:color="auto"/>
            </w:tcBorders>
            <w:shd w:val="clear" w:color="000000" w:fill="FFFFFF"/>
            <w:noWrap/>
            <w:vAlign w:val="center"/>
            <w:hideMark/>
          </w:tcPr>
          <w:p w:rsidR="009B466D" w:rsidRPr="009B466D" w:rsidRDefault="009B466D" w:rsidP="009B466D">
            <w:pPr>
              <w:rPr>
                <w:rFonts w:ascii="Lucida Bright" w:hAnsi="Lucida Bright" w:cs="Calibri"/>
                <w:i/>
                <w:iCs/>
                <w:sz w:val="14"/>
                <w:szCs w:val="14"/>
                <w:lang w:val="es-ES"/>
              </w:rPr>
            </w:pPr>
            <w:r w:rsidRPr="009B466D">
              <w:rPr>
                <w:rFonts w:ascii="Lucida Bright" w:hAnsi="Lucida Bright" w:cs="Calibri"/>
                <w:i/>
                <w:iCs/>
                <w:sz w:val="14"/>
                <w:szCs w:val="14"/>
                <w:lang w:val="es-ES"/>
              </w:rPr>
              <w:t> </w:t>
            </w:r>
          </w:p>
        </w:tc>
        <w:tc>
          <w:tcPr>
            <w:tcW w:w="1136" w:type="dxa"/>
            <w:tcBorders>
              <w:top w:val="nil"/>
              <w:left w:val="nil"/>
              <w:bottom w:val="single" w:sz="4" w:space="0" w:color="auto"/>
              <w:right w:val="single" w:sz="4" w:space="0" w:color="auto"/>
            </w:tcBorders>
            <w:shd w:val="clear" w:color="auto" w:fill="auto"/>
            <w:noWrap/>
            <w:vAlign w:val="center"/>
            <w:hideMark/>
          </w:tcPr>
          <w:p w:rsidR="009B466D" w:rsidRPr="009B466D" w:rsidRDefault="009B466D" w:rsidP="009B466D">
            <w:pPr>
              <w:jc w:val="right"/>
              <w:rPr>
                <w:rFonts w:ascii="Lucida Bright" w:hAnsi="Lucida Bright" w:cs="Calibri"/>
                <w:i/>
                <w:iCs/>
                <w:sz w:val="14"/>
                <w:szCs w:val="14"/>
                <w:lang w:val="es-ES"/>
              </w:rPr>
            </w:pPr>
            <w:r w:rsidRPr="009B466D">
              <w:rPr>
                <w:rFonts w:ascii="Lucida Bright" w:hAnsi="Lucida Bright" w:cs="Calibri"/>
                <w:i/>
                <w:iCs/>
                <w:sz w:val="14"/>
                <w:szCs w:val="14"/>
                <w:lang w:val="es-ES"/>
              </w:rPr>
              <w:t xml:space="preserve">5.419.176,45 </w:t>
            </w:r>
          </w:p>
        </w:tc>
      </w:tr>
      <w:tr w:rsidR="009B466D" w:rsidRPr="009B466D" w:rsidTr="009B466D">
        <w:trPr>
          <w:trHeight w:val="300"/>
        </w:trPr>
        <w:tc>
          <w:tcPr>
            <w:tcW w:w="372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B466D" w:rsidRPr="009B466D" w:rsidRDefault="009B466D" w:rsidP="009B466D">
            <w:pPr>
              <w:jc w:val="center"/>
              <w:rPr>
                <w:rFonts w:ascii="Lucida Bright" w:hAnsi="Lucida Bright" w:cs="Calibri"/>
                <w:b/>
                <w:bCs/>
                <w:sz w:val="14"/>
                <w:szCs w:val="14"/>
                <w:lang w:val="es-ES"/>
              </w:rPr>
            </w:pPr>
            <w:r w:rsidRPr="009B466D">
              <w:rPr>
                <w:rFonts w:ascii="Lucida Bright" w:hAnsi="Lucida Bright" w:cs="Calibri"/>
                <w:b/>
                <w:bCs/>
                <w:sz w:val="14"/>
                <w:szCs w:val="14"/>
                <w:lang w:val="es-ES"/>
              </w:rPr>
              <w:t>TOTAL</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9B466D" w:rsidRPr="009B466D" w:rsidRDefault="009B466D" w:rsidP="009B466D">
            <w:pPr>
              <w:jc w:val="right"/>
              <w:rPr>
                <w:rFonts w:ascii="Lucida Bright" w:hAnsi="Lucida Bright" w:cs="Calibri"/>
                <w:b/>
                <w:bCs/>
                <w:sz w:val="14"/>
                <w:szCs w:val="14"/>
                <w:lang w:val="es-ES"/>
              </w:rPr>
            </w:pPr>
            <w:r w:rsidRPr="009B466D">
              <w:rPr>
                <w:rFonts w:ascii="Lucida Bright" w:hAnsi="Lucida Bright" w:cs="Calibri"/>
                <w:b/>
                <w:bCs/>
                <w:sz w:val="14"/>
                <w:szCs w:val="14"/>
                <w:lang w:val="es-ES"/>
              </w:rPr>
              <w:t xml:space="preserve">5.520.176,46 </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9B466D" w:rsidRPr="009B466D" w:rsidRDefault="009B466D" w:rsidP="009B466D">
            <w:pPr>
              <w:jc w:val="right"/>
              <w:rPr>
                <w:rFonts w:ascii="Lucida Bright" w:hAnsi="Lucida Bright" w:cs="Calibri"/>
                <w:b/>
                <w:bCs/>
                <w:sz w:val="14"/>
                <w:szCs w:val="14"/>
                <w:lang w:val="es-ES"/>
              </w:rPr>
            </w:pPr>
            <w:r w:rsidRPr="009B466D">
              <w:rPr>
                <w:rFonts w:ascii="Lucida Bright" w:hAnsi="Lucida Bright" w:cs="Calibri"/>
                <w:b/>
                <w:bCs/>
                <w:sz w:val="14"/>
                <w:szCs w:val="14"/>
                <w:lang w:val="es-ES"/>
              </w:rPr>
              <w:t xml:space="preserve">-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9B466D" w:rsidRPr="009B466D" w:rsidRDefault="009B466D" w:rsidP="009B466D">
            <w:pPr>
              <w:jc w:val="right"/>
              <w:rPr>
                <w:rFonts w:ascii="Lucida Bright" w:hAnsi="Lucida Bright" w:cs="Calibri"/>
                <w:b/>
                <w:bCs/>
                <w:sz w:val="14"/>
                <w:szCs w:val="14"/>
                <w:lang w:val="es-ES"/>
              </w:rPr>
            </w:pPr>
            <w:r w:rsidRPr="009B466D">
              <w:rPr>
                <w:rFonts w:ascii="Lucida Bright" w:hAnsi="Lucida Bright" w:cs="Calibri"/>
                <w:b/>
                <w:bCs/>
                <w:sz w:val="14"/>
                <w:szCs w:val="14"/>
                <w:lang w:val="es-ES"/>
              </w:rPr>
              <w:t xml:space="preserve">-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B466D" w:rsidRPr="009B466D" w:rsidRDefault="009B466D" w:rsidP="009B466D">
            <w:pPr>
              <w:jc w:val="right"/>
              <w:rPr>
                <w:rFonts w:ascii="Lucida Bright" w:hAnsi="Lucida Bright" w:cs="Calibri"/>
                <w:b/>
                <w:bCs/>
                <w:sz w:val="14"/>
                <w:szCs w:val="14"/>
                <w:lang w:val="es-ES"/>
              </w:rPr>
            </w:pPr>
            <w:r w:rsidRPr="009B466D">
              <w:rPr>
                <w:rFonts w:ascii="Lucida Bright" w:hAnsi="Lucida Bright" w:cs="Calibri"/>
                <w:b/>
                <w:bCs/>
                <w:sz w:val="14"/>
                <w:szCs w:val="14"/>
                <w:lang w:val="es-ES"/>
              </w:rPr>
              <w:t xml:space="preserve">(101.000,01) </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rsidR="009B466D" w:rsidRPr="009B466D" w:rsidRDefault="009B466D" w:rsidP="009B466D">
            <w:pPr>
              <w:jc w:val="right"/>
              <w:rPr>
                <w:rFonts w:ascii="Lucida Bright" w:hAnsi="Lucida Bright" w:cs="Calibri"/>
                <w:b/>
                <w:bCs/>
                <w:sz w:val="14"/>
                <w:szCs w:val="14"/>
                <w:lang w:val="es-ES"/>
              </w:rPr>
            </w:pPr>
            <w:r w:rsidRPr="009B466D">
              <w:rPr>
                <w:rFonts w:ascii="Lucida Bright" w:hAnsi="Lucida Bright" w:cs="Calibri"/>
                <w:b/>
                <w:bCs/>
                <w:sz w:val="14"/>
                <w:szCs w:val="14"/>
                <w:lang w:val="es-ES"/>
              </w:rPr>
              <w:t xml:space="preserve">- </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rsidR="009B466D" w:rsidRPr="009B466D" w:rsidRDefault="009B466D" w:rsidP="009B466D">
            <w:pPr>
              <w:jc w:val="right"/>
              <w:rPr>
                <w:rFonts w:ascii="Lucida Bright" w:hAnsi="Lucida Bright" w:cs="Calibri"/>
                <w:b/>
                <w:bCs/>
                <w:sz w:val="14"/>
                <w:szCs w:val="14"/>
                <w:lang w:val="es-ES"/>
              </w:rPr>
            </w:pPr>
            <w:r w:rsidRPr="009B466D">
              <w:rPr>
                <w:rFonts w:ascii="Lucida Bright" w:hAnsi="Lucida Bright" w:cs="Calibri"/>
                <w:b/>
                <w:bCs/>
                <w:sz w:val="14"/>
                <w:szCs w:val="14"/>
                <w:lang w:val="es-ES"/>
              </w:rPr>
              <w:t xml:space="preserve">- </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rsidR="009B466D" w:rsidRPr="009B466D" w:rsidRDefault="009B466D" w:rsidP="009B466D">
            <w:pPr>
              <w:jc w:val="right"/>
              <w:rPr>
                <w:rFonts w:ascii="Lucida Bright" w:hAnsi="Lucida Bright" w:cs="Calibri"/>
                <w:b/>
                <w:bCs/>
                <w:sz w:val="14"/>
                <w:szCs w:val="14"/>
                <w:lang w:val="es-ES"/>
              </w:rPr>
            </w:pPr>
            <w:r w:rsidRPr="009B466D">
              <w:rPr>
                <w:rFonts w:ascii="Lucida Bright" w:hAnsi="Lucida Bright" w:cs="Calibri"/>
                <w:b/>
                <w:bCs/>
                <w:sz w:val="14"/>
                <w:szCs w:val="14"/>
                <w:lang w:val="es-ES"/>
              </w:rPr>
              <w:t xml:space="preserve">- </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rsidR="009B466D" w:rsidRPr="009B466D" w:rsidRDefault="009B466D" w:rsidP="009B466D">
            <w:pPr>
              <w:jc w:val="right"/>
              <w:rPr>
                <w:rFonts w:ascii="Lucida Bright" w:hAnsi="Lucida Bright" w:cs="Calibri"/>
                <w:b/>
                <w:bCs/>
                <w:sz w:val="14"/>
                <w:szCs w:val="14"/>
                <w:lang w:val="es-ES"/>
              </w:rPr>
            </w:pPr>
            <w:r w:rsidRPr="009B466D">
              <w:rPr>
                <w:rFonts w:ascii="Lucida Bright" w:hAnsi="Lucida Bright" w:cs="Calibri"/>
                <w:b/>
                <w:bCs/>
                <w:sz w:val="14"/>
                <w:szCs w:val="14"/>
                <w:lang w:val="es-ES"/>
              </w:rPr>
              <w:t xml:space="preserve">- </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9B466D" w:rsidRPr="009B466D" w:rsidRDefault="009B466D" w:rsidP="009B466D">
            <w:pPr>
              <w:jc w:val="right"/>
              <w:rPr>
                <w:rFonts w:ascii="Lucida Bright" w:hAnsi="Lucida Bright" w:cs="Calibri"/>
                <w:b/>
                <w:bCs/>
                <w:sz w:val="14"/>
                <w:szCs w:val="14"/>
                <w:lang w:val="es-ES"/>
              </w:rPr>
            </w:pPr>
            <w:r w:rsidRPr="009B466D">
              <w:rPr>
                <w:rFonts w:ascii="Lucida Bright" w:hAnsi="Lucida Bright" w:cs="Calibri"/>
                <w:b/>
                <w:bCs/>
                <w:sz w:val="14"/>
                <w:szCs w:val="14"/>
                <w:lang w:val="es-ES"/>
              </w:rPr>
              <w:t xml:space="preserve">5.419.176,45 </w:t>
            </w:r>
          </w:p>
        </w:tc>
      </w:tr>
    </w:tbl>
    <w:p w:rsidR="009B466D" w:rsidRDefault="009B466D" w:rsidP="008E3490">
      <w:pPr>
        <w:tabs>
          <w:tab w:val="right" w:pos="8364"/>
        </w:tabs>
        <w:ind w:firstLine="567"/>
        <w:jc w:val="both"/>
        <w:rPr>
          <w:rFonts w:ascii="NewBaskerville" w:hAnsi="NewBaskerville"/>
        </w:rPr>
        <w:sectPr w:rsidR="009B466D" w:rsidSect="000337F0">
          <w:pgSz w:w="16840" w:h="11907" w:orient="landscape" w:code="9"/>
          <w:pgMar w:top="1985" w:right="1701" w:bottom="1418" w:left="1701" w:header="567" w:footer="720" w:gutter="0"/>
          <w:cols w:space="720"/>
          <w:docGrid w:linePitch="272"/>
        </w:sectPr>
      </w:pPr>
    </w:p>
    <w:tbl>
      <w:tblPr>
        <w:tblW w:w="5340" w:type="pct"/>
        <w:tblCellMar>
          <w:left w:w="70" w:type="dxa"/>
          <w:right w:w="70" w:type="dxa"/>
        </w:tblCellMar>
        <w:tblLook w:val="04A0" w:firstRow="1" w:lastRow="0" w:firstColumn="1" w:lastColumn="0" w:noHBand="0" w:noVBand="1"/>
      </w:tblPr>
      <w:tblGrid>
        <w:gridCol w:w="1677"/>
        <w:gridCol w:w="2686"/>
        <w:gridCol w:w="1038"/>
        <w:gridCol w:w="914"/>
        <w:gridCol w:w="956"/>
        <w:gridCol w:w="1005"/>
        <w:gridCol w:w="1178"/>
        <w:gridCol w:w="1474"/>
        <w:gridCol w:w="1069"/>
        <w:gridCol w:w="814"/>
        <w:gridCol w:w="652"/>
        <w:gridCol w:w="1038"/>
      </w:tblGrid>
      <w:tr w:rsidR="002D1DB9" w:rsidRPr="002D1DB9" w:rsidTr="002D1DB9">
        <w:trPr>
          <w:trHeight w:val="300"/>
        </w:trPr>
        <w:tc>
          <w:tcPr>
            <w:tcW w:w="2507" w:type="pct"/>
            <w:gridSpan w:val="5"/>
            <w:tcBorders>
              <w:top w:val="nil"/>
              <w:left w:val="nil"/>
              <w:bottom w:val="nil"/>
              <w:right w:val="nil"/>
            </w:tcBorders>
            <w:shd w:val="clear" w:color="000000" w:fill="FFFFFF"/>
            <w:noWrap/>
            <w:vAlign w:val="bottom"/>
            <w:hideMark/>
          </w:tcPr>
          <w:p w:rsidR="002D1DB9" w:rsidRDefault="002D1DB9" w:rsidP="002D1DB9">
            <w:pPr>
              <w:rPr>
                <w:rFonts w:ascii="Lucida Bright" w:hAnsi="Lucida Bright" w:cs="Calibri"/>
                <w:b/>
                <w:bCs/>
                <w:sz w:val="18"/>
                <w:szCs w:val="18"/>
                <w:lang w:val="es-ES"/>
              </w:rPr>
            </w:pPr>
          </w:p>
          <w:p w:rsidR="002D1DB9" w:rsidRDefault="002D1DB9" w:rsidP="002D1DB9">
            <w:pPr>
              <w:rPr>
                <w:rFonts w:ascii="Lucida Bright" w:hAnsi="Lucida Bright" w:cs="Calibri"/>
                <w:b/>
                <w:bCs/>
                <w:sz w:val="18"/>
                <w:szCs w:val="18"/>
                <w:lang w:val="es-ES"/>
              </w:rPr>
            </w:pPr>
          </w:p>
          <w:p w:rsidR="002D1DB9" w:rsidRDefault="002D1DB9" w:rsidP="002D1DB9">
            <w:pPr>
              <w:rPr>
                <w:rFonts w:ascii="Lucida Bright" w:hAnsi="Lucida Bright" w:cs="Calibri"/>
                <w:b/>
                <w:bCs/>
                <w:sz w:val="18"/>
                <w:szCs w:val="18"/>
                <w:lang w:val="es-ES"/>
              </w:rPr>
            </w:pPr>
          </w:p>
          <w:p w:rsidR="002D1DB9" w:rsidRDefault="002D1DB9" w:rsidP="002D1DB9">
            <w:pPr>
              <w:rPr>
                <w:rFonts w:ascii="Lucida Bright" w:hAnsi="Lucida Bright" w:cs="Calibri"/>
                <w:b/>
                <w:bCs/>
                <w:sz w:val="18"/>
                <w:szCs w:val="18"/>
                <w:lang w:val="es-ES"/>
              </w:rPr>
            </w:pPr>
          </w:p>
          <w:p w:rsidR="002D1DB9" w:rsidRDefault="002D1DB9" w:rsidP="002D1DB9">
            <w:pPr>
              <w:rPr>
                <w:rFonts w:ascii="Lucida Bright" w:hAnsi="Lucida Bright" w:cs="Calibri"/>
                <w:b/>
                <w:bCs/>
                <w:sz w:val="18"/>
                <w:szCs w:val="18"/>
                <w:lang w:val="es-ES"/>
              </w:rPr>
            </w:pPr>
          </w:p>
          <w:p w:rsidR="002D1DB9" w:rsidRPr="002D1DB9" w:rsidRDefault="002D1DB9" w:rsidP="002D1DB9">
            <w:pPr>
              <w:rPr>
                <w:rFonts w:ascii="Lucida Bright" w:hAnsi="Lucida Bright" w:cs="Calibri"/>
                <w:b/>
                <w:bCs/>
                <w:sz w:val="18"/>
                <w:szCs w:val="18"/>
                <w:lang w:val="es-ES"/>
              </w:rPr>
            </w:pPr>
            <w:r w:rsidRPr="002D1DB9">
              <w:rPr>
                <w:rFonts w:ascii="Lucida Bright" w:hAnsi="Lucida Bright" w:cs="Calibri"/>
                <w:b/>
                <w:bCs/>
                <w:sz w:val="18"/>
                <w:szCs w:val="18"/>
                <w:lang w:val="es-ES"/>
              </w:rPr>
              <w:t>CUADRO: INVERSIONES FINANCIERAS A LARGO PLAZO 2023</w:t>
            </w:r>
          </w:p>
        </w:tc>
        <w:tc>
          <w:tcPr>
            <w:tcW w:w="347" w:type="pct"/>
            <w:tcBorders>
              <w:top w:val="nil"/>
              <w:left w:val="nil"/>
              <w:bottom w:val="nil"/>
              <w:right w:val="nil"/>
            </w:tcBorders>
            <w:shd w:val="clear" w:color="000000" w:fill="FFFFFF"/>
            <w:noWrap/>
            <w:vAlign w:val="center"/>
            <w:hideMark/>
          </w:tcPr>
          <w:p w:rsidR="002D1DB9" w:rsidRPr="002D1DB9" w:rsidRDefault="002D1DB9" w:rsidP="002D1DB9">
            <w:pPr>
              <w:rPr>
                <w:rFonts w:ascii="Tahoma" w:hAnsi="Tahoma" w:cs="Tahoma"/>
                <w:lang w:val="es-ES"/>
              </w:rPr>
            </w:pPr>
            <w:r w:rsidRPr="002D1DB9">
              <w:rPr>
                <w:rFonts w:ascii="Tahoma" w:hAnsi="Tahoma" w:cs="Tahoma"/>
                <w:lang w:val="es-ES"/>
              </w:rPr>
              <w:t> </w:t>
            </w:r>
          </w:p>
        </w:tc>
        <w:tc>
          <w:tcPr>
            <w:tcW w:w="406" w:type="pct"/>
            <w:tcBorders>
              <w:top w:val="nil"/>
              <w:left w:val="nil"/>
              <w:bottom w:val="nil"/>
              <w:right w:val="nil"/>
            </w:tcBorders>
            <w:shd w:val="clear" w:color="000000" w:fill="FFFFFF"/>
            <w:noWrap/>
            <w:vAlign w:val="bottom"/>
            <w:hideMark/>
          </w:tcPr>
          <w:p w:rsidR="002D1DB9" w:rsidRPr="002D1DB9" w:rsidRDefault="002D1DB9" w:rsidP="002D1DB9">
            <w:pPr>
              <w:rPr>
                <w:rFonts w:ascii="Lucida Bright" w:hAnsi="Lucida Bright" w:cs="Calibri"/>
                <w:sz w:val="14"/>
                <w:szCs w:val="14"/>
                <w:lang w:val="es-ES"/>
              </w:rPr>
            </w:pPr>
            <w:r w:rsidRPr="002D1DB9">
              <w:rPr>
                <w:rFonts w:ascii="Lucida Bright" w:hAnsi="Lucida Bright" w:cs="Calibri"/>
                <w:sz w:val="14"/>
                <w:szCs w:val="14"/>
                <w:lang w:val="es-ES"/>
              </w:rPr>
              <w:t>(en euros)</w:t>
            </w:r>
          </w:p>
        </w:tc>
        <w:tc>
          <w:tcPr>
            <w:tcW w:w="508" w:type="pct"/>
            <w:tcBorders>
              <w:top w:val="nil"/>
              <w:left w:val="nil"/>
              <w:bottom w:val="nil"/>
              <w:right w:val="nil"/>
            </w:tcBorders>
            <w:shd w:val="clear" w:color="000000" w:fill="FFFFFF"/>
            <w:noWrap/>
            <w:vAlign w:val="center"/>
            <w:hideMark/>
          </w:tcPr>
          <w:p w:rsidR="002D1DB9" w:rsidRPr="002D1DB9" w:rsidRDefault="002D1DB9" w:rsidP="002D1DB9">
            <w:pPr>
              <w:rPr>
                <w:rFonts w:ascii="Tahoma" w:hAnsi="Tahoma" w:cs="Tahoma"/>
                <w:color w:val="FF0000"/>
                <w:lang w:val="es-ES"/>
              </w:rPr>
            </w:pPr>
            <w:r w:rsidRPr="002D1DB9">
              <w:rPr>
                <w:rFonts w:ascii="Tahoma" w:hAnsi="Tahoma" w:cs="Tahoma"/>
                <w:color w:val="FF0000"/>
                <w:lang w:val="es-ES"/>
              </w:rPr>
              <w:t> </w:t>
            </w:r>
          </w:p>
        </w:tc>
        <w:tc>
          <w:tcPr>
            <w:tcW w:w="369" w:type="pct"/>
            <w:tcBorders>
              <w:top w:val="nil"/>
              <w:left w:val="nil"/>
              <w:bottom w:val="nil"/>
              <w:right w:val="nil"/>
            </w:tcBorders>
            <w:shd w:val="clear" w:color="000000" w:fill="FFFFFF"/>
            <w:noWrap/>
            <w:vAlign w:val="center"/>
            <w:hideMark/>
          </w:tcPr>
          <w:p w:rsidR="002D1DB9" w:rsidRPr="002D1DB9" w:rsidRDefault="002D1DB9" w:rsidP="002D1DB9">
            <w:pPr>
              <w:rPr>
                <w:rFonts w:ascii="Arial" w:hAnsi="Arial" w:cs="Arial"/>
                <w:lang w:val="es-ES"/>
              </w:rPr>
            </w:pPr>
            <w:r w:rsidRPr="002D1DB9">
              <w:rPr>
                <w:rFonts w:ascii="Arial" w:hAnsi="Arial" w:cs="Arial"/>
                <w:lang w:val="es-ES"/>
              </w:rPr>
              <w:t> </w:t>
            </w:r>
          </w:p>
        </w:tc>
        <w:tc>
          <w:tcPr>
            <w:tcW w:w="281" w:type="pct"/>
            <w:tcBorders>
              <w:top w:val="nil"/>
              <w:left w:val="nil"/>
              <w:bottom w:val="nil"/>
              <w:right w:val="nil"/>
            </w:tcBorders>
            <w:shd w:val="clear" w:color="000000" w:fill="FFFFFF"/>
            <w:noWrap/>
            <w:vAlign w:val="center"/>
            <w:hideMark/>
          </w:tcPr>
          <w:p w:rsidR="002D1DB9" w:rsidRPr="002D1DB9" w:rsidRDefault="002D1DB9" w:rsidP="002D1DB9">
            <w:pPr>
              <w:rPr>
                <w:rFonts w:ascii="Tahoma" w:hAnsi="Tahoma" w:cs="Tahoma"/>
                <w:lang w:val="es-ES"/>
              </w:rPr>
            </w:pPr>
            <w:r w:rsidRPr="002D1DB9">
              <w:rPr>
                <w:rFonts w:ascii="Tahoma" w:hAnsi="Tahoma" w:cs="Tahoma"/>
                <w:lang w:val="es-ES"/>
              </w:rPr>
              <w:t> </w:t>
            </w:r>
          </w:p>
        </w:tc>
        <w:tc>
          <w:tcPr>
            <w:tcW w:w="225" w:type="pct"/>
            <w:tcBorders>
              <w:top w:val="nil"/>
              <w:left w:val="nil"/>
              <w:bottom w:val="nil"/>
              <w:right w:val="nil"/>
            </w:tcBorders>
            <w:shd w:val="clear" w:color="000000" w:fill="FFFFFF"/>
            <w:noWrap/>
            <w:vAlign w:val="center"/>
            <w:hideMark/>
          </w:tcPr>
          <w:p w:rsidR="002D1DB9" w:rsidRPr="002D1DB9" w:rsidRDefault="002D1DB9" w:rsidP="002D1DB9">
            <w:pPr>
              <w:rPr>
                <w:rFonts w:ascii="Tahoma" w:hAnsi="Tahoma" w:cs="Tahoma"/>
                <w:lang w:val="es-ES"/>
              </w:rPr>
            </w:pPr>
            <w:r w:rsidRPr="002D1DB9">
              <w:rPr>
                <w:rFonts w:ascii="Tahoma" w:hAnsi="Tahoma" w:cs="Tahoma"/>
                <w:lang w:val="es-ES"/>
              </w:rPr>
              <w:t> </w:t>
            </w:r>
          </w:p>
        </w:tc>
        <w:tc>
          <w:tcPr>
            <w:tcW w:w="358" w:type="pct"/>
            <w:tcBorders>
              <w:top w:val="nil"/>
              <w:left w:val="nil"/>
              <w:bottom w:val="nil"/>
              <w:right w:val="nil"/>
            </w:tcBorders>
            <w:shd w:val="clear" w:color="000000" w:fill="FFFFFF"/>
            <w:noWrap/>
            <w:vAlign w:val="center"/>
            <w:hideMark/>
          </w:tcPr>
          <w:p w:rsidR="002D1DB9" w:rsidRPr="002D1DB9" w:rsidRDefault="002D1DB9" w:rsidP="002D1DB9">
            <w:pPr>
              <w:rPr>
                <w:rFonts w:ascii="Arial" w:hAnsi="Arial" w:cs="Arial"/>
                <w:lang w:val="es-ES"/>
              </w:rPr>
            </w:pPr>
            <w:r w:rsidRPr="002D1DB9">
              <w:rPr>
                <w:rFonts w:ascii="Arial" w:hAnsi="Arial" w:cs="Arial"/>
                <w:lang w:val="es-ES"/>
              </w:rPr>
              <w:t> </w:t>
            </w:r>
          </w:p>
        </w:tc>
      </w:tr>
      <w:tr w:rsidR="002D1DB9" w:rsidRPr="002D1DB9" w:rsidTr="002D1DB9">
        <w:trPr>
          <w:trHeight w:val="720"/>
        </w:trPr>
        <w:tc>
          <w:tcPr>
            <w:tcW w:w="578" w:type="pct"/>
            <w:tcBorders>
              <w:top w:val="single" w:sz="4" w:space="0" w:color="auto"/>
              <w:left w:val="single" w:sz="4" w:space="0" w:color="auto"/>
              <w:bottom w:val="single" w:sz="4" w:space="0" w:color="auto"/>
              <w:right w:val="nil"/>
            </w:tcBorders>
            <w:shd w:val="clear" w:color="000000" w:fill="CCFFCC"/>
            <w:vAlign w:val="center"/>
            <w:hideMark/>
          </w:tcPr>
          <w:p w:rsidR="002D1DB9" w:rsidRPr="002D1DB9" w:rsidRDefault="002D1DB9" w:rsidP="002D1DB9">
            <w:pPr>
              <w:jc w:val="center"/>
              <w:rPr>
                <w:rFonts w:ascii="Lucida Bright" w:hAnsi="Lucida Bright" w:cs="Calibri"/>
                <w:b/>
                <w:bCs/>
                <w:sz w:val="14"/>
                <w:szCs w:val="14"/>
                <w:lang w:val="es-ES"/>
              </w:rPr>
            </w:pPr>
            <w:r w:rsidRPr="002D1DB9">
              <w:rPr>
                <w:rFonts w:ascii="Lucida Bright" w:hAnsi="Lucida Bright" w:cs="Calibri"/>
                <w:b/>
                <w:bCs/>
                <w:sz w:val="14"/>
                <w:szCs w:val="14"/>
                <w:lang w:val="es-ES"/>
              </w:rPr>
              <w:t>INVERSIONES FINANCIERAS A LARGO PLAZO</w:t>
            </w:r>
          </w:p>
        </w:tc>
        <w:tc>
          <w:tcPr>
            <w:tcW w:w="926" w:type="pct"/>
            <w:tcBorders>
              <w:top w:val="single" w:sz="4" w:space="0" w:color="auto"/>
              <w:left w:val="nil"/>
              <w:bottom w:val="single" w:sz="4" w:space="0" w:color="auto"/>
              <w:right w:val="nil"/>
            </w:tcBorders>
            <w:shd w:val="clear" w:color="000000" w:fill="CCFFCC"/>
            <w:vAlign w:val="center"/>
            <w:hideMark/>
          </w:tcPr>
          <w:p w:rsidR="002D1DB9" w:rsidRPr="002D1DB9" w:rsidRDefault="002D1DB9" w:rsidP="002D1DB9">
            <w:pPr>
              <w:rPr>
                <w:rFonts w:ascii="Lucida Bright" w:hAnsi="Lucida Bright" w:cs="Calibri"/>
                <w:b/>
                <w:bCs/>
                <w:sz w:val="14"/>
                <w:szCs w:val="14"/>
                <w:lang w:val="es-ES"/>
              </w:rPr>
            </w:pPr>
            <w:r w:rsidRPr="002D1DB9">
              <w:rPr>
                <w:rFonts w:ascii="Lucida Bright" w:hAnsi="Lucida Bright" w:cs="Calibri"/>
                <w:b/>
                <w:bCs/>
                <w:sz w:val="14"/>
                <w:szCs w:val="14"/>
                <w:lang w:val="es-ES"/>
              </w:rPr>
              <w:t> </w:t>
            </w:r>
          </w:p>
        </w:tc>
        <w:tc>
          <w:tcPr>
            <w:tcW w:w="358" w:type="pct"/>
            <w:tcBorders>
              <w:top w:val="single" w:sz="4" w:space="0" w:color="auto"/>
              <w:left w:val="single" w:sz="4" w:space="0" w:color="auto"/>
              <w:bottom w:val="single" w:sz="4" w:space="0" w:color="auto"/>
              <w:right w:val="single" w:sz="4" w:space="0" w:color="auto"/>
            </w:tcBorders>
            <w:shd w:val="clear" w:color="000000" w:fill="CCFFCC"/>
            <w:vAlign w:val="center"/>
            <w:hideMark/>
          </w:tcPr>
          <w:p w:rsidR="002D1DB9" w:rsidRPr="002D1DB9" w:rsidRDefault="002D1DB9" w:rsidP="002D1DB9">
            <w:pPr>
              <w:jc w:val="center"/>
              <w:rPr>
                <w:rFonts w:ascii="Lucida Bright" w:hAnsi="Lucida Bright" w:cs="Calibri"/>
                <w:sz w:val="14"/>
                <w:szCs w:val="14"/>
                <w:lang w:val="es-ES"/>
              </w:rPr>
            </w:pPr>
            <w:r w:rsidRPr="002D1DB9">
              <w:rPr>
                <w:rFonts w:ascii="Lucida Bright" w:hAnsi="Lucida Bright" w:cs="Calibri"/>
                <w:sz w:val="14"/>
                <w:szCs w:val="14"/>
                <w:lang w:val="es-ES"/>
              </w:rPr>
              <w:t>Saldo a</w:t>
            </w:r>
            <w:r w:rsidRPr="002D1DB9">
              <w:rPr>
                <w:rFonts w:ascii="Lucida Bright" w:hAnsi="Lucida Bright" w:cs="Calibri"/>
                <w:sz w:val="14"/>
                <w:szCs w:val="14"/>
                <w:lang w:val="es-ES"/>
              </w:rPr>
              <w:br/>
              <w:t>31-12-22</w:t>
            </w:r>
          </w:p>
        </w:tc>
        <w:tc>
          <w:tcPr>
            <w:tcW w:w="315" w:type="pct"/>
            <w:tcBorders>
              <w:top w:val="single" w:sz="4" w:space="0" w:color="auto"/>
              <w:left w:val="nil"/>
              <w:bottom w:val="nil"/>
              <w:right w:val="nil"/>
            </w:tcBorders>
            <w:shd w:val="clear" w:color="000000" w:fill="CCFFCC"/>
            <w:vAlign w:val="center"/>
            <w:hideMark/>
          </w:tcPr>
          <w:p w:rsidR="002D1DB9" w:rsidRPr="002D1DB9" w:rsidRDefault="002D1DB9" w:rsidP="002D1DB9">
            <w:pPr>
              <w:jc w:val="center"/>
              <w:rPr>
                <w:rFonts w:ascii="Lucida Bright" w:hAnsi="Lucida Bright" w:cs="Calibri"/>
                <w:sz w:val="14"/>
                <w:szCs w:val="14"/>
                <w:lang w:val="es-ES"/>
              </w:rPr>
            </w:pPr>
            <w:r w:rsidRPr="002D1DB9">
              <w:rPr>
                <w:rFonts w:ascii="Lucida Bright" w:hAnsi="Lucida Bright" w:cs="Calibri"/>
                <w:sz w:val="14"/>
                <w:szCs w:val="14"/>
                <w:lang w:val="es-ES"/>
              </w:rPr>
              <w:t>Adiciones del ejercicio (+)</w:t>
            </w:r>
          </w:p>
        </w:tc>
        <w:tc>
          <w:tcPr>
            <w:tcW w:w="330" w:type="pct"/>
            <w:tcBorders>
              <w:top w:val="single" w:sz="4" w:space="0" w:color="auto"/>
              <w:left w:val="single" w:sz="4" w:space="0" w:color="auto"/>
              <w:bottom w:val="nil"/>
              <w:right w:val="single" w:sz="4" w:space="0" w:color="auto"/>
            </w:tcBorders>
            <w:shd w:val="clear" w:color="000000" w:fill="CCFFCC"/>
            <w:vAlign w:val="center"/>
            <w:hideMark/>
          </w:tcPr>
          <w:p w:rsidR="002D1DB9" w:rsidRPr="002D1DB9" w:rsidRDefault="002D1DB9" w:rsidP="002D1DB9">
            <w:pPr>
              <w:jc w:val="center"/>
              <w:rPr>
                <w:rFonts w:ascii="Lucida Bright" w:hAnsi="Lucida Bright" w:cs="Calibri"/>
                <w:sz w:val="14"/>
                <w:szCs w:val="14"/>
                <w:lang w:val="es-ES"/>
              </w:rPr>
            </w:pPr>
            <w:r w:rsidRPr="002D1DB9">
              <w:rPr>
                <w:rFonts w:ascii="Lucida Bright" w:hAnsi="Lucida Bright" w:cs="Calibri"/>
                <w:sz w:val="14"/>
                <w:szCs w:val="14"/>
                <w:lang w:val="es-ES"/>
              </w:rPr>
              <w:t>Cancelación anticipada (-)</w:t>
            </w:r>
          </w:p>
        </w:tc>
        <w:tc>
          <w:tcPr>
            <w:tcW w:w="347" w:type="pct"/>
            <w:tcBorders>
              <w:top w:val="single" w:sz="4" w:space="0" w:color="auto"/>
              <w:left w:val="nil"/>
              <w:bottom w:val="nil"/>
              <w:right w:val="nil"/>
            </w:tcBorders>
            <w:shd w:val="clear" w:color="000000" w:fill="CCFFCC"/>
            <w:vAlign w:val="center"/>
            <w:hideMark/>
          </w:tcPr>
          <w:p w:rsidR="002D1DB9" w:rsidRPr="002D1DB9" w:rsidRDefault="002D1DB9" w:rsidP="002D1DB9">
            <w:pPr>
              <w:jc w:val="center"/>
              <w:rPr>
                <w:rFonts w:ascii="Lucida Bright" w:hAnsi="Lucida Bright" w:cs="Calibri"/>
                <w:sz w:val="14"/>
                <w:szCs w:val="14"/>
                <w:lang w:val="es-ES"/>
              </w:rPr>
            </w:pPr>
            <w:r w:rsidRPr="002D1DB9">
              <w:rPr>
                <w:rFonts w:ascii="Lucida Bright" w:hAnsi="Lucida Bright" w:cs="Calibri"/>
                <w:sz w:val="14"/>
                <w:szCs w:val="14"/>
                <w:lang w:val="es-ES"/>
              </w:rPr>
              <w:t>Traspasos a corto plazo (-)</w:t>
            </w:r>
          </w:p>
        </w:tc>
        <w:tc>
          <w:tcPr>
            <w:tcW w:w="406" w:type="pct"/>
            <w:tcBorders>
              <w:top w:val="single" w:sz="4" w:space="0" w:color="auto"/>
              <w:left w:val="single" w:sz="4" w:space="0" w:color="auto"/>
              <w:bottom w:val="single" w:sz="4" w:space="0" w:color="auto"/>
              <w:right w:val="single" w:sz="4" w:space="0" w:color="auto"/>
            </w:tcBorders>
            <w:shd w:val="clear" w:color="000000" w:fill="CCFFCC"/>
            <w:vAlign w:val="center"/>
            <w:hideMark/>
          </w:tcPr>
          <w:p w:rsidR="002D1DB9" w:rsidRPr="002D1DB9" w:rsidRDefault="002D1DB9" w:rsidP="002D1DB9">
            <w:pPr>
              <w:jc w:val="center"/>
              <w:rPr>
                <w:rFonts w:ascii="Lucida Bright" w:hAnsi="Lucida Bright" w:cs="Calibri"/>
                <w:sz w:val="14"/>
                <w:szCs w:val="14"/>
                <w:lang w:val="es-ES"/>
              </w:rPr>
            </w:pPr>
            <w:r w:rsidRPr="002D1DB9">
              <w:rPr>
                <w:rFonts w:ascii="Lucida Bright" w:hAnsi="Lucida Bright" w:cs="Calibri"/>
                <w:sz w:val="14"/>
                <w:szCs w:val="14"/>
                <w:lang w:val="es-ES"/>
              </w:rPr>
              <w:t>Enajenación de participaciones y otras (-)</w:t>
            </w:r>
          </w:p>
        </w:tc>
        <w:tc>
          <w:tcPr>
            <w:tcW w:w="508" w:type="pct"/>
            <w:tcBorders>
              <w:top w:val="single" w:sz="4" w:space="0" w:color="auto"/>
              <w:left w:val="nil"/>
              <w:bottom w:val="single" w:sz="4" w:space="0" w:color="auto"/>
              <w:right w:val="single" w:sz="4" w:space="0" w:color="auto"/>
            </w:tcBorders>
            <w:shd w:val="clear" w:color="000000" w:fill="CCFFCC"/>
            <w:vAlign w:val="center"/>
            <w:hideMark/>
          </w:tcPr>
          <w:p w:rsidR="002D1DB9" w:rsidRPr="002D1DB9" w:rsidRDefault="002D1DB9" w:rsidP="002D1DB9">
            <w:pPr>
              <w:jc w:val="center"/>
              <w:rPr>
                <w:rFonts w:ascii="Lucida Bright" w:hAnsi="Lucida Bright" w:cs="Calibri"/>
                <w:sz w:val="14"/>
                <w:szCs w:val="14"/>
                <w:lang w:val="es-ES"/>
              </w:rPr>
            </w:pPr>
            <w:r w:rsidRPr="002D1DB9">
              <w:rPr>
                <w:rFonts w:ascii="Lucida Bright" w:hAnsi="Lucida Bright" w:cs="Calibri"/>
                <w:sz w:val="14"/>
                <w:szCs w:val="14"/>
                <w:lang w:val="es-ES"/>
              </w:rPr>
              <w:t>Pérdidas por deterioro/reversión (+/-)</w:t>
            </w:r>
          </w:p>
        </w:tc>
        <w:tc>
          <w:tcPr>
            <w:tcW w:w="369" w:type="pct"/>
            <w:tcBorders>
              <w:top w:val="single" w:sz="4" w:space="0" w:color="auto"/>
              <w:left w:val="nil"/>
              <w:bottom w:val="single" w:sz="4" w:space="0" w:color="auto"/>
              <w:right w:val="single" w:sz="4" w:space="0" w:color="auto"/>
            </w:tcBorders>
            <w:shd w:val="clear" w:color="000000" w:fill="CCFFCC"/>
            <w:vAlign w:val="center"/>
            <w:hideMark/>
          </w:tcPr>
          <w:p w:rsidR="002D1DB9" w:rsidRPr="002D1DB9" w:rsidRDefault="002D1DB9" w:rsidP="002D1DB9">
            <w:pPr>
              <w:jc w:val="center"/>
              <w:rPr>
                <w:rFonts w:ascii="Lucida Bright" w:hAnsi="Lucida Bright" w:cs="Calibri"/>
                <w:sz w:val="14"/>
                <w:szCs w:val="14"/>
                <w:lang w:val="es-ES"/>
              </w:rPr>
            </w:pPr>
            <w:r w:rsidRPr="002D1DB9">
              <w:rPr>
                <w:rFonts w:ascii="Lucida Bright" w:hAnsi="Lucida Bright" w:cs="Calibri"/>
                <w:sz w:val="14"/>
                <w:szCs w:val="14"/>
                <w:lang w:val="es-ES"/>
              </w:rPr>
              <w:t>Actualización financiera (+)</w:t>
            </w:r>
          </w:p>
        </w:tc>
        <w:tc>
          <w:tcPr>
            <w:tcW w:w="281" w:type="pct"/>
            <w:tcBorders>
              <w:top w:val="single" w:sz="4" w:space="0" w:color="auto"/>
              <w:left w:val="nil"/>
              <w:bottom w:val="single" w:sz="4" w:space="0" w:color="auto"/>
              <w:right w:val="single" w:sz="4" w:space="0" w:color="auto"/>
            </w:tcBorders>
            <w:shd w:val="clear" w:color="000000" w:fill="CCFFCC"/>
            <w:vAlign w:val="center"/>
            <w:hideMark/>
          </w:tcPr>
          <w:p w:rsidR="002D1DB9" w:rsidRPr="002D1DB9" w:rsidRDefault="002D1DB9" w:rsidP="002D1DB9">
            <w:pPr>
              <w:jc w:val="center"/>
              <w:rPr>
                <w:rFonts w:ascii="Lucida Bright" w:hAnsi="Lucida Bright" w:cs="Calibri"/>
                <w:sz w:val="14"/>
                <w:szCs w:val="14"/>
                <w:lang w:val="es-ES"/>
              </w:rPr>
            </w:pPr>
            <w:r w:rsidRPr="002D1DB9">
              <w:rPr>
                <w:rFonts w:ascii="Lucida Bright" w:hAnsi="Lucida Bright" w:cs="Calibri"/>
                <w:sz w:val="14"/>
                <w:szCs w:val="14"/>
                <w:lang w:val="es-ES"/>
              </w:rPr>
              <w:t>Variación valor razonable (+/-)</w:t>
            </w:r>
          </w:p>
        </w:tc>
        <w:tc>
          <w:tcPr>
            <w:tcW w:w="225" w:type="pct"/>
            <w:tcBorders>
              <w:top w:val="single" w:sz="4" w:space="0" w:color="auto"/>
              <w:left w:val="nil"/>
              <w:bottom w:val="single" w:sz="4" w:space="0" w:color="auto"/>
              <w:right w:val="single" w:sz="4" w:space="0" w:color="auto"/>
            </w:tcBorders>
            <w:shd w:val="clear" w:color="000000" w:fill="CCFFCC"/>
            <w:vAlign w:val="center"/>
            <w:hideMark/>
          </w:tcPr>
          <w:p w:rsidR="002D1DB9" w:rsidRPr="002D1DB9" w:rsidRDefault="002D1DB9" w:rsidP="002D1DB9">
            <w:pPr>
              <w:jc w:val="center"/>
              <w:rPr>
                <w:rFonts w:ascii="Lucida Bright" w:hAnsi="Lucida Bright" w:cs="Calibri"/>
                <w:sz w:val="14"/>
                <w:szCs w:val="14"/>
                <w:lang w:val="es-ES"/>
              </w:rPr>
            </w:pPr>
            <w:r w:rsidRPr="002D1DB9">
              <w:rPr>
                <w:rFonts w:ascii="Lucida Bright" w:hAnsi="Lucida Bright" w:cs="Calibri"/>
                <w:sz w:val="14"/>
                <w:szCs w:val="14"/>
                <w:lang w:val="es-ES"/>
              </w:rPr>
              <w:t>Ajustes por cambio de valor (+/-)</w:t>
            </w:r>
          </w:p>
        </w:tc>
        <w:tc>
          <w:tcPr>
            <w:tcW w:w="358" w:type="pct"/>
            <w:tcBorders>
              <w:top w:val="single" w:sz="4" w:space="0" w:color="auto"/>
              <w:left w:val="nil"/>
              <w:bottom w:val="single" w:sz="4" w:space="0" w:color="auto"/>
              <w:right w:val="single" w:sz="4" w:space="0" w:color="auto"/>
            </w:tcBorders>
            <w:shd w:val="clear" w:color="000000" w:fill="CCFFCC"/>
            <w:vAlign w:val="center"/>
            <w:hideMark/>
          </w:tcPr>
          <w:p w:rsidR="002D1DB9" w:rsidRPr="002D1DB9" w:rsidRDefault="002D1DB9" w:rsidP="002D1DB9">
            <w:pPr>
              <w:jc w:val="center"/>
              <w:rPr>
                <w:rFonts w:ascii="Lucida Bright" w:hAnsi="Lucida Bright" w:cs="Calibri"/>
                <w:sz w:val="14"/>
                <w:szCs w:val="14"/>
                <w:lang w:val="es-ES"/>
              </w:rPr>
            </w:pPr>
            <w:r w:rsidRPr="002D1DB9">
              <w:rPr>
                <w:rFonts w:ascii="Lucida Bright" w:hAnsi="Lucida Bright" w:cs="Calibri"/>
                <w:sz w:val="14"/>
                <w:szCs w:val="14"/>
                <w:lang w:val="es-ES"/>
              </w:rPr>
              <w:t>Saldo a</w:t>
            </w:r>
            <w:r w:rsidRPr="002D1DB9">
              <w:rPr>
                <w:rFonts w:ascii="Lucida Bright" w:hAnsi="Lucida Bright" w:cs="Calibri"/>
                <w:sz w:val="14"/>
                <w:szCs w:val="14"/>
                <w:lang w:val="es-ES"/>
              </w:rPr>
              <w:br/>
              <w:t>31-12-23</w:t>
            </w:r>
          </w:p>
        </w:tc>
      </w:tr>
      <w:tr w:rsidR="002D1DB9" w:rsidRPr="002D1DB9" w:rsidTr="002D1DB9">
        <w:trPr>
          <w:trHeight w:val="300"/>
        </w:trPr>
        <w:tc>
          <w:tcPr>
            <w:tcW w:w="1504"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D1DB9" w:rsidRPr="002D1DB9" w:rsidRDefault="002D1DB9" w:rsidP="002D1DB9">
            <w:pPr>
              <w:rPr>
                <w:rFonts w:ascii="Lucida Bright" w:hAnsi="Lucida Bright" w:cs="Calibri"/>
                <w:sz w:val="14"/>
                <w:szCs w:val="14"/>
                <w:lang w:val="es-ES"/>
              </w:rPr>
            </w:pPr>
            <w:r w:rsidRPr="002D1DB9">
              <w:rPr>
                <w:rFonts w:ascii="Lucida Bright" w:hAnsi="Lucida Bright" w:cs="Calibri"/>
                <w:sz w:val="14"/>
                <w:szCs w:val="14"/>
                <w:lang w:val="es-ES"/>
              </w:rPr>
              <w:t xml:space="preserve">  Instrumentos de patrimonio</w:t>
            </w:r>
          </w:p>
        </w:tc>
        <w:tc>
          <w:tcPr>
            <w:tcW w:w="358"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315" w:type="pct"/>
            <w:tcBorders>
              <w:top w:val="single" w:sz="4" w:space="0" w:color="auto"/>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406"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508" w:type="pct"/>
            <w:tcBorders>
              <w:top w:val="nil"/>
              <w:left w:val="nil"/>
              <w:bottom w:val="single" w:sz="4" w:space="0" w:color="auto"/>
              <w:right w:val="single" w:sz="4" w:space="0" w:color="auto"/>
            </w:tcBorders>
            <w:shd w:val="clear" w:color="000000" w:fill="BFBFBF"/>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369" w:type="pct"/>
            <w:tcBorders>
              <w:top w:val="nil"/>
              <w:left w:val="nil"/>
              <w:bottom w:val="single" w:sz="4" w:space="0" w:color="auto"/>
              <w:right w:val="single" w:sz="4" w:space="0" w:color="auto"/>
            </w:tcBorders>
            <w:shd w:val="clear" w:color="000000" w:fill="C0C0C0"/>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281"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225"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358"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r>
      <w:tr w:rsidR="002D1DB9" w:rsidRPr="002D1DB9" w:rsidTr="002D1DB9">
        <w:trPr>
          <w:trHeight w:val="300"/>
        </w:trPr>
        <w:tc>
          <w:tcPr>
            <w:tcW w:w="1504"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xml:space="preserve">a) Participaciones a </w:t>
            </w:r>
            <w:proofErr w:type="spellStart"/>
            <w:r w:rsidRPr="002D1DB9">
              <w:rPr>
                <w:rFonts w:ascii="Lucida Bright" w:hAnsi="Lucida Bright" w:cs="Calibri"/>
                <w:i/>
                <w:iCs/>
                <w:sz w:val="14"/>
                <w:szCs w:val="14"/>
                <w:lang w:val="es-ES"/>
              </w:rPr>
              <w:t>l.p</w:t>
            </w:r>
            <w:proofErr w:type="spellEnd"/>
            <w:r w:rsidRPr="002D1DB9">
              <w:rPr>
                <w:rFonts w:ascii="Lucida Bright" w:hAnsi="Lucida Bright" w:cs="Calibri"/>
                <w:i/>
                <w:iCs/>
                <w:sz w:val="14"/>
                <w:szCs w:val="14"/>
                <w:lang w:val="es-ES"/>
              </w:rPr>
              <w:t>. en otras partes vinculadas</w:t>
            </w:r>
          </w:p>
        </w:tc>
        <w:tc>
          <w:tcPr>
            <w:tcW w:w="358"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 </w:t>
            </w:r>
          </w:p>
        </w:tc>
        <w:tc>
          <w:tcPr>
            <w:tcW w:w="315"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 </w:t>
            </w:r>
          </w:p>
        </w:tc>
        <w:tc>
          <w:tcPr>
            <w:tcW w:w="330" w:type="pct"/>
            <w:tcBorders>
              <w:top w:val="nil"/>
              <w:left w:val="nil"/>
              <w:bottom w:val="single" w:sz="4" w:space="0" w:color="auto"/>
              <w:right w:val="single" w:sz="4" w:space="0" w:color="auto"/>
            </w:tcBorders>
            <w:shd w:val="clear" w:color="000000" w:fill="C0C0C0"/>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 </w:t>
            </w:r>
          </w:p>
        </w:tc>
        <w:tc>
          <w:tcPr>
            <w:tcW w:w="406"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 </w:t>
            </w:r>
          </w:p>
        </w:tc>
        <w:tc>
          <w:tcPr>
            <w:tcW w:w="508" w:type="pct"/>
            <w:tcBorders>
              <w:top w:val="nil"/>
              <w:left w:val="nil"/>
              <w:bottom w:val="single" w:sz="4" w:space="0" w:color="auto"/>
              <w:right w:val="single" w:sz="4" w:space="0" w:color="auto"/>
            </w:tcBorders>
            <w:shd w:val="clear" w:color="000000" w:fill="BFBFB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69" w:type="pct"/>
            <w:tcBorders>
              <w:top w:val="nil"/>
              <w:left w:val="nil"/>
              <w:bottom w:val="single" w:sz="4" w:space="0" w:color="auto"/>
              <w:right w:val="single" w:sz="4" w:space="0" w:color="auto"/>
            </w:tcBorders>
            <w:shd w:val="clear" w:color="000000" w:fill="C0C0C0"/>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281" w:type="pct"/>
            <w:tcBorders>
              <w:top w:val="nil"/>
              <w:left w:val="nil"/>
              <w:bottom w:val="single" w:sz="4" w:space="0" w:color="auto"/>
              <w:right w:val="single" w:sz="4" w:space="0" w:color="auto"/>
            </w:tcBorders>
            <w:shd w:val="clear" w:color="000000" w:fill="auto"/>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 </w:t>
            </w:r>
          </w:p>
        </w:tc>
        <w:tc>
          <w:tcPr>
            <w:tcW w:w="225" w:type="pct"/>
            <w:tcBorders>
              <w:top w:val="nil"/>
              <w:left w:val="nil"/>
              <w:bottom w:val="single" w:sz="4" w:space="0" w:color="auto"/>
              <w:right w:val="single" w:sz="4" w:space="0" w:color="auto"/>
            </w:tcBorders>
            <w:shd w:val="clear" w:color="000000" w:fill="auto"/>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 </w:t>
            </w:r>
          </w:p>
        </w:tc>
        <w:tc>
          <w:tcPr>
            <w:tcW w:w="358"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 </w:t>
            </w:r>
          </w:p>
        </w:tc>
      </w:tr>
      <w:tr w:rsidR="002D1DB9" w:rsidRPr="002D1DB9" w:rsidTr="002D1DB9">
        <w:trPr>
          <w:trHeight w:val="300"/>
        </w:trPr>
        <w:tc>
          <w:tcPr>
            <w:tcW w:w="1504"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xml:space="preserve">b) Inversiones financieras a </w:t>
            </w:r>
            <w:proofErr w:type="spellStart"/>
            <w:r w:rsidRPr="002D1DB9">
              <w:rPr>
                <w:rFonts w:ascii="Lucida Bright" w:hAnsi="Lucida Bright" w:cs="Calibri"/>
                <w:i/>
                <w:iCs/>
                <w:sz w:val="14"/>
                <w:szCs w:val="14"/>
                <w:lang w:val="es-ES"/>
              </w:rPr>
              <w:t>l.p</w:t>
            </w:r>
            <w:proofErr w:type="spellEnd"/>
            <w:r w:rsidRPr="002D1DB9">
              <w:rPr>
                <w:rFonts w:ascii="Lucida Bright" w:hAnsi="Lucida Bright" w:cs="Calibri"/>
                <w:i/>
                <w:iCs/>
                <w:sz w:val="14"/>
                <w:szCs w:val="14"/>
                <w:lang w:val="es-ES"/>
              </w:rPr>
              <w:t>. en instrumentos de patrimonio</w:t>
            </w:r>
          </w:p>
        </w:tc>
        <w:tc>
          <w:tcPr>
            <w:tcW w:w="358"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 </w:t>
            </w:r>
          </w:p>
        </w:tc>
        <w:tc>
          <w:tcPr>
            <w:tcW w:w="315"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 </w:t>
            </w:r>
          </w:p>
        </w:tc>
        <w:tc>
          <w:tcPr>
            <w:tcW w:w="330" w:type="pct"/>
            <w:tcBorders>
              <w:top w:val="nil"/>
              <w:left w:val="nil"/>
              <w:bottom w:val="single" w:sz="4" w:space="0" w:color="auto"/>
              <w:right w:val="single" w:sz="4" w:space="0" w:color="auto"/>
            </w:tcBorders>
            <w:shd w:val="clear" w:color="000000" w:fill="C0C0C0"/>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 </w:t>
            </w:r>
          </w:p>
        </w:tc>
        <w:tc>
          <w:tcPr>
            <w:tcW w:w="406"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 </w:t>
            </w:r>
          </w:p>
        </w:tc>
        <w:tc>
          <w:tcPr>
            <w:tcW w:w="508" w:type="pct"/>
            <w:tcBorders>
              <w:top w:val="nil"/>
              <w:left w:val="nil"/>
              <w:bottom w:val="single" w:sz="4" w:space="0" w:color="auto"/>
              <w:right w:val="single" w:sz="4" w:space="0" w:color="auto"/>
            </w:tcBorders>
            <w:shd w:val="clear" w:color="000000" w:fill="BFBFB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69" w:type="pct"/>
            <w:tcBorders>
              <w:top w:val="nil"/>
              <w:left w:val="nil"/>
              <w:bottom w:val="single" w:sz="4" w:space="0" w:color="auto"/>
              <w:right w:val="single" w:sz="4" w:space="0" w:color="auto"/>
            </w:tcBorders>
            <w:shd w:val="clear" w:color="000000" w:fill="C0C0C0"/>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281" w:type="pct"/>
            <w:tcBorders>
              <w:top w:val="nil"/>
              <w:left w:val="nil"/>
              <w:bottom w:val="single" w:sz="4" w:space="0" w:color="auto"/>
              <w:right w:val="single" w:sz="4" w:space="0" w:color="auto"/>
            </w:tcBorders>
            <w:shd w:val="clear" w:color="000000" w:fill="auto"/>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 </w:t>
            </w:r>
          </w:p>
        </w:tc>
        <w:tc>
          <w:tcPr>
            <w:tcW w:w="225" w:type="pct"/>
            <w:tcBorders>
              <w:top w:val="nil"/>
              <w:left w:val="nil"/>
              <w:bottom w:val="single" w:sz="4" w:space="0" w:color="auto"/>
              <w:right w:val="single" w:sz="4" w:space="0" w:color="auto"/>
            </w:tcBorders>
            <w:shd w:val="clear" w:color="000000" w:fill="auto"/>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 </w:t>
            </w:r>
          </w:p>
        </w:tc>
        <w:tc>
          <w:tcPr>
            <w:tcW w:w="358"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 </w:t>
            </w:r>
          </w:p>
        </w:tc>
      </w:tr>
      <w:tr w:rsidR="002D1DB9" w:rsidRPr="002D1DB9" w:rsidTr="002D1DB9">
        <w:trPr>
          <w:trHeight w:val="300"/>
        </w:trPr>
        <w:tc>
          <w:tcPr>
            <w:tcW w:w="1504"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D1DB9" w:rsidRPr="002D1DB9" w:rsidRDefault="002D1DB9" w:rsidP="002D1DB9">
            <w:pPr>
              <w:rPr>
                <w:rFonts w:ascii="Lucida Bright" w:hAnsi="Lucida Bright" w:cs="Calibri"/>
                <w:sz w:val="14"/>
                <w:szCs w:val="14"/>
                <w:lang w:val="es-ES"/>
              </w:rPr>
            </w:pPr>
            <w:r w:rsidRPr="002D1DB9">
              <w:rPr>
                <w:rFonts w:ascii="Lucida Bright" w:hAnsi="Lucida Bright" w:cs="Calibri"/>
                <w:sz w:val="14"/>
                <w:szCs w:val="14"/>
                <w:lang w:val="es-ES"/>
              </w:rPr>
              <w:t xml:space="preserve">  Créditos a terceros</w:t>
            </w:r>
          </w:p>
        </w:tc>
        <w:tc>
          <w:tcPr>
            <w:tcW w:w="358"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487.516,42 </w:t>
            </w:r>
          </w:p>
        </w:tc>
        <w:tc>
          <w:tcPr>
            <w:tcW w:w="315"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351.316,78 </w:t>
            </w:r>
          </w:p>
        </w:tc>
        <w:tc>
          <w:tcPr>
            <w:tcW w:w="330"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347"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(237.355,75) </w:t>
            </w:r>
          </w:p>
        </w:tc>
        <w:tc>
          <w:tcPr>
            <w:tcW w:w="406"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508"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369"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281"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225"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358"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601.477,45 </w:t>
            </w:r>
          </w:p>
        </w:tc>
      </w:tr>
      <w:tr w:rsidR="002D1DB9" w:rsidRPr="002D1DB9" w:rsidTr="002D1DB9">
        <w:trPr>
          <w:trHeight w:val="300"/>
        </w:trPr>
        <w:tc>
          <w:tcPr>
            <w:tcW w:w="1504"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xml:space="preserve">a) </w:t>
            </w:r>
            <w:proofErr w:type="spellStart"/>
            <w:r w:rsidRPr="002D1DB9">
              <w:rPr>
                <w:rFonts w:ascii="Lucida Bright" w:hAnsi="Lucida Bright" w:cs="Calibri"/>
                <w:i/>
                <w:iCs/>
                <w:sz w:val="14"/>
                <w:szCs w:val="14"/>
                <w:lang w:val="es-ES"/>
              </w:rPr>
              <w:t>Creditos</w:t>
            </w:r>
            <w:proofErr w:type="spellEnd"/>
            <w:r w:rsidRPr="002D1DB9">
              <w:rPr>
                <w:rFonts w:ascii="Lucida Bright" w:hAnsi="Lucida Bright" w:cs="Calibri"/>
                <w:i/>
                <w:iCs/>
                <w:sz w:val="14"/>
                <w:szCs w:val="14"/>
                <w:lang w:val="es-ES"/>
              </w:rPr>
              <w:t xml:space="preserve"> a </w:t>
            </w:r>
            <w:proofErr w:type="spellStart"/>
            <w:r w:rsidRPr="002D1DB9">
              <w:rPr>
                <w:rFonts w:ascii="Lucida Bright" w:hAnsi="Lucida Bright" w:cs="Calibri"/>
                <w:i/>
                <w:iCs/>
                <w:sz w:val="14"/>
                <w:szCs w:val="14"/>
                <w:lang w:val="es-ES"/>
              </w:rPr>
              <w:t>l.p</w:t>
            </w:r>
            <w:proofErr w:type="spellEnd"/>
            <w:r w:rsidRPr="002D1DB9">
              <w:rPr>
                <w:rFonts w:ascii="Lucida Bright" w:hAnsi="Lucida Bright" w:cs="Calibri"/>
                <w:i/>
                <w:iCs/>
                <w:sz w:val="14"/>
                <w:szCs w:val="14"/>
                <w:lang w:val="es-ES"/>
              </w:rPr>
              <w:t>. a otras partes vinculadas</w:t>
            </w:r>
          </w:p>
        </w:tc>
        <w:tc>
          <w:tcPr>
            <w:tcW w:w="358"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15"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30"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47"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406"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508"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69"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225"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58"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 </w:t>
            </w:r>
          </w:p>
        </w:tc>
      </w:tr>
      <w:tr w:rsidR="002D1DB9" w:rsidRPr="002D1DB9" w:rsidTr="002D1DB9">
        <w:trPr>
          <w:trHeight w:val="300"/>
        </w:trPr>
        <w:tc>
          <w:tcPr>
            <w:tcW w:w="1504"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xml:space="preserve">b) </w:t>
            </w:r>
            <w:proofErr w:type="spellStart"/>
            <w:r w:rsidRPr="002D1DB9">
              <w:rPr>
                <w:rFonts w:ascii="Lucida Bright" w:hAnsi="Lucida Bright" w:cs="Calibri"/>
                <w:i/>
                <w:iCs/>
                <w:sz w:val="14"/>
                <w:szCs w:val="14"/>
                <w:lang w:val="es-ES"/>
              </w:rPr>
              <w:t>Creditos</w:t>
            </w:r>
            <w:proofErr w:type="spellEnd"/>
            <w:r w:rsidRPr="002D1DB9">
              <w:rPr>
                <w:rFonts w:ascii="Lucida Bright" w:hAnsi="Lucida Bright" w:cs="Calibri"/>
                <w:i/>
                <w:iCs/>
                <w:sz w:val="14"/>
                <w:szCs w:val="14"/>
                <w:lang w:val="es-ES"/>
              </w:rPr>
              <w:t xml:space="preserve"> a </w:t>
            </w:r>
            <w:proofErr w:type="spellStart"/>
            <w:r w:rsidRPr="002D1DB9">
              <w:rPr>
                <w:rFonts w:ascii="Lucida Bright" w:hAnsi="Lucida Bright" w:cs="Calibri"/>
                <w:i/>
                <w:iCs/>
                <w:sz w:val="14"/>
                <w:szCs w:val="14"/>
                <w:lang w:val="es-ES"/>
              </w:rPr>
              <w:t>l.p</w:t>
            </w:r>
            <w:proofErr w:type="spellEnd"/>
            <w:r w:rsidRPr="002D1DB9">
              <w:rPr>
                <w:rFonts w:ascii="Lucida Bright" w:hAnsi="Lucida Bright" w:cs="Calibri"/>
                <w:i/>
                <w:iCs/>
                <w:sz w:val="14"/>
                <w:szCs w:val="14"/>
                <w:lang w:val="es-ES"/>
              </w:rPr>
              <w:t>.</w:t>
            </w:r>
          </w:p>
        </w:tc>
        <w:tc>
          <w:tcPr>
            <w:tcW w:w="358"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135.520,00 </w:t>
            </w:r>
          </w:p>
        </w:tc>
        <w:tc>
          <w:tcPr>
            <w:tcW w:w="315"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16.050,00 </w:t>
            </w:r>
          </w:p>
        </w:tc>
        <w:tc>
          <w:tcPr>
            <w:tcW w:w="330"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47"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406"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508"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69"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225"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58"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151.570,00 </w:t>
            </w:r>
          </w:p>
        </w:tc>
      </w:tr>
      <w:tr w:rsidR="002D1DB9" w:rsidRPr="002D1DB9" w:rsidTr="002D1DB9">
        <w:trPr>
          <w:trHeight w:val="300"/>
        </w:trPr>
        <w:tc>
          <w:tcPr>
            <w:tcW w:w="1504"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xml:space="preserve">c) </w:t>
            </w:r>
            <w:proofErr w:type="spellStart"/>
            <w:r w:rsidRPr="002D1DB9">
              <w:rPr>
                <w:rFonts w:ascii="Lucida Bright" w:hAnsi="Lucida Bright" w:cs="Calibri"/>
                <w:i/>
                <w:iCs/>
                <w:sz w:val="14"/>
                <w:szCs w:val="14"/>
                <w:lang w:val="es-ES"/>
              </w:rPr>
              <w:t>Creditos</w:t>
            </w:r>
            <w:proofErr w:type="spellEnd"/>
            <w:r w:rsidRPr="002D1DB9">
              <w:rPr>
                <w:rFonts w:ascii="Lucida Bright" w:hAnsi="Lucida Bright" w:cs="Calibri"/>
                <w:i/>
                <w:iCs/>
                <w:sz w:val="14"/>
                <w:szCs w:val="14"/>
                <w:lang w:val="es-ES"/>
              </w:rPr>
              <w:t xml:space="preserve"> a </w:t>
            </w:r>
            <w:proofErr w:type="spellStart"/>
            <w:r w:rsidRPr="002D1DB9">
              <w:rPr>
                <w:rFonts w:ascii="Lucida Bright" w:hAnsi="Lucida Bright" w:cs="Calibri"/>
                <w:i/>
                <w:iCs/>
                <w:sz w:val="14"/>
                <w:szCs w:val="14"/>
                <w:lang w:val="es-ES"/>
              </w:rPr>
              <w:t>l.p</w:t>
            </w:r>
            <w:proofErr w:type="spellEnd"/>
            <w:r w:rsidRPr="002D1DB9">
              <w:rPr>
                <w:rFonts w:ascii="Lucida Bright" w:hAnsi="Lucida Bright" w:cs="Calibri"/>
                <w:i/>
                <w:iCs/>
                <w:sz w:val="14"/>
                <w:szCs w:val="14"/>
                <w:lang w:val="es-ES"/>
              </w:rPr>
              <w:t>. por enajenación de inmovilizado</w:t>
            </w:r>
          </w:p>
        </w:tc>
        <w:tc>
          <w:tcPr>
            <w:tcW w:w="358"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15"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30"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47"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406"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508"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69"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225"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58"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 </w:t>
            </w:r>
          </w:p>
        </w:tc>
      </w:tr>
      <w:tr w:rsidR="002D1DB9" w:rsidRPr="002D1DB9" w:rsidTr="002D1DB9">
        <w:trPr>
          <w:trHeight w:val="300"/>
        </w:trPr>
        <w:tc>
          <w:tcPr>
            <w:tcW w:w="1504"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xml:space="preserve">d) Créditos a </w:t>
            </w:r>
            <w:proofErr w:type="spellStart"/>
            <w:r w:rsidRPr="002D1DB9">
              <w:rPr>
                <w:rFonts w:ascii="Lucida Bright" w:hAnsi="Lucida Bright" w:cs="Calibri"/>
                <w:i/>
                <w:iCs/>
                <w:sz w:val="14"/>
                <w:szCs w:val="14"/>
                <w:lang w:val="es-ES"/>
              </w:rPr>
              <w:t>l.p</w:t>
            </w:r>
            <w:proofErr w:type="spellEnd"/>
            <w:r w:rsidRPr="002D1DB9">
              <w:rPr>
                <w:rFonts w:ascii="Lucida Bright" w:hAnsi="Lucida Bright" w:cs="Calibri"/>
                <w:i/>
                <w:iCs/>
                <w:sz w:val="14"/>
                <w:szCs w:val="14"/>
                <w:lang w:val="es-ES"/>
              </w:rPr>
              <w:t>. al personal</w:t>
            </w:r>
          </w:p>
        </w:tc>
        <w:tc>
          <w:tcPr>
            <w:tcW w:w="358"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351.996,42 </w:t>
            </w:r>
          </w:p>
        </w:tc>
        <w:tc>
          <w:tcPr>
            <w:tcW w:w="315"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335.266,78 </w:t>
            </w:r>
          </w:p>
        </w:tc>
        <w:tc>
          <w:tcPr>
            <w:tcW w:w="330"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47"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(237.355,75) </w:t>
            </w:r>
          </w:p>
        </w:tc>
        <w:tc>
          <w:tcPr>
            <w:tcW w:w="406"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508"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69"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225"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58"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449.907,45 </w:t>
            </w:r>
          </w:p>
        </w:tc>
      </w:tr>
      <w:tr w:rsidR="002D1DB9" w:rsidRPr="002D1DB9" w:rsidTr="002D1DB9">
        <w:trPr>
          <w:trHeight w:val="300"/>
        </w:trPr>
        <w:tc>
          <w:tcPr>
            <w:tcW w:w="1504"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D1DB9" w:rsidRPr="002D1DB9" w:rsidRDefault="002D1DB9" w:rsidP="002D1DB9">
            <w:pPr>
              <w:rPr>
                <w:rFonts w:ascii="Lucida Bright" w:hAnsi="Lucida Bright" w:cs="Calibri"/>
                <w:sz w:val="14"/>
                <w:szCs w:val="14"/>
                <w:lang w:val="es-ES"/>
              </w:rPr>
            </w:pPr>
            <w:r w:rsidRPr="002D1DB9">
              <w:rPr>
                <w:rFonts w:ascii="Lucida Bright" w:hAnsi="Lucida Bright" w:cs="Calibri"/>
                <w:sz w:val="14"/>
                <w:szCs w:val="14"/>
                <w:lang w:val="es-ES"/>
              </w:rPr>
              <w:t xml:space="preserve">  </w:t>
            </w:r>
            <w:proofErr w:type="spellStart"/>
            <w:r w:rsidRPr="002D1DB9">
              <w:rPr>
                <w:rFonts w:ascii="Lucida Bright" w:hAnsi="Lucida Bright" w:cs="Calibri"/>
                <w:sz w:val="14"/>
                <w:szCs w:val="14"/>
                <w:lang w:val="es-ES"/>
              </w:rPr>
              <w:t>Adm</w:t>
            </w:r>
            <w:proofErr w:type="spellEnd"/>
            <w:r w:rsidRPr="002D1DB9">
              <w:rPr>
                <w:rFonts w:ascii="Lucida Bright" w:hAnsi="Lucida Bright" w:cs="Calibri"/>
                <w:sz w:val="14"/>
                <w:szCs w:val="14"/>
                <w:lang w:val="es-ES"/>
              </w:rPr>
              <w:t xml:space="preserve">. </w:t>
            </w:r>
            <w:proofErr w:type="spellStart"/>
            <w:r w:rsidRPr="002D1DB9">
              <w:rPr>
                <w:rFonts w:ascii="Lucida Bright" w:hAnsi="Lucida Bright" w:cs="Calibri"/>
                <w:sz w:val="14"/>
                <w:szCs w:val="14"/>
                <w:lang w:val="es-ES"/>
              </w:rPr>
              <w:t>Públ</w:t>
            </w:r>
            <w:proofErr w:type="spellEnd"/>
            <w:r w:rsidRPr="002D1DB9">
              <w:rPr>
                <w:rFonts w:ascii="Lucida Bright" w:hAnsi="Lucida Bright" w:cs="Calibri"/>
                <w:sz w:val="14"/>
                <w:szCs w:val="14"/>
                <w:lang w:val="es-ES"/>
              </w:rPr>
              <w:t xml:space="preserve">., subvenciones oficiales pendientes de cobro a </w:t>
            </w:r>
            <w:proofErr w:type="spellStart"/>
            <w:r w:rsidRPr="002D1DB9">
              <w:rPr>
                <w:rFonts w:ascii="Lucida Bright" w:hAnsi="Lucida Bright" w:cs="Calibri"/>
                <w:sz w:val="14"/>
                <w:szCs w:val="14"/>
                <w:lang w:val="es-ES"/>
              </w:rPr>
              <w:t>l.p</w:t>
            </w:r>
            <w:proofErr w:type="spellEnd"/>
            <w:r w:rsidRPr="002D1DB9">
              <w:rPr>
                <w:rFonts w:ascii="Lucida Bright" w:hAnsi="Lucida Bright" w:cs="Calibri"/>
                <w:sz w:val="14"/>
                <w:szCs w:val="14"/>
                <w:lang w:val="es-ES"/>
              </w:rPr>
              <w:t>.</w:t>
            </w:r>
          </w:p>
        </w:tc>
        <w:tc>
          <w:tcPr>
            <w:tcW w:w="358" w:type="pct"/>
            <w:tcBorders>
              <w:top w:val="single" w:sz="4" w:space="0" w:color="auto"/>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315" w:type="pct"/>
            <w:tcBorders>
              <w:top w:val="single" w:sz="4" w:space="0" w:color="auto"/>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330" w:type="pct"/>
            <w:tcBorders>
              <w:top w:val="single" w:sz="4" w:space="0" w:color="auto"/>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347" w:type="pct"/>
            <w:tcBorders>
              <w:top w:val="single" w:sz="4" w:space="0" w:color="auto"/>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406" w:type="pct"/>
            <w:tcBorders>
              <w:top w:val="single" w:sz="4" w:space="0" w:color="auto"/>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508" w:type="pct"/>
            <w:tcBorders>
              <w:top w:val="single" w:sz="4" w:space="0" w:color="auto"/>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369" w:type="pct"/>
            <w:tcBorders>
              <w:top w:val="single" w:sz="4" w:space="0" w:color="auto"/>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281" w:type="pct"/>
            <w:tcBorders>
              <w:top w:val="single" w:sz="4" w:space="0" w:color="auto"/>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225" w:type="pct"/>
            <w:tcBorders>
              <w:top w:val="single" w:sz="4" w:space="0" w:color="auto"/>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r>
      <w:tr w:rsidR="002D1DB9" w:rsidRPr="002D1DB9" w:rsidTr="002D1DB9">
        <w:trPr>
          <w:trHeight w:val="300"/>
        </w:trPr>
        <w:tc>
          <w:tcPr>
            <w:tcW w:w="1504"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D1DB9" w:rsidRPr="002D1DB9" w:rsidRDefault="002D1DB9" w:rsidP="002D1DB9">
            <w:pPr>
              <w:rPr>
                <w:rFonts w:ascii="Lucida Bright" w:hAnsi="Lucida Bright" w:cs="Calibri"/>
                <w:sz w:val="14"/>
                <w:szCs w:val="14"/>
                <w:lang w:val="es-ES"/>
              </w:rPr>
            </w:pPr>
            <w:r w:rsidRPr="002D1DB9">
              <w:rPr>
                <w:rFonts w:ascii="Lucida Bright" w:hAnsi="Lucida Bright" w:cs="Calibri"/>
                <w:sz w:val="14"/>
                <w:szCs w:val="14"/>
                <w:lang w:val="es-ES"/>
              </w:rPr>
              <w:t xml:space="preserve">  Otros activos financieros</w:t>
            </w:r>
          </w:p>
        </w:tc>
        <w:tc>
          <w:tcPr>
            <w:tcW w:w="358"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1.244.438,00 </w:t>
            </w:r>
          </w:p>
        </w:tc>
        <w:tc>
          <w:tcPr>
            <w:tcW w:w="315"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330"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347"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406"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508"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369"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281"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225"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sz w:val="14"/>
                <w:szCs w:val="14"/>
                <w:lang w:val="es-ES"/>
              </w:rPr>
            </w:pPr>
            <w:r w:rsidRPr="002D1DB9">
              <w:rPr>
                <w:rFonts w:ascii="Lucida Bright" w:hAnsi="Lucida Bright" w:cs="Calibri"/>
                <w:sz w:val="14"/>
                <w:szCs w:val="14"/>
                <w:lang w:val="es-ES"/>
              </w:rPr>
              <w:t xml:space="preserve">- </w:t>
            </w:r>
          </w:p>
        </w:tc>
        <w:tc>
          <w:tcPr>
            <w:tcW w:w="358"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1.244.438,00 </w:t>
            </w:r>
          </w:p>
        </w:tc>
      </w:tr>
      <w:tr w:rsidR="002D1DB9" w:rsidRPr="002D1DB9" w:rsidTr="002D1DB9">
        <w:trPr>
          <w:trHeight w:val="300"/>
        </w:trPr>
        <w:tc>
          <w:tcPr>
            <w:tcW w:w="1504"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xml:space="preserve">a) Activos por derivados financieros a </w:t>
            </w:r>
            <w:proofErr w:type="spellStart"/>
            <w:r w:rsidRPr="002D1DB9">
              <w:rPr>
                <w:rFonts w:ascii="Lucida Bright" w:hAnsi="Lucida Bright" w:cs="Calibri"/>
                <w:i/>
                <w:iCs/>
                <w:sz w:val="14"/>
                <w:szCs w:val="14"/>
                <w:lang w:val="es-ES"/>
              </w:rPr>
              <w:t>l.p</w:t>
            </w:r>
            <w:proofErr w:type="spellEnd"/>
            <w:r w:rsidRPr="002D1DB9">
              <w:rPr>
                <w:rFonts w:ascii="Lucida Bright" w:hAnsi="Lucida Bright" w:cs="Calibri"/>
                <w:i/>
                <w:iCs/>
                <w:sz w:val="14"/>
                <w:szCs w:val="14"/>
                <w:lang w:val="es-ES"/>
              </w:rPr>
              <w:t>.</w:t>
            </w:r>
          </w:p>
        </w:tc>
        <w:tc>
          <w:tcPr>
            <w:tcW w:w="358"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15"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30"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47"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406"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508"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69"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225"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58"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 </w:t>
            </w:r>
          </w:p>
        </w:tc>
      </w:tr>
      <w:tr w:rsidR="002D1DB9" w:rsidRPr="002D1DB9" w:rsidTr="002D1DB9">
        <w:trPr>
          <w:trHeight w:val="300"/>
        </w:trPr>
        <w:tc>
          <w:tcPr>
            <w:tcW w:w="1504"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xml:space="preserve">b) Imposiciones a </w:t>
            </w:r>
            <w:proofErr w:type="spellStart"/>
            <w:r w:rsidRPr="002D1DB9">
              <w:rPr>
                <w:rFonts w:ascii="Lucida Bright" w:hAnsi="Lucida Bright" w:cs="Calibri"/>
                <w:i/>
                <w:iCs/>
                <w:sz w:val="14"/>
                <w:szCs w:val="14"/>
                <w:lang w:val="es-ES"/>
              </w:rPr>
              <w:t>l.p</w:t>
            </w:r>
            <w:proofErr w:type="spellEnd"/>
            <w:r w:rsidRPr="002D1DB9">
              <w:rPr>
                <w:rFonts w:ascii="Lucida Bright" w:hAnsi="Lucida Bright" w:cs="Calibri"/>
                <w:i/>
                <w:iCs/>
                <w:sz w:val="14"/>
                <w:szCs w:val="14"/>
                <w:lang w:val="es-ES"/>
              </w:rPr>
              <w:t>.</w:t>
            </w:r>
          </w:p>
        </w:tc>
        <w:tc>
          <w:tcPr>
            <w:tcW w:w="358"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15"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30"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47"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406"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508"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69"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225" w:type="pct"/>
            <w:tcBorders>
              <w:top w:val="nil"/>
              <w:left w:val="nil"/>
              <w:bottom w:val="single" w:sz="4" w:space="0" w:color="auto"/>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58"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 </w:t>
            </w:r>
          </w:p>
        </w:tc>
      </w:tr>
      <w:tr w:rsidR="002D1DB9" w:rsidRPr="002D1DB9" w:rsidTr="002D1DB9">
        <w:trPr>
          <w:trHeight w:val="300"/>
        </w:trPr>
        <w:tc>
          <w:tcPr>
            <w:tcW w:w="1504"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xml:space="preserve">c) Fianzas y depósitos constituidos a </w:t>
            </w:r>
            <w:proofErr w:type="spellStart"/>
            <w:r w:rsidRPr="002D1DB9">
              <w:rPr>
                <w:rFonts w:ascii="Lucida Bright" w:hAnsi="Lucida Bright" w:cs="Calibri"/>
                <w:i/>
                <w:iCs/>
                <w:sz w:val="14"/>
                <w:szCs w:val="14"/>
                <w:lang w:val="es-ES"/>
              </w:rPr>
              <w:t>l.p</w:t>
            </w:r>
            <w:proofErr w:type="spellEnd"/>
            <w:r w:rsidRPr="002D1DB9">
              <w:rPr>
                <w:rFonts w:ascii="Lucida Bright" w:hAnsi="Lucida Bright" w:cs="Calibri"/>
                <w:i/>
                <w:iCs/>
                <w:sz w:val="14"/>
                <w:szCs w:val="14"/>
                <w:lang w:val="es-ES"/>
              </w:rPr>
              <w:t>.</w:t>
            </w:r>
          </w:p>
        </w:tc>
        <w:tc>
          <w:tcPr>
            <w:tcW w:w="358" w:type="pct"/>
            <w:tcBorders>
              <w:top w:val="nil"/>
              <w:left w:val="nil"/>
              <w:bottom w:val="nil"/>
              <w:right w:val="single" w:sz="4" w:space="0" w:color="auto"/>
            </w:tcBorders>
            <w:shd w:val="clear" w:color="000000" w:fill="FFFFFF"/>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1.244.438,00 </w:t>
            </w:r>
          </w:p>
        </w:tc>
        <w:tc>
          <w:tcPr>
            <w:tcW w:w="315" w:type="pct"/>
            <w:tcBorders>
              <w:top w:val="nil"/>
              <w:left w:val="nil"/>
              <w:bottom w:val="nil"/>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30" w:type="pct"/>
            <w:tcBorders>
              <w:top w:val="nil"/>
              <w:left w:val="nil"/>
              <w:bottom w:val="nil"/>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47" w:type="pct"/>
            <w:tcBorders>
              <w:top w:val="nil"/>
              <w:left w:val="nil"/>
              <w:bottom w:val="nil"/>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406" w:type="pct"/>
            <w:tcBorders>
              <w:top w:val="nil"/>
              <w:left w:val="nil"/>
              <w:bottom w:val="nil"/>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508" w:type="pct"/>
            <w:tcBorders>
              <w:top w:val="nil"/>
              <w:left w:val="nil"/>
              <w:bottom w:val="nil"/>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69" w:type="pct"/>
            <w:tcBorders>
              <w:top w:val="nil"/>
              <w:left w:val="nil"/>
              <w:bottom w:val="nil"/>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281" w:type="pct"/>
            <w:tcBorders>
              <w:top w:val="nil"/>
              <w:left w:val="nil"/>
              <w:bottom w:val="nil"/>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225" w:type="pct"/>
            <w:tcBorders>
              <w:top w:val="nil"/>
              <w:left w:val="nil"/>
              <w:bottom w:val="nil"/>
              <w:right w:val="single" w:sz="4" w:space="0" w:color="auto"/>
            </w:tcBorders>
            <w:shd w:val="clear" w:color="000000" w:fill="FFFFFF"/>
            <w:noWrap/>
            <w:vAlign w:val="center"/>
            <w:hideMark/>
          </w:tcPr>
          <w:p w:rsidR="002D1DB9" w:rsidRPr="002D1DB9" w:rsidRDefault="002D1DB9" w:rsidP="002D1DB9">
            <w:pPr>
              <w:rPr>
                <w:rFonts w:ascii="Lucida Bright" w:hAnsi="Lucida Bright" w:cs="Calibri"/>
                <w:i/>
                <w:iCs/>
                <w:sz w:val="14"/>
                <w:szCs w:val="14"/>
                <w:lang w:val="es-ES"/>
              </w:rPr>
            </w:pPr>
            <w:r w:rsidRPr="002D1DB9">
              <w:rPr>
                <w:rFonts w:ascii="Lucida Bright" w:hAnsi="Lucida Bright" w:cs="Calibri"/>
                <w:i/>
                <w:iCs/>
                <w:sz w:val="14"/>
                <w:szCs w:val="14"/>
                <w:lang w:val="es-ES"/>
              </w:rPr>
              <w:t> </w:t>
            </w:r>
          </w:p>
        </w:tc>
        <w:tc>
          <w:tcPr>
            <w:tcW w:w="358"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i/>
                <w:iCs/>
                <w:sz w:val="14"/>
                <w:szCs w:val="14"/>
                <w:lang w:val="es-ES"/>
              </w:rPr>
            </w:pPr>
            <w:r w:rsidRPr="002D1DB9">
              <w:rPr>
                <w:rFonts w:ascii="Lucida Bright" w:hAnsi="Lucida Bright" w:cs="Calibri"/>
                <w:i/>
                <w:iCs/>
                <w:sz w:val="14"/>
                <w:szCs w:val="14"/>
                <w:lang w:val="es-ES"/>
              </w:rPr>
              <w:t xml:space="preserve">1.244.438,00 </w:t>
            </w:r>
          </w:p>
        </w:tc>
      </w:tr>
      <w:tr w:rsidR="002D1DB9" w:rsidRPr="002D1DB9" w:rsidTr="002D1DB9">
        <w:trPr>
          <w:trHeight w:val="300"/>
        </w:trPr>
        <w:tc>
          <w:tcPr>
            <w:tcW w:w="578" w:type="pct"/>
            <w:tcBorders>
              <w:top w:val="nil"/>
              <w:left w:val="single" w:sz="4" w:space="0" w:color="auto"/>
              <w:bottom w:val="single" w:sz="4" w:space="0" w:color="auto"/>
              <w:right w:val="nil"/>
            </w:tcBorders>
            <w:shd w:val="clear" w:color="000000" w:fill="FFFFFF"/>
            <w:noWrap/>
            <w:vAlign w:val="center"/>
            <w:hideMark/>
          </w:tcPr>
          <w:p w:rsidR="002D1DB9" w:rsidRPr="002D1DB9" w:rsidRDefault="002D1DB9" w:rsidP="002D1DB9">
            <w:pPr>
              <w:jc w:val="center"/>
              <w:rPr>
                <w:rFonts w:ascii="Lucida Bright" w:hAnsi="Lucida Bright" w:cs="Calibri"/>
                <w:b/>
                <w:bCs/>
                <w:sz w:val="14"/>
                <w:szCs w:val="14"/>
                <w:lang w:val="es-ES"/>
              </w:rPr>
            </w:pPr>
            <w:r w:rsidRPr="002D1DB9">
              <w:rPr>
                <w:rFonts w:ascii="Lucida Bright" w:hAnsi="Lucida Bright" w:cs="Calibri"/>
                <w:b/>
                <w:bCs/>
                <w:sz w:val="14"/>
                <w:szCs w:val="14"/>
                <w:lang w:val="es-ES"/>
              </w:rPr>
              <w:t>TOTAL</w:t>
            </w:r>
          </w:p>
        </w:tc>
        <w:tc>
          <w:tcPr>
            <w:tcW w:w="926" w:type="pct"/>
            <w:tcBorders>
              <w:top w:val="nil"/>
              <w:left w:val="nil"/>
              <w:bottom w:val="single" w:sz="4" w:space="0" w:color="auto"/>
              <w:right w:val="single" w:sz="4" w:space="0" w:color="auto"/>
            </w:tcBorders>
            <w:shd w:val="clear" w:color="auto" w:fill="auto"/>
            <w:noWrap/>
            <w:vAlign w:val="center"/>
            <w:hideMark/>
          </w:tcPr>
          <w:p w:rsidR="002D1DB9" w:rsidRPr="002D1DB9" w:rsidRDefault="002D1DB9" w:rsidP="002D1DB9">
            <w:pPr>
              <w:rPr>
                <w:rFonts w:ascii="Lucida Bright" w:hAnsi="Lucida Bright" w:cs="Calibri"/>
                <w:b/>
                <w:bCs/>
                <w:sz w:val="14"/>
                <w:szCs w:val="14"/>
                <w:lang w:val="es-ES"/>
              </w:rPr>
            </w:pPr>
            <w:r w:rsidRPr="002D1DB9">
              <w:rPr>
                <w:rFonts w:ascii="Lucida Bright" w:hAnsi="Lucida Bright" w:cs="Calibri"/>
                <w:b/>
                <w:bCs/>
                <w:sz w:val="14"/>
                <w:szCs w:val="14"/>
                <w:lang w:val="es-ES"/>
              </w:rPr>
              <w:t> </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b/>
                <w:bCs/>
                <w:sz w:val="14"/>
                <w:szCs w:val="14"/>
                <w:lang w:val="es-ES"/>
              </w:rPr>
            </w:pPr>
            <w:r w:rsidRPr="002D1DB9">
              <w:rPr>
                <w:rFonts w:ascii="Lucida Bright" w:hAnsi="Lucida Bright" w:cs="Calibri"/>
                <w:b/>
                <w:bCs/>
                <w:sz w:val="14"/>
                <w:szCs w:val="14"/>
                <w:lang w:val="es-ES"/>
              </w:rPr>
              <w:t xml:space="preserve">1.731.954,42 </w:t>
            </w:r>
          </w:p>
        </w:tc>
        <w:tc>
          <w:tcPr>
            <w:tcW w:w="315" w:type="pct"/>
            <w:tcBorders>
              <w:top w:val="single" w:sz="4" w:space="0" w:color="auto"/>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b/>
                <w:bCs/>
                <w:sz w:val="14"/>
                <w:szCs w:val="14"/>
                <w:lang w:val="es-ES"/>
              </w:rPr>
            </w:pPr>
            <w:r w:rsidRPr="002D1DB9">
              <w:rPr>
                <w:rFonts w:ascii="Lucida Bright" w:hAnsi="Lucida Bright" w:cs="Calibri"/>
                <w:b/>
                <w:bCs/>
                <w:sz w:val="14"/>
                <w:szCs w:val="14"/>
                <w:lang w:val="es-ES"/>
              </w:rPr>
              <w:t xml:space="preserve">351.316,78 </w:t>
            </w:r>
          </w:p>
        </w:tc>
        <w:tc>
          <w:tcPr>
            <w:tcW w:w="330" w:type="pct"/>
            <w:tcBorders>
              <w:top w:val="single" w:sz="4" w:space="0" w:color="auto"/>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b/>
                <w:bCs/>
                <w:sz w:val="14"/>
                <w:szCs w:val="14"/>
                <w:lang w:val="es-ES"/>
              </w:rPr>
            </w:pPr>
            <w:r w:rsidRPr="002D1DB9">
              <w:rPr>
                <w:rFonts w:ascii="Lucida Bright" w:hAnsi="Lucida Bright" w:cs="Calibri"/>
                <w:b/>
                <w:bCs/>
                <w:sz w:val="14"/>
                <w:szCs w:val="14"/>
                <w:lang w:val="es-ES"/>
              </w:rPr>
              <w:t xml:space="preserve">- </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b/>
                <w:bCs/>
                <w:sz w:val="14"/>
                <w:szCs w:val="14"/>
                <w:lang w:val="es-ES"/>
              </w:rPr>
            </w:pPr>
            <w:r w:rsidRPr="002D1DB9">
              <w:rPr>
                <w:rFonts w:ascii="Lucida Bright" w:hAnsi="Lucida Bright" w:cs="Calibri"/>
                <w:b/>
                <w:bCs/>
                <w:sz w:val="14"/>
                <w:szCs w:val="14"/>
                <w:lang w:val="es-ES"/>
              </w:rPr>
              <w:t xml:space="preserve">(237.355,75) </w:t>
            </w:r>
          </w:p>
        </w:tc>
        <w:tc>
          <w:tcPr>
            <w:tcW w:w="406" w:type="pct"/>
            <w:tcBorders>
              <w:top w:val="single" w:sz="4" w:space="0" w:color="auto"/>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b/>
                <w:bCs/>
                <w:sz w:val="14"/>
                <w:szCs w:val="14"/>
                <w:lang w:val="es-ES"/>
              </w:rPr>
            </w:pPr>
            <w:r w:rsidRPr="002D1DB9">
              <w:rPr>
                <w:rFonts w:ascii="Lucida Bright" w:hAnsi="Lucida Bright" w:cs="Calibri"/>
                <w:b/>
                <w:bCs/>
                <w:sz w:val="14"/>
                <w:szCs w:val="14"/>
                <w:lang w:val="es-ES"/>
              </w:rPr>
              <w:t xml:space="preserve">- </w:t>
            </w:r>
          </w:p>
        </w:tc>
        <w:tc>
          <w:tcPr>
            <w:tcW w:w="508" w:type="pct"/>
            <w:tcBorders>
              <w:top w:val="single" w:sz="4" w:space="0" w:color="auto"/>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b/>
                <w:bCs/>
                <w:sz w:val="14"/>
                <w:szCs w:val="14"/>
                <w:lang w:val="es-ES"/>
              </w:rPr>
            </w:pPr>
            <w:r w:rsidRPr="002D1DB9">
              <w:rPr>
                <w:rFonts w:ascii="Lucida Bright" w:hAnsi="Lucida Bright" w:cs="Calibri"/>
                <w:b/>
                <w:bCs/>
                <w:sz w:val="14"/>
                <w:szCs w:val="14"/>
                <w:lang w:val="es-ES"/>
              </w:rPr>
              <w:t xml:space="preserve">- </w:t>
            </w:r>
          </w:p>
        </w:tc>
        <w:tc>
          <w:tcPr>
            <w:tcW w:w="369" w:type="pct"/>
            <w:tcBorders>
              <w:top w:val="single" w:sz="4" w:space="0" w:color="auto"/>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b/>
                <w:bCs/>
                <w:sz w:val="14"/>
                <w:szCs w:val="14"/>
                <w:lang w:val="es-ES"/>
              </w:rPr>
            </w:pPr>
            <w:r w:rsidRPr="002D1DB9">
              <w:rPr>
                <w:rFonts w:ascii="Lucida Bright" w:hAnsi="Lucida Bright" w:cs="Calibri"/>
                <w:b/>
                <w:bCs/>
                <w:sz w:val="14"/>
                <w:szCs w:val="14"/>
                <w:lang w:val="es-ES"/>
              </w:rPr>
              <w:t xml:space="preserve">- </w:t>
            </w:r>
          </w:p>
        </w:tc>
        <w:tc>
          <w:tcPr>
            <w:tcW w:w="281" w:type="pct"/>
            <w:tcBorders>
              <w:top w:val="single" w:sz="4" w:space="0" w:color="auto"/>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b/>
                <w:bCs/>
                <w:sz w:val="14"/>
                <w:szCs w:val="14"/>
                <w:lang w:val="es-ES"/>
              </w:rPr>
            </w:pPr>
            <w:r w:rsidRPr="002D1DB9">
              <w:rPr>
                <w:rFonts w:ascii="Lucida Bright" w:hAnsi="Lucida Bright" w:cs="Calibri"/>
                <w:b/>
                <w:bCs/>
                <w:sz w:val="14"/>
                <w:szCs w:val="14"/>
                <w:lang w:val="es-ES"/>
              </w:rPr>
              <w:t xml:space="preserve">- </w:t>
            </w:r>
          </w:p>
        </w:tc>
        <w:tc>
          <w:tcPr>
            <w:tcW w:w="225" w:type="pct"/>
            <w:tcBorders>
              <w:top w:val="single" w:sz="4" w:space="0" w:color="auto"/>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b/>
                <w:bCs/>
                <w:sz w:val="14"/>
                <w:szCs w:val="14"/>
                <w:lang w:val="es-ES"/>
              </w:rPr>
            </w:pPr>
            <w:r w:rsidRPr="002D1DB9">
              <w:rPr>
                <w:rFonts w:ascii="Lucida Bright" w:hAnsi="Lucida Bright" w:cs="Calibri"/>
                <w:b/>
                <w:bCs/>
                <w:sz w:val="14"/>
                <w:szCs w:val="14"/>
                <w:lang w:val="es-ES"/>
              </w:rPr>
              <w:t xml:space="preserve">- </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2D1DB9" w:rsidRPr="002D1DB9" w:rsidRDefault="002D1DB9" w:rsidP="002D1DB9">
            <w:pPr>
              <w:jc w:val="right"/>
              <w:rPr>
                <w:rFonts w:ascii="Lucida Bright" w:hAnsi="Lucida Bright" w:cs="Calibri"/>
                <w:b/>
                <w:bCs/>
                <w:sz w:val="14"/>
                <w:szCs w:val="14"/>
                <w:lang w:val="es-ES"/>
              </w:rPr>
            </w:pPr>
            <w:r w:rsidRPr="002D1DB9">
              <w:rPr>
                <w:rFonts w:ascii="Lucida Bright" w:hAnsi="Lucida Bright" w:cs="Calibri"/>
                <w:b/>
                <w:bCs/>
                <w:sz w:val="14"/>
                <w:szCs w:val="14"/>
                <w:lang w:val="es-ES"/>
              </w:rPr>
              <w:t xml:space="preserve">1.845.915,45 </w:t>
            </w:r>
          </w:p>
        </w:tc>
      </w:tr>
    </w:tbl>
    <w:p w:rsidR="00077612" w:rsidRDefault="00077612">
      <w:pPr>
        <w:tabs>
          <w:tab w:val="right" w:pos="8364"/>
        </w:tabs>
        <w:ind w:left="142" w:firstLine="425"/>
        <w:jc w:val="both"/>
        <w:rPr>
          <w:rFonts w:ascii="NewBaskerville" w:hAnsi="NewBaskerville"/>
        </w:rPr>
        <w:sectPr w:rsidR="00077612" w:rsidSect="00AF5267">
          <w:pgSz w:w="16840" w:h="11907" w:orient="landscape" w:code="9"/>
          <w:pgMar w:top="1985" w:right="1701" w:bottom="1418" w:left="1701" w:header="567" w:footer="720" w:gutter="0"/>
          <w:cols w:space="720"/>
          <w:docGrid w:linePitch="272"/>
        </w:sectPr>
      </w:pPr>
    </w:p>
    <w:p w:rsidR="00077612" w:rsidRDefault="00077612">
      <w:pPr>
        <w:tabs>
          <w:tab w:val="right" w:pos="8364"/>
        </w:tabs>
        <w:ind w:left="142" w:firstLine="425"/>
        <w:jc w:val="both"/>
        <w:rPr>
          <w:rFonts w:ascii="NewBaskerville" w:hAnsi="NewBaskerville"/>
        </w:rPr>
      </w:pPr>
    </w:p>
    <w:p w:rsidR="00202455" w:rsidRDefault="00202455">
      <w:pPr>
        <w:tabs>
          <w:tab w:val="right" w:pos="8364"/>
        </w:tabs>
        <w:ind w:left="142" w:firstLine="425"/>
        <w:jc w:val="both"/>
        <w:rPr>
          <w:rFonts w:ascii="NewBaskerville" w:hAnsi="NewBaskerville"/>
        </w:rPr>
      </w:pPr>
    </w:p>
    <w:p w:rsidR="00202455" w:rsidRDefault="00202455">
      <w:pPr>
        <w:tabs>
          <w:tab w:val="right" w:pos="8364"/>
        </w:tabs>
        <w:ind w:left="142" w:firstLine="425"/>
        <w:jc w:val="both"/>
        <w:rPr>
          <w:rFonts w:ascii="NewBaskerville" w:hAnsi="NewBaskerville"/>
        </w:rPr>
      </w:pPr>
    </w:p>
    <w:p w:rsidR="00202455" w:rsidRDefault="00202455">
      <w:pPr>
        <w:tabs>
          <w:tab w:val="right" w:pos="8364"/>
        </w:tabs>
        <w:ind w:left="142" w:firstLine="425"/>
        <w:jc w:val="both"/>
        <w:rPr>
          <w:rFonts w:ascii="NewBaskerville" w:hAnsi="NewBaskerville"/>
        </w:rPr>
      </w:pPr>
    </w:p>
    <w:p w:rsidR="00202455" w:rsidRDefault="00202455">
      <w:pPr>
        <w:tabs>
          <w:tab w:val="right" w:pos="8364"/>
        </w:tabs>
        <w:ind w:left="142" w:firstLine="425"/>
        <w:jc w:val="both"/>
        <w:rPr>
          <w:rFonts w:ascii="NewBaskerville" w:hAnsi="NewBaskerville"/>
        </w:rPr>
      </w:pPr>
    </w:p>
    <w:p w:rsidR="00202455" w:rsidRDefault="00202455">
      <w:pPr>
        <w:tabs>
          <w:tab w:val="right" w:pos="8364"/>
        </w:tabs>
        <w:ind w:left="142" w:firstLine="425"/>
        <w:jc w:val="both"/>
        <w:rPr>
          <w:rFonts w:ascii="NewBaskerville" w:hAnsi="NewBaskerville"/>
        </w:rPr>
      </w:pPr>
    </w:p>
    <w:p w:rsidR="00077612" w:rsidRDefault="00077612">
      <w:pPr>
        <w:tabs>
          <w:tab w:val="right" w:pos="8364"/>
        </w:tabs>
        <w:ind w:left="142" w:firstLine="425"/>
        <w:jc w:val="both"/>
        <w:rPr>
          <w:rFonts w:ascii="NewBaskerville" w:hAnsi="NewBaskerville"/>
        </w:rPr>
      </w:pPr>
    </w:p>
    <w:tbl>
      <w:tblPr>
        <w:tblW w:w="5000" w:type="pct"/>
        <w:tblCellMar>
          <w:left w:w="70" w:type="dxa"/>
          <w:right w:w="70" w:type="dxa"/>
        </w:tblCellMar>
        <w:tblLook w:val="04A0" w:firstRow="1" w:lastRow="0" w:firstColumn="1" w:lastColumn="0" w:noHBand="0" w:noVBand="1"/>
      </w:tblPr>
      <w:tblGrid>
        <w:gridCol w:w="3793"/>
        <w:gridCol w:w="1515"/>
        <w:gridCol w:w="763"/>
        <w:gridCol w:w="1426"/>
        <w:gridCol w:w="1032"/>
        <w:gridCol w:w="1084"/>
        <w:gridCol w:w="1035"/>
        <w:gridCol w:w="934"/>
        <w:gridCol w:w="1111"/>
        <w:gridCol w:w="885"/>
      </w:tblGrid>
      <w:tr w:rsidR="00202455" w:rsidRPr="00202455" w:rsidTr="001328BC">
        <w:trPr>
          <w:trHeight w:val="540"/>
        </w:trPr>
        <w:tc>
          <w:tcPr>
            <w:tcW w:w="1397" w:type="pct"/>
            <w:tcBorders>
              <w:top w:val="single" w:sz="4" w:space="0" w:color="auto"/>
              <w:left w:val="single" w:sz="4" w:space="0" w:color="auto"/>
              <w:bottom w:val="nil"/>
              <w:right w:val="nil"/>
            </w:tcBorders>
            <w:shd w:val="clear" w:color="000000" w:fill="CCFFCC"/>
            <w:vAlign w:val="center"/>
            <w:hideMark/>
          </w:tcPr>
          <w:p w:rsidR="00202455" w:rsidRPr="00202455" w:rsidRDefault="00202455" w:rsidP="00202455">
            <w:pPr>
              <w:jc w:val="center"/>
              <w:rPr>
                <w:rFonts w:ascii="Lucida Bright" w:hAnsi="Lucida Bright" w:cs="Calibri"/>
                <w:b/>
                <w:bCs/>
                <w:sz w:val="14"/>
                <w:szCs w:val="14"/>
                <w:lang w:val="es-ES"/>
              </w:rPr>
            </w:pPr>
            <w:r w:rsidRPr="00202455">
              <w:rPr>
                <w:rFonts w:ascii="Lucida Bright" w:hAnsi="Lucida Bright" w:cs="Calibri"/>
                <w:b/>
                <w:bCs/>
                <w:sz w:val="14"/>
                <w:szCs w:val="14"/>
                <w:lang w:val="es-ES"/>
              </w:rPr>
              <w:t>DETERIORO DE VALOR DE INVERSIONES FINANCIERAS A LARGO PLAZO</w:t>
            </w:r>
          </w:p>
        </w:tc>
        <w:tc>
          <w:tcPr>
            <w:tcW w:w="558" w:type="pct"/>
            <w:tcBorders>
              <w:top w:val="single" w:sz="4" w:space="0" w:color="auto"/>
              <w:left w:val="nil"/>
              <w:bottom w:val="nil"/>
              <w:right w:val="nil"/>
            </w:tcBorders>
            <w:shd w:val="clear" w:color="000000" w:fill="CCFFCC"/>
            <w:vAlign w:val="center"/>
            <w:hideMark/>
          </w:tcPr>
          <w:p w:rsidR="00202455" w:rsidRPr="00202455" w:rsidRDefault="00202455" w:rsidP="00202455">
            <w:pPr>
              <w:rPr>
                <w:rFonts w:ascii="Lucida Bright" w:hAnsi="Lucida Bright" w:cs="Calibri"/>
                <w:b/>
                <w:bCs/>
                <w:sz w:val="14"/>
                <w:szCs w:val="14"/>
                <w:lang w:val="es-ES"/>
              </w:rPr>
            </w:pPr>
            <w:r w:rsidRPr="00202455">
              <w:rPr>
                <w:rFonts w:ascii="Lucida Bright" w:hAnsi="Lucida Bright" w:cs="Calibri"/>
                <w:b/>
                <w:bCs/>
                <w:sz w:val="14"/>
                <w:szCs w:val="14"/>
                <w:lang w:val="es-ES"/>
              </w:rPr>
              <w:t> </w:t>
            </w:r>
          </w:p>
        </w:tc>
        <w:tc>
          <w:tcPr>
            <w:tcW w:w="281" w:type="pct"/>
            <w:tcBorders>
              <w:top w:val="single" w:sz="4" w:space="0" w:color="auto"/>
              <w:left w:val="single" w:sz="4" w:space="0" w:color="auto"/>
              <w:bottom w:val="nil"/>
              <w:right w:val="single" w:sz="4" w:space="0" w:color="auto"/>
            </w:tcBorders>
            <w:shd w:val="clear" w:color="000000" w:fill="CCFFCC"/>
            <w:vAlign w:val="center"/>
            <w:hideMark/>
          </w:tcPr>
          <w:p w:rsidR="00202455" w:rsidRPr="00202455" w:rsidRDefault="00202455" w:rsidP="00202455">
            <w:pPr>
              <w:jc w:val="center"/>
              <w:rPr>
                <w:rFonts w:ascii="Lucida Bright" w:hAnsi="Lucida Bright" w:cs="Calibri"/>
                <w:sz w:val="14"/>
                <w:szCs w:val="14"/>
                <w:lang w:val="es-ES"/>
              </w:rPr>
            </w:pPr>
            <w:r w:rsidRPr="00202455">
              <w:rPr>
                <w:rFonts w:ascii="Lucida Bright" w:hAnsi="Lucida Bright" w:cs="Calibri"/>
                <w:sz w:val="14"/>
                <w:szCs w:val="14"/>
                <w:lang w:val="es-ES"/>
              </w:rPr>
              <w:t>Saldo a</w:t>
            </w:r>
            <w:r w:rsidRPr="00202455">
              <w:rPr>
                <w:rFonts w:ascii="Lucida Bright" w:hAnsi="Lucida Bright" w:cs="Calibri"/>
                <w:sz w:val="14"/>
                <w:szCs w:val="14"/>
                <w:lang w:val="es-ES"/>
              </w:rPr>
              <w:br/>
              <w:t>31-12-22</w:t>
            </w:r>
          </w:p>
        </w:tc>
        <w:tc>
          <w:tcPr>
            <w:tcW w:w="525" w:type="pct"/>
            <w:tcBorders>
              <w:top w:val="single" w:sz="4" w:space="0" w:color="auto"/>
              <w:left w:val="nil"/>
              <w:bottom w:val="nil"/>
              <w:right w:val="nil"/>
            </w:tcBorders>
            <w:shd w:val="clear" w:color="000000" w:fill="CCFFCC"/>
            <w:vAlign w:val="center"/>
            <w:hideMark/>
          </w:tcPr>
          <w:p w:rsidR="00202455" w:rsidRPr="00202455" w:rsidRDefault="00202455" w:rsidP="00202455">
            <w:pPr>
              <w:jc w:val="center"/>
              <w:rPr>
                <w:rFonts w:ascii="Lucida Bright" w:hAnsi="Lucida Bright" w:cs="Calibri"/>
                <w:sz w:val="14"/>
                <w:szCs w:val="14"/>
                <w:lang w:val="es-ES"/>
              </w:rPr>
            </w:pPr>
            <w:r w:rsidRPr="00202455">
              <w:rPr>
                <w:rFonts w:ascii="Lucida Bright" w:hAnsi="Lucida Bright" w:cs="Calibri"/>
                <w:sz w:val="14"/>
                <w:szCs w:val="14"/>
                <w:lang w:val="es-ES"/>
              </w:rPr>
              <w:t>Dotaciones/Altas (+)</w:t>
            </w:r>
          </w:p>
        </w:tc>
        <w:tc>
          <w:tcPr>
            <w:tcW w:w="380" w:type="pct"/>
            <w:tcBorders>
              <w:top w:val="single" w:sz="4" w:space="0" w:color="auto"/>
              <w:left w:val="single" w:sz="4" w:space="0" w:color="auto"/>
              <w:bottom w:val="nil"/>
              <w:right w:val="single" w:sz="4" w:space="0" w:color="auto"/>
            </w:tcBorders>
            <w:shd w:val="clear" w:color="000000" w:fill="CCFFCC"/>
            <w:vAlign w:val="center"/>
            <w:hideMark/>
          </w:tcPr>
          <w:p w:rsidR="00202455" w:rsidRPr="00202455" w:rsidRDefault="00202455" w:rsidP="00202455">
            <w:pPr>
              <w:jc w:val="center"/>
              <w:rPr>
                <w:rFonts w:ascii="Lucida Bright" w:hAnsi="Lucida Bright" w:cs="Calibri"/>
                <w:sz w:val="14"/>
                <w:szCs w:val="14"/>
                <w:lang w:val="es-ES"/>
              </w:rPr>
            </w:pPr>
            <w:r w:rsidRPr="00202455">
              <w:rPr>
                <w:rFonts w:ascii="Lucida Bright" w:hAnsi="Lucida Bright" w:cs="Calibri"/>
                <w:sz w:val="14"/>
                <w:szCs w:val="14"/>
                <w:lang w:val="es-ES"/>
              </w:rPr>
              <w:t>Reversiones deterioros (-)</w:t>
            </w:r>
          </w:p>
        </w:tc>
        <w:tc>
          <w:tcPr>
            <w:tcW w:w="399" w:type="pct"/>
            <w:tcBorders>
              <w:top w:val="single" w:sz="4" w:space="0" w:color="auto"/>
              <w:left w:val="nil"/>
              <w:bottom w:val="nil"/>
              <w:right w:val="single" w:sz="4" w:space="0" w:color="auto"/>
            </w:tcBorders>
            <w:shd w:val="clear" w:color="000000" w:fill="CCFFCC"/>
            <w:vAlign w:val="center"/>
            <w:hideMark/>
          </w:tcPr>
          <w:p w:rsidR="00202455" w:rsidRPr="00202455" w:rsidRDefault="00202455" w:rsidP="00202455">
            <w:pPr>
              <w:jc w:val="center"/>
              <w:rPr>
                <w:rFonts w:ascii="Lucida Bright" w:hAnsi="Lucida Bright" w:cs="Calibri"/>
                <w:sz w:val="14"/>
                <w:szCs w:val="14"/>
                <w:lang w:val="es-ES"/>
              </w:rPr>
            </w:pPr>
            <w:r w:rsidRPr="00202455">
              <w:rPr>
                <w:rFonts w:ascii="Lucida Bright" w:hAnsi="Lucida Bright" w:cs="Calibri"/>
                <w:sz w:val="14"/>
                <w:szCs w:val="14"/>
                <w:lang w:val="es-ES"/>
              </w:rPr>
              <w:t>Aplicaciones (-)</w:t>
            </w:r>
          </w:p>
        </w:tc>
        <w:tc>
          <w:tcPr>
            <w:tcW w:w="381" w:type="pct"/>
            <w:tcBorders>
              <w:top w:val="single" w:sz="4" w:space="0" w:color="auto"/>
              <w:left w:val="nil"/>
              <w:bottom w:val="nil"/>
              <w:right w:val="single" w:sz="4" w:space="0" w:color="auto"/>
            </w:tcBorders>
            <w:shd w:val="clear" w:color="000000" w:fill="CCFFCC"/>
            <w:vAlign w:val="center"/>
            <w:hideMark/>
          </w:tcPr>
          <w:p w:rsidR="00202455" w:rsidRPr="00202455" w:rsidRDefault="00202455" w:rsidP="00202455">
            <w:pPr>
              <w:jc w:val="center"/>
              <w:rPr>
                <w:rFonts w:ascii="Lucida Bright" w:hAnsi="Lucida Bright" w:cs="Calibri"/>
                <w:sz w:val="14"/>
                <w:szCs w:val="14"/>
                <w:lang w:val="es-ES"/>
              </w:rPr>
            </w:pPr>
            <w:r w:rsidRPr="00202455">
              <w:rPr>
                <w:rFonts w:ascii="Lucida Bright" w:hAnsi="Lucida Bright" w:cs="Calibri"/>
                <w:sz w:val="14"/>
                <w:szCs w:val="14"/>
                <w:lang w:val="es-ES"/>
              </w:rPr>
              <w:t>Cancelación anticipada (-)</w:t>
            </w:r>
          </w:p>
        </w:tc>
        <w:tc>
          <w:tcPr>
            <w:tcW w:w="344" w:type="pct"/>
            <w:tcBorders>
              <w:top w:val="single" w:sz="4" w:space="0" w:color="auto"/>
              <w:left w:val="nil"/>
              <w:bottom w:val="nil"/>
              <w:right w:val="nil"/>
            </w:tcBorders>
            <w:shd w:val="clear" w:color="000000" w:fill="CCFFCC"/>
            <w:vAlign w:val="center"/>
            <w:hideMark/>
          </w:tcPr>
          <w:p w:rsidR="00202455" w:rsidRPr="00202455" w:rsidRDefault="00202455" w:rsidP="00202455">
            <w:pPr>
              <w:jc w:val="center"/>
              <w:rPr>
                <w:rFonts w:ascii="Lucida Bright" w:hAnsi="Lucida Bright" w:cs="Calibri"/>
                <w:sz w:val="14"/>
                <w:szCs w:val="14"/>
                <w:lang w:val="es-ES"/>
              </w:rPr>
            </w:pPr>
            <w:r w:rsidRPr="00202455">
              <w:rPr>
                <w:rFonts w:ascii="Lucida Bright" w:hAnsi="Lucida Bright" w:cs="Calibri"/>
                <w:sz w:val="14"/>
                <w:szCs w:val="14"/>
                <w:lang w:val="es-ES"/>
              </w:rPr>
              <w:t>Traspasos a corto plazo (-)</w:t>
            </w:r>
          </w:p>
        </w:tc>
        <w:tc>
          <w:tcPr>
            <w:tcW w:w="409" w:type="pct"/>
            <w:tcBorders>
              <w:top w:val="single" w:sz="4" w:space="0" w:color="auto"/>
              <w:left w:val="single" w:sz="4" w:space="0" w:color="auto"/>
              <w:bottom w:val="nil"/>
              <w:right w:val="single" w:sz="4" w:space="0" w:color="auto"/>
            </w:tcBorders>
            <w:shd w:val="clear" w:color="000000" w:fill="CCFFCC"/>
            <w:vAlign w:val="center"/>
            <w:hideMark/>
          </w:tcPr>
          <w:p w:rsidR="00202455" w:rsidRPr="00202455" w:rsidRDefault="00202455" w:rsidP="00202455">
            <w:pPr>
              <w:jc w:val="center"/>
              <w:rPr>
                <w:rFonts w:ascii="Lucida Bright" w:hAnsi="Lucida Bright" w:cs="Calibri"/>
                <w:sz w:val="14"/>
                <w:szCs w:val="14"/>
                <w:lang w:val="es-ES"/>
              </w:rPr>
            </w:pPr>
            <w:r w:rsidRPr="00202455">
              <w:rPr>
                <w:rFonts w:ascii="Lucida Bright" w:hAnsi="Lucida Bright" w:cs="Calibri"/>
                <w:sz w:val="14"/>
                <w:szCs w:val="14"/>
                <w:lang w:val="es-ES"/>
              </w:rPr>
              <w:t>Otros movimientos (+/-)</w:t>
            </w:r>
          </w:p>
        </w:tc>
        <w:tc>
          <w:tcPr>
            <w:tcW w:w="326" w:type="pct"/>
            <w:tcBorders>
              <w:top w:val="single" w:sz="4" w:space="0" w:color="auto"/>
              <w:left w:val="nil"/>
              <w:bottom w:val="nil"/>
              <w:right w:val="single" w:sz="4" w:space="0" w:color="auto"/>
            </w:tcBorders>
            <w:shd w:val="clear" w:color="000000" w:fill="CCFFCC"/>
            <w:vAlign w:val="center"/>
            <w:hideMark/>
          </w:tcPr>
          <w:p w:rsidR="00202455" w:rsidRPr="00202455" w:rsidRDefault="00202455" w:rsidP="00202455">
            <w:pPr>
              <w:jc w:val="center"/>
              <w:rPr>
                <w:rFonts w:ascii="Lucida Bright" w:hAnsi="Lucida Bright" w:cs="Calibri"/>
                <w:sz w:val="14"/>
                <w:szCs w:val="14"/>
                <w:lang w:val="es-ES"/>
              </w:rPr>
            </w:pPr>
            <w:r w:rsidRPr="00202455">
              <w:rPr>
                <w:rFonts w:ascii="Lucida Bright" w:hAnsi="Lucida Bright" w:cs="Calibri"/>
                <w:sz w:val="14"/>
                <w:szCs w:val="14"/>
                <w:lang w:val="es-ES"/>
              </w:rPr>
              <w:t>Saldo a</w:t>
            </w:r>
            <w:r w:rsidRPr="00202455">
              <w:rPr>
                <w:rFonts w:ascii="Lucida Bright" w:hAnsi="Lucida Bright" w:cs="Calibri"/>
                <w:sz w:val="14"/>
                <w:szCs w:val="14"/>
                <w:lang w:val="es-ES"/>
              </w:rPr>
              <w:br/>
              <w:t>31-12-23</w:t>
            </w:r>
          </w:p>
        </w:tc>
      </w:tr>
      <w:tr w:rsidR="00202455" w:rsidRPr="00202455" w:rsidTr="001328BC">
        <w:trPr>
          <w:trHeight w:val="300"/>
        </w:trPr>
        <w:tc>
          <w:tcPr>
            <w:tcW w:w="195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02455" w:rsidRPr="00202455" w:rsidRDefault="00202455" w:rsidP="00202455">
            <w:pPr>
              <w:rPr>
                <w:rFonts w:ascii="Lucida Bright" w:hAnsi="Lucida Bright" w:cs="Calibri"/>
                <w:sz w:val="14"/>
                <w:szCs w:val="14"/>
                <w:lang w:val="es-ES"/>
              </w:rPr>
            </w:pPr>
            <w:r w:rsidRPr="00202455">
              <w:rPr>
                <w:rFonts w:ascii="Lucida Bright" w:hAnsi="Lucida Bright" w:cs="Calibri"/>
                <w:sz w:val="14"/>
                <w:szCs w:val="14"/>
                <w:lang w:val="es-ES"/>
              </w:rPr>
              <w:t xml:space="preserve">  Instrumentos de patrimonio</w:t>
            </w:r>
          </w:p>
        </w:tc>
        <w:tc>
          <w:tcPr>
            <w:tcW w:w="281" w:type="pct"/>
            <w:tcBorders>
              <w:top w:val="single" w:sz="4" w:space="0" w:color="auto"/>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sz w:val="14"/>
                <w:szCs w:val="14"/>
                <w:lang w:val="es-ES"/>
              </w:rPr>
            </w:pPr>
            <w:r w:rsidRPr="00202455">
              <w:rPr>
                <w:rFonts w:ascii="Lucida Bright" w:hAnsi="Lucida Bright" w:cs="Calibri"/>
                <w:sz w:val="14"/>
                <w:szCs w:val="14"/>
                <w:lang w:val="es-ES"/>
              </w:rPr>
              <w:t> </w:t>
            </w:r>
          </w:p>
        </w:tc>
        <w:tc>
          <w:tcPr>
            <w:tcW w:w="525" w:type="pct"/>
            <w:tcBorders>
              <w:top w:val="single" w:sz="4" w:space="0" w:color="auto"/>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sz w:val="14"/>
                <w:szCs w:val="14"/>
                <w:lang w:val="es-ES"/>
              </w:rPr>
            </w:pPr>
            <w:r w:rsidRPr="00202455">
              <w:rPr>
                <w:rFonts w:ascii="Lucida Bright" w:hAnsi="Lucida Bright" w:cs="Calibri"/>
                <w:sz w:val="14"/>
                <w:szCs w:val="14"/>
                <w:lang w:val="es-ES"/>
              </w:rPr>
              <w:t> </w:t>
            </w:r>
          </w:p>
        </w:tc>
        <w:tc>
          <w:tcPr>
            <w:tcW w:w="380" w:type="pct"/>
            <w:tcBorders>
              <w:top w:val="single" w:sz="4" w:space="0" w:color="auto"/>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sz w:val="14"/>
                <w:szCs w:val="14"/>
                <w:lang w:val="es-ES"/>
              </w:rPr>
            </w:pPr>
            <w:r w:rsidRPr="00202455">
              <w:rPr>
                <w:rFonts w:ascii="Lucida Bright" w:hAnsi="Lucida Bright" w:cs="Calibri"/>
                <w:sz w:val="14"/>
                <w:szCs w:val="14"/>
                <w:lang w:val="es-ES"/>
              </w:rPr>
              <w:t> </w:t>
            </w:r>
          </w:p>
        </w:tc>
        <w:tc>
          <w:tcPr>
            <w:tcW w:w="399" w:type="pct"/>
            <w:tcBorders>
              <w:top w:val="single" w:sz="4" w:space="0" w:color="auto"/>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sz w:val="14"/>
                <w:szCs w:val="14"/>
                <w:lang w:val="es-ES"/>
              </w:rPr>
            </w:pPr>
            <w:r w:rsidRPr="00202455">
              <w:rPr>
                <w:rFonts w:ascii="Lucida Bright" w:hAnsi="Lucida Bright" w:cs="Calibri"/>
                <w:sz w:val="14"/>
                <w:szCs w:val="14"/>
                <w:lang w:val="es-ES"/>
              </w:rPr>
              <w:t> </w:t>
            </w:r>
          </w:p>
        </w:tc>
        <w:tc>
          <w:tcPr>
            <w:tcW w:w="381" w:type="pct"/>
            <w:tcBorders>
              <w:top w:val="single" w:sz="4" w:space="0" w:color="auto"/>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sz w:val="14"/>
                <w:szCs w:val="14"/>
                <w:lang w:val="es-ES"/>
              </w:rPr>
            </w:pPr>
            <w:r w:rsidRPr="00202455">
              <w:rPr>
                <w:rFonts w:ascii="Lucida Bright" w:hAnsi="Lucida Bright" w:cs="Calibri"/>
                <w:sz w:val="14"/>
                <w:szCs w:val="14"/>
                <w:lang w:val="es-ES"/>
              </w:rPr>
              <w:t> </w:t>
            </w:r>
          </w:p>
        </w:tc>
        <w:tc>
          <w:tcPr>
            <w:tcW w:w="344" w:type="pct"/>
            <w:tcBorders>
              <w:top w:val="single" w:sz="4" w:space="0" w:color="auto"/>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sz w:val="14"/>
                <w:szCs w:val="14"/>
                <w:lang w:val="es-ES"/>
              </w:rPr>
            </w:pPr>
            <w:r w:rsidRPr="00202455">
              <w:rPr>
                <w:rFonts w:ascii="Lucida Bright" w:hAnsi="Lucida Bright" w:cs="Calibri"/>
                <w:sz w:val="14"/>
                <w:szCs w:val="14"/>
                <w:lang w:val="es-ES"/>
              </w:rPr>
              <w:t> </w:t>
            </w:r>
          </w:p>
        </w:tc>
        <w:tc>
          <w:tcPr>
            <w:tcW w:w="409" w:type="pct"/>
            <w:tcBorders>
              <w:top w:val="single" w:sz="4" w:space="0" w:color="auto"/>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sz w:val="14"/>
                <w:szCs w:val="14"/>
                <w:lang w:val="es-ES"/>
              </w:rPr>
            </w:pPr>
            <w:r w:rsidRPr="00202455">
              <w:rPr>
                <w:rFonts w:ascii="Lucida Bright" w:hAnsi="Lucida Bright" w:cs="Calibri"/>
                <w:sz w:val="14"/>
                <w:szCs w:val="14"/>
                <w:lang w:val="es-ES"/>
              </w:rPr>
              <w:t> </w:t>
            </w:r>
          </w:p>
        </w:tc>
        <w:tc>
          <w:tcPr>
            <w:tcW w:w="326" w:type="pct"/>
            <w:tcBorders>
              <w:top w:val="single" w:sz="4" w:space="0" w:color="auto"/>
              <w:left w:val="nil"/>
              <w:bottom w:val="single" w:sz="4" w:space="0" w:color="auto"/>
              <w:right w:val="single" w:sz="4" w:space="0" w:color="auto"/>
            </w:tcBorders>
            <w:shd w:val="clear" w:color="000000" w:fill="FFFFFF"/>
            <w:noWrap/>
            <w:vAlign w:val="center"/>
            <w:hideMark/>
          </w:tcPr>
          <w:p w:rsidR="00202455" w:rsidRPr="00202455" w:rsidRDefault="00202455" w:rsidP="00202455">
            <w:pPr>
              <w:jc w:val="right"/>
              <w:rPr>
                <w:rFonts w:ascii="Lucida Bright" w:hAnsi="Lucida Bright" w:cs="Calibri"/>
                <w:sz w:val="14"/>
                <w:szCs w:val="14"/>
                <w:lang w:val="es-ES"/>
              </w:rPr>
            </w:pPr>
            <w:r w:rsidRPr="00202455">
              <w:rPr>
                <w:rFonts w:ascii="Lucida Bright" w:hAnsi="Lucida Bright" w:cs="Calibri"/>
                <w:sz w:val="14"/>
                <w:szCs w:val="14"/>
                <w:lang w:val="es-ES"/>
              </w:rPr>
              <w:t xml:space="preserve">- </w:t>
            </w:r>
          </w:p>
        </w:tc>
      </w:tr>
      <w:tr w:rsidR="00202455" w:rsidRPr="00202455" w:rsidTr="001328BC">
        <w:trPr>
          <w:trHeight w:val="300"/>
        </w:trPr>
        <w:tc>
          <w:tcPr>
            <w:tcW w:w="1397" w:type="pct"/>
            <w:tcBorders>
              <w:top w:val="nil"/>
              <w:left w:val="single" w:sz="4" w:space="0" w:color="auto"/>
              <w:bottom w:val="single" w:sz="4" w:space="0" w:color="auto"/>
              <w:right w:val="nil"/>
            </w:tcBorders>
            <w:shd w:val="clear" w:color="000000" w:fill="FFFFFF"/>
            <w:noWrap/>
            <w:vAlign w:val="center"/>
            <w:hideMark/>
          </w:tcPr>
          <w:p w:rsidR="00202455" w:rsidRPr="00202455" w:rsidRDefault="00202455" w:rsidP="00202455">
            <w:pPr>
              <w:ind w:firstLineChars="100" w:firstLine="140"/>
              <w:rPr>
                <w:rFonts w:ascii="Lucida Bright" w:hAnsi="Lucida Bright" w:cs="Calibri"/>
                <w:i/>
                <w:iCs/>
                <w:sz w:val="14"/>
                <w:szCs w:val="14"/>
                <w:lang w:val="es-ES"/>
              </w:rPr>
            </w:pPr>
            <w:r w:rsidRPr="00202455">
              <w:rPr>
                <w:rFonts w:ascii="Lucida Bright" w:hAnsi="Lucida Bright" w:cs="Calibri"/>
                <w:i/>
                <w:iCs/>
                <w:sz w:val="14"/>
                <w:szCs w:val="14"/>
                <w:lang w:val="es-ES"/>
              </w:rPr>
              <w:t xml:space="preserve">a) Participaciones a </w:t>
            </w:r>
            <w:proofErr w:type="spellStart"/>
            <w:r w:rsidRPr="00202455">
              <w:rPr>
                <w:rFonts w:ascii="Lucida Bright" w:hAnsi="Lucida Bright" w:cs="Calibri"/>
                <w:i/>
                <w:iCs/>
                <w:sz w:val="14"/>
                <w:szCs w:val="14"/>
                <w:lang w:val="es-ES"/>
              </w:rPr>
              <w:t>l.p</w:t>
            </w:r>
            <w:proofErr w:type="spellEnd"/>
            <w:r w:rsidRPr="00202455">
              <w:rPr>
                <w:rFonts w:ascii="Lucida Bright" w:hAnsi="Lucida Bright" w:cs="Calibri"/>
                <w:i/>
                <w:iCs/>
                <w:sz w:val="14"/>
                <w:szCs w:val="14"/>
                <w:lang w:val="es-ES"/>
              </w:rPr>
              <w:t>. en otras partes vinculadas</w:t>
            </w:r>
          </w:p>
        </w:tc>
        <w:tc>
          <w:tcPr>
            <w:tcW w:w="558" w:type="pct"/>
            <w:tcBorders>
              <w:top w:val="nil"/>
              <w:left w:val="nil"/>
              <w:bottom w:val="single" w:sz="4" w:space="0" w:color="auto"/>
              <w:right w:val="single" w:sz="4" w:space="0" w:color="auto"/>
            </w:tcBorders>
            <w:shd w:val="clear" w:color="000000" w:fill="FFFFFF"/>
            <w:noWrap/>
            <w:vAlign w:val="bottom"/>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525"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80"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99"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81"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44"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409"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26"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jc w:val="right"/>
              <w:rPr>
                <w:rFonts w:ascii="Lucida Bright" w:hAnsi="Lucida Bright" w:cs="Calibri"/>
                <w:i/>
                <w:iCs/>
                <w:sz w:val="14"/>
                <w:szCs w:val="14"/>
                <w:lang w:val="es-ES"/>
              </w:rPr>
            </w:pPr>
            <w:r w:rsidRPr="00202455">
              <w:rPr>
                <w:rFonts w:ascii="Lucida Bright" w:hAnsi="Lucida Bright" w:cs="Calibri"/>
                <w:i/>
                <w:iCs/>
                <w:sz w:val="14"/>
                <w:szCs w:val="14"/>
                <w:lang w:val="es-ES"/>
              </w:rPr>
              <w:t xml:space="preserve">- </w:t>
            </w:r>
          </w:p>
        </w:tc>
      </w:tr>
      <w:tr w:rsidR="00202455" w:rsidRPr="00202455" w:rsidTr="001328BC">
        <w:trPr>
          <w:trHeight w:val="300"/>
        </w:trPr>
        <w:tc>
          <w:tcPr>
            <w:tcW w:w="195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02455" w:rsidRPr="00202455" w:rsidRDefault="00202455" w:rsidP="00202455">
            <w:pPr>
              <w:ind w:firstLineChars="100" w:firstLine="140"/>
              <w:rPr>
                <w:rFonts w:ascii="Lucida Bright" w:hAnsi="Lucida Bright" w:cs="Calibri"/>
                <w:i/>
                <w:iCs/>
                <w:sz w:val="14"/>
                <w:szCs w:val="14"/>
                <w:lang w:val="es-ES"/>
              </w:rPr>
            </w:pPr>
            <w:r w:rsidRPr="00202455">
              <w:rPr>
                <w:rFonts w:ascii="Lucida Bright" w:hAnsi="Lucida Bright" w:cs="Calibri"/>
                <w:i/>
                <w:iCs/>
                <w:sz w:val="14"/>
                <w:szCs w:val="14"/>
                <w:lang w:val="es-ES"/>
              </w:rPr>
              <w:t xml:space="preserve">b) Participaciones a </w:t>
            </w:r>
            <w:proofErr w:type="spellStart"/>
            <w:r w:rsidRPr="00202455">
              <w:rPr>
                <w:rFonts w:ascii="Lucida Bright" w:hAnsi="Lucida Bright" w:cs="Calibri"/>
                <w:i/>
                <w:iCs/>
                <w:sz w:val="14"/>
                <w:szCs w:val="14"/>
                <w:lang w:val="es-ES"/>
              </w:rPr>
              <w:t>l.p</w:t>
            </w:r>
            <w:proofErr w:type="spellEnd"/>
            <w:r w:rsidRPr="00202455">
              <w:rPr>
                <w:rFonts w:ascii="Lucida Bright" w:hAnsi="Lucida Bright" w:cs="Calibri"/>
                <w:i/>
                <w:iCs/>
                <w:sz w:val="14"/>
                <w:szCs w:val="14"/>
                <w:lang w:val="es-ES"/>
              </w:rPr>
              <w:t>. en otras empresas</w:t>
            </w:r>
          </w:p>
        </w:tc>
        <w:tc>
          <w:tcPr>
            <w:tcW w:w="281"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525"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80"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99"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81"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44"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409"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26"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jc w:val="right"/>
              <w:rPr>
                <w:rFonts w:ascii="Lucida Bright" w:hAnsi="Lucida Bright" w:cs="Calibri"/>
                <w:i/>
                <w:iCs/>
                <w:sz w:val="14"/>
                <w:szCs w:val="14"/>
                <w:lang w:val="es-ES"/>
              </w:rPr>
            </w:pPr>
            <w:r w:rsidRPr="00202455">
              <w:rPr>
                <w:rFonts w:ascii="Lucida Bright" w:hAnsi="Lucida Bright" w:cs="Calibri"/>
                <w:i/>
                <w:iCs/>
                <w:sz w:val="14"/>
                <w:szCs w:val="14"/>
                <w:lang w:val="es-ES"/>
              </w:rPr>
              <w:t xml:space="preserve">- </w:t>
            </w:r>
          </w:p>
        </w:tc>
      </w:tr>
      <w:tr w:rsidR="00202455" w:rsidRPr="00202455" w:rsidTr="001328BC">
        <w:trPr>
          <w:trHeight w:val="300"/>
        </w:trPr>
        <w:tc>
          <w:tcPr>
            <w:tcW w:w="195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02455" w:rsidRPr="00202455" w:rsidRDefault="00202455" w:rsidP="00202455">
            <w:pPr>
              <w:rPr>
                <w:rFonts w:ascii="Lucida Bright" w:hAnsi="Lucida Bright" w:cs="Calibri"/>
                <w:sz w:val="14"/>
                <w:szCs w:val="14"/>
                <w:lang w:val="es-ES"/>
              </w:rPr>
            </w:pPr>
            <w:r w:rsidRPr="00202455">
              <w:rPr>
                <w:rFonts w:ascii="Lucida Bright" w:hAnsi="Lucida Bright" w:cs="Calibri"/>
                <w:sz w:val="14"/>
                <w:szCs w:val="14"/>
                <w:lang w:val="es-ES"/>
              </w:rPr>
              <w:t xml:space="preserve">  Créditos a terceros</w:t>
            </w:r>
          </w:p>
        </w:tc>
        <w:tc>
          <w:tcPr>
            <w:tcW w:w="281"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sz w:val="14"/>
                <w:szCs w:val="14"/>
                <w:lang w:val="es-ES"/>
              </w:rPr>
            </w:pPr>
            <w:r w:rsidRPr="00202455">
              <w:rPr>
                <w:rFonts w:ascii="Lucida Bright" w:hAnsi="Lucida Bright" w:cs="Calibri"/>
                <w:sz w:val="14"/>
                <w:szCs w:val="14"/>
                <w:lang w:val="es-ES"/>
              </w:rPr>
              <w:t> </w:t>
            </w:r>
          </w:p>
        </w:tc>
        <w:tc>
          <w:tcPr>
            <w:tcW w:w="525" w:type="pct"/>
            <w:tcBorders>
              <w:top w:val="nil"/>
              <w:left w:val="nil"/>
              <w:bottom w:val="single" w:sz="4" w:space="0" w:color="auto"/>
              <w:right w:val="single" w:sz="4" w:space="0" w:color="auto"/>
            </w:tcBorders>
            <w:shd w:val="clear" w:color="auto" w:fill="auto"/>
            <w:noWrap/>
            <w:vAlign w:val="center"/>
            <w:hideMark/>
          </w:tcPr>
          <w:p w:rsidR="00202455" w:rsidRPr="00202455" w:rsidRDefault="00202455" w:rsidP="00202455">
            <w:pPr>
              <w:jc w:val="right"/>
              <w:rPr>
                <w:rFonts w:ascii="Lucida Bright" w:hAnsi="Lucida Bright" w:cs="Calibri"/>
                <w:sz w:val="14"/>
                <w:szCs w:val="14"/>
                <w:lang w:val="es-ES"/>
              </w:rPr>
            </w:pPr>
            <w:r w:rsidRPr="00202455">
              <w:rPr>
                <w:rFonts w:ascii="Lucida Bright" w:hAnsi="Lucida Bright" w:cs="Calibri"/>
                <w:sz w:val="14"/>
                <w:szCs w:val="14"/>
                <w:lang w:val="es-ES"/>
              </w:rPr>
              <w:t xml:space="preserve">9.713,29 </w:t>
            </w:r>
          </w:p>
        </w:tc>
        <w:tc>
          <w:tcPr>
            <w:tcW w:w="380" w:type="pct"/>
            <w:tcBorders>
              <w:top w:val="nil"/>
              <w:left w:val="nil"/>
              <w:bottom w:val="single" w:sz="4" w:space="0" w:color="auto"/>
              <w:right w:val="single" w:sz="4" w:space="0" w:color="auto"/>
            </w:tcBorders>
            <w:shd w:val="clear" w:color="auto" w:fill="auto"/>
            <w:noWrap/>
            <w:vAlign w:val="center"/>
            <w:hideMark/>
          </w:tcPr>
          <w:p w:rsidR="00202455" w:rsidRPr="00202455" w:rsidRDefault="00202455" w:rsidP="00202455">
            <w:pPr>
              <w:rPr>
                <w:rFonts w:ascii="Lucida Bright" w:hAnsi="Lucida Bright" w:cs="Calibri"/>
                <w:sz w:val="14"/>
                <w:szCs w:val="14"/>
                <w:lang w:val="es-ES"/>
              </w:rPr>
            </w:pPr>
            <w:r w:rsidRPr="00202455">
              <w:rPr>
                <w:rFonts w:ascii="Lucida Bright" w:hAnsi="Lucida Bright" w:cs="Calibri"/>
                <w:sz w:val="14"/>
                <w:szCs w:val="14"/>
                <w:lang w:val="es-ES"/>
              </w:rPr>
              <w:t> </w:t>
            </w:r>
          </w:p>
        </w:tc>
        <w:tc>
          <w:tcPr>
            <w:tcW w:w="399"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sz w:val="14"/>
                <w:szCs w:val="14"/>
                <w:lang w:val="es-ES"/>
              </w:rPr>
            </w:pPr>
            <w:r w:rsidRPr="00202455">
              <w:rPr>
                <w:rFonts w:ascii="Lucida Bright" w:hAnsi="Lucida Bright" w:cs="Calibri"/>
                <w:sz w:val="14"/>
                <w:szCs w:val="14"/>
                <w:lang w:val="es-ES"/>
              </w:rPr>
              <w:t> </w:t>
            </w:r>
          </w:p>
        </w:tc>
        <w:tc>
          <w:tcPr>
            <w:tcW w:w="381"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sz w:val="14"/>
                <w:szCs w:val="14"/>
                <w:lang w:val="es-ES"/>
              </w:rPr>
            </w:pPr>
            <w:r w:rsidRPr="00202455">
              <w:rPr>
                <w:rFonts w:ascii="Lucida Bright" w:hAnsi="Lucida Bright" w:cs="Calibri"/>
                <w:sz w:val="14"/>
                <w:szCs w:val="14"/>
                <w:lang w:val="es-ES"/>
              </w:rPr>
              <w:t> </w:t>
            </w:r>
          </w:p>
        </w:tc>
        <w:tc>
          <w:tcPr>
            <w:tcW w:w="344"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sz w:val="14"/>
                <w:szCs w:val="14"/>
                <w:lang w:val="es-ES"/>
              </w:rPr>
            </w:pPr>
            <w:r w:rsidRPr="00202455">
              <w:rPr>
                <w:rFonts w:ascii="Lucida Bright" w:hAnsi="Lucida Bright" w:cs="Calibri"/>
                <w:sz w:val="14"/>
                <w:szCs w:val="14"/>
                <w:lang w:val="es-ES"/>
              </w:rPr>
              <w:t> </w:t>
            </w:r>
          </w:p>
        </w:tc>
        <w:tc>
          <w:tcPr>
            <w:tcW w:w="409"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sz w:val="14"/>
                <w:szCs w:val="14"/>
                <w:lang w:val="es-ES"/>
              </w:rPr>
            </w:pPr>
            <w:r w:rsidRPr="00202455">
              <w:rPr>
                <w:rFonts w:ascii="Lucida Bright" w:hAnsi="Lucida Bright" w:cs="Calibri"/>
                <w:sz w:val="14"/>
                <w:szCs w:val="14"/>
                <w:lang w:val="es-ES"/>
              </w:rPr>
              <w:t> </w:t>
            </w:r>
          </w:p>
        </w:tc>
        <w:tc>
          <w:tcPr>
            <w:tcW w:w="326" w:type="pct"/>
            <w:tcBorders>
              <w:top w:val="nil"/>
              <w:left w:val="nil"/>
              <w:bottom w:val="single" w:sz="4" w:space="0" w:color="auto"/>
              <w:right w:val="single" w:sz="4" w:space="0" w:color="auto"/>
            </w:tcBorders>
            <w:shd w:val="clear" w:color="auto" w:fill="auto"/>
            <w:noWrap/>
            <w:vAlign w:val="center"/>
            <w:hideMark/>
          </w:tcPr>
          <w:p w:rsidR="00202455" w:rsidRPr="00202455" w:rsidRDefault="00202455" w:rsidP="00202455">
            <w:pPr>
              <w:jc w:val="right"/>
              <w:rPr>
                <w:rFonts w:ascii="Lucida Bright" w:hAnsi="Lucida Bright" w:cs="Calibri"/>
                <w:sz w:val="14"/>
                <w:szCs w:val="14"/>
                <w:lang w:val="es-ES"/>
              </w:rPr>
            </w:pPr>
            <w:r w:rsidRPr="00202455">
              <w:rPr>
                <w:rFonts w:ascii="Lucida Bright" w:hAnsi="Lucida Bright" w:cs="Calibri"/>
                <w:sz w:val="14"/>
                <w:szCs w:val="14"/>
                <w:lang w:val="es-ES"/>
              </w:rPr>
              <w:t xml:space="preserve">9.713,29 </w:t>
            </w:r>
          </w:p>
        </w:tc>
      </w:tr>
      <w:tr w:rsidR="00202455" w:rsidRPr="00202455" w:rsidTr="001328BC">
        <w:trPr>
          <w:trHeight w:val="300"/>
        </w:trPr>
        <w:tc>
          <w:tcPr>
            <w:tcW w:w="1397" w:type="pct"/>
            <w:tcBorders>
              <w:top w:val="nil"/>
              <w:left w:val="single" w:sz="4" w:space="0" w:color="auto"/>
              <w:bottom w:val="single" w:sz="4" w:space="0" w:color="auto"/>
              <w:right w:val="nil"/>
            </w:tcBorders>
            <w:shd w:val="clear" w:color="000000" w:fill="FFFFFF"/>
            <w:noWrap/>
            <w:vAlign w:val="center"/>
            <w:hideMark/>
          </w:tcPr>
          <w:p w:rsidR="00202455" w:rsidRPr="00202455" w:rsidRDefault="00202455" w:rsidP="00202455">
            <w:pPr>
              <w:ind w:firstLineChars="100" w:firstLine="140"/>
              <w:rPr>
                <w:rFonts w:ascii="Lucida Bright" w:hAnsi="Lucida Bright" w:cs="Calibri"/>
                <w:i/>
                <w:iCs/>
                <w:sz w:val="14"/>
                <w:szCs w:val="14"/>
                <w:lang w:val="es-ES"/>
              </w:rPr>
            </w:pPr>
            <w:r w:rsidRPr="00202455">
              <w:rPr>
                <w:rFonts w:ascii="Lucida Bright" w:hAnsi="Lucida Bright" w:cs="Calibri"/>
                <w:i/>
                <w:iCs/>
                <w:sz w:val="14"/>
                <w:szCs w:val="14"/>
                <w:lang w:val="es-ES"/>
              </w:rPr>
              <w:t xml:space="preserve">a) Créditos a </w:t>
            </w:r>
            <w:proofErr w:type="spellStart"/>
            <w:r w:rsidRPr="00202455">
              <w:rPr>
                <w:rFonts w:ascii="Lucida Bright" w:hAnsi="Lucida Bright" w:cs="Calibri"/>
                <w:i/>
                <w:iCs/>
                <w:sz w:val="14"/>
                <w:szCs w:val="14"/>
                <w:lang w:val="es-ES"/>
              </w:rPr>
              <w:t>l.p</w:t>
            </w:r>
            <w:proofErr w:type="spellEnd"/>
            <w:r w:rsidRPr="00202455">
              <w:rPr>
                <w:rFonts w:ascii="Lucida Bright" w:hAnsi="Lucida Bright" w:cs="Calibri"/>
                <w:i/>
                <w:iCs/>
                <w:sz w:val="14"/>
                <w:szCs w:val="14"/>
                <w:lang w:val="es-ES"/>
              </w:rPr>
              <w:t>. a otras partes vinculadas</w:t>
            </w:r>
          </w:p>
        </w:tc>
        <w:tc>
          <w:tcPr>
            <w:tcW w:w="558" w:type="pct"/>
            <w:tcBorders>
              <w:top w:val="nil"/>
              <w:left w:val="nil"/>
              <w:bottom w:val="single" w:sz="4" w:space="0" w:color="auto"/>
              <w:right w:val="single" w:sz="4" w:space="0" w:color="auto"/>
            </w:tcBorders>
            <w:shd w:val="clear" w:color="000000" w:fill="FFFFFF"/>
            <w:noWrap/>
            <w:vAlign w:val="bottom"/>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525"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80"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99"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81"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44"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409"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26" w:type="pct"/>
            <w:tcBorders>
              <w:top w:val="nil"/>
              <w:left w:val="nil"/>
              <w:bottom w:val="single" w:sz="4" w:space="0" w:color="auto"/>
              <w:right w:val="single" w:sz="4" w:space="0" w:color="auto"/>
            </w:tcBorders>
            <w:shd w:val="clear" w:color="auto" w:fill="auto"/>
            <w:noWrap/>
            <w:vAlign w:val="center"/>
            <w:hideMark/>
          </w:tcPr>
          <w:p w:rsidR="00202455" w:rsidRPr="00202455" w:rsidRDefault="00202455" w:rsidP="00202455">
            <w:pPr>
              <w:jc w:val="right"/>
              <w:rPr>
                <w:rFonts w:ascii="Lucida Bright" w:hAnsi="Lucida Bright" w:cs="Calibri"/>
                <w:i/>
                <w:iCs/>
                <w:sz w:val="14"/>
                <w:szCs w:val="14"/>
                <w:lang w:val="es-ES"/>
              </w:rPr>
            </w:pPr>
            <w:r w:rsidRPr="00202455">
              <w:rPr>
                <w:rFonts w:ascii="Lucida Bright" w:hAnsi="Lucida Bright" w:cs="Calibri"/>
                <w:i/>
                <w:iCs/>
                <w:sz w:val="14"/>
                <w:szCs w:val="14"/>
                <w:lang w:val="es-ES"/>
              </w:rPr>
              <w:t xml:space="preserve">- </w:t>
            </w:r>
          </w:p>
        </w:tc>
      </w:tr>
      <w:tr w:rsidR="00202455" w:rsidRPr="00202455" w:rsidTr="001328BC">
        <w:trPr>
          <w:trHeight w:val="300"/>
        </w:trPr>
        <w:tc>
          <w:tcPr>
            <w:tcW w:w="1955" w:type="pct"/>
            <w:gridSpan w:val="2"/>
            <w:tcBorders>
              <w:top w:val="single" w:sz="4" w:space="0" w:color="auto"/>
              <w:left w:val="single" w:sz="4" w:space="0" w:color="auto"/>
              <w:bottom w:val="nil"/>
              <w:right w:val="single" w:sz="4" w:space="0" w:color="000000"/>
            </w:tcBorders>
            <w:shd w:val="clear" w:color="000000" w:fill="FFFFFF"/>
            <w:noWrap/>
            <w:vAlign w:val="center"/>
            <w:hideMark/>
          </w:tcPr>
          <w:p w:rsidR="00202455" w:rsidRPr="00202455" w:rsidRDefault="00202455" w:rsidP="00202455">
            <w:pPr>
              <w:ind w:firstLineChars="100" w:firstLine="140"/>
              <w:rPr>
                <w:rFonts w:ascii="Lucida Bright" w:hAnsi="Lucida Bright" w:cs="Calibri"/>
                <w:i/>
                <w:iCs/>
                <w:sz w:val="14"/>
                <w:szCs w:val="14"/>
                <w:lang w:val="es-ES"/>
              </w:rPr>
            </w:pPr>
            <w:r w:rsidRPr="00202455">
              <w:rPr>
                <w:rFonts w:ascii="Lucida Bright" w:hAnsi="Lucida Bright" w:cs="Calibri"/>
                <w:i/>
                <w:iCs/>
                <w:sz w:val="14"/>
                <w:szCs w:val="14"/>
                <w:lang w:val="es-ES"/>
              </w:rPr>
              <w:t>b) Créditos a largo plazo</w:t>
            </w:r>
          </w:p>
        </w:tc>
        <w:tc>
          <w:tcPr>
            <w:tcW w:w="281" w:type="pct"/>
            <w:tcBorders>
              <w:top w:val="nil"/>
              <w:left w:val="nil"/>
              <w:bottom w:val="nil"/>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525" w:type="pct"/>
            <w:tcBorders>
              <w:top w:val="nil"/>
              <w:left w:val="nil"/>
              <w:bottom w:val="nil"/>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80" w:type="pct"/>
            <w:tcBorders>
              <w:top w:val="nil"/>
              <w:left w:val="nil"/>
              <w:bottom w:val="nil"/>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99" w:type="pct"/>
            <w:tcBorders>
              <w:top w:val="nil"/>
              <w:left w:val="nil"/>
              <w:bottom w:val="nil"/>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81" w:type="pct"/>
            <w:tcBorders>
              <w:top w:val="nil"/>
              <w:left w:val="nil"/>
              <w:bottom w:val="nil"/>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44" w:type="pct"/>
            <w:tcBorders>
              <w:top w:val="nil"/>
              <w:left w:val="nil"/>
              <w:bottom w:val="nil"/>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409" w:type="pct"/>
            <w:tcBorders>
              <w:top w:val="nil"/>
              <w:left w:val="nil"/>
              <w:bottom w:val="nil"/>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26" w:type="pct"/>
            <w:tcBorders>
              <w:top w:val="nil"/>
              <w:left w:val="nil"/>
              <w:bottom w:val="nil"/>
              <w:right w:val="single" w:sz="4" w:space="0" w:color="auto"/>
            </w:tcBorders>
            <w:shd w:val="clear" w:color="auto" w:fill="auto"/>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r>
      <w:tr w:rsidR="00202455" w:rsidRPr="00202455" w:rsidTr="001328BC">
        <w:trPr>
          <w:trHeight w:val="300"/>
        </w:trPr>
        <w:tc>
          <w:tcPr>
            <w:tcW w:w="195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02455" w:rsidRPr="00202455" w:rsidRDefault="00202455" w:rsidP="00202455">
            <w:pPr>
              <w:ind w:firstLineChars="100" w:firstLine="140"/>
              <w:rPr>
                <w:rFonts w:ascii="Lucida Bright" w:hAnsi="Lucida Bright" w:cs="Calibri"/>
                <w:i/>
                <w:iCs/>
                <w:sz w:val="14"/>
                <w:szCs w:val="14"/>
                <w:lang w:val="es-ES"/>
              </w:rPr>
            </w:pPr>
            <w:r w:rsidRPr="00202455">
              <w:rPr>
                <w:rFonts w:ascii="Lucida Bright" w:hAnsi="Lucida Bright" w:cs="Calibri"/>
                <w:i/>
                <w:iCs/>
                <w:sz w:val="14"/>
                <w:szCs w:val="14"/>
                <w:lang w:val="es-ES"/>
              </w:rPr>
              <w:t xml:space="preserve">c) </w:t>
            </w:r>
            <w:proofErr w:type="spellStart"/>
            <w:r w:rsidRPr="00202455">
              <w:rPr>
                <w:rFonts w:ascii="Lucida Bright" w:hAnsi="Lucida Bright" w:cs="Calibri"/>
                <w:i/>
                <w:iCs/>
                <w:sz w:val="14"/>
                <w:szCs w:val="14"/>
                <w:lang w:val="es-ES"/>
              </w:rPr>
              <w:t>Creditos</w:t>
            </w:r>
            <w:proofErr w:type="spellEnd"/>
            <w:r w:rsidRPr="00202455">
              <w:rPr>
                <w:rFonts w:ascii="Lucida Bright" w:hAnsi="Lucida Bright" w:cs="Calibri"/>
                <w:i/>
                <w:iCs/>
                <w:sz w:val="14"/>
                <w:szCs w:val="14"/>
                <w:lang w:val="es-ES"/>
              </w:rPr>
              <w:t xml:space="preserve"> a </w:t>
            </w:r>
            <w:proofErr w:type="spellStart"/>
            <w:r w:rsidRPr="00202455">
              <w:rPr>
                <w:rFonts w:ascii="Lucida Bright" w:hAnsi="Lucida Bright" w:cs="Calibri"/>
                <w:i/>
                <w:iCs/>
                <w:sz w:val="14"/>
                <w:szCs w:val="14"/>
                <w:lang w:val="es-ES"/>
              </w:rPr>
              <w:t>l.p</w:t>
            </w:r>
            <w:proofErr w:type="spellEnd"/>
            <w:r w:rsidRPr="00202455">
              <w:rPr>
                <w:rFonts w:ascii="Lucida Bright" w:hAnsi="Lucida Bright" w:cs="Calibri"/>
                <w:i/>
                <w:iCs/>
                <w:sz w:val="14"/>
                <w:szCs w:val="14"/>
                <w:lang w:val="es-ES"/>
              </w:rPr>
              <w:t>. por enajenación de inmovilizado</w:t>
            </w:r>
          </w:p>
        </w:tc>
        <w:tc>
          <w:tcPr>
            <w:tcW w:w="281" w:type="pct"/>
            <w:tcBorders>
              <w:top w:val="single" w:sz="4" w:space="0" w:color="auto"/>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525" w:type="pct"/>
            <w:tcBorders>
              <w:top w:val="single" w:sz="4" w:space="0" w:color="auto"/>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80" w:type="pct"/>
            <w:tcBorders>
              <w:top w:val="single" w:sz="4" w:space="0" w:color="auto"/>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99" w:type="pct"/>
            <w:tcBorders>
              <w:top w:val="single" w:sz="4" w:space="0" w:color="auto"/>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81" w:type="pct"/>
            <w:tcBorders>
              <w:top w:val="single" w:sz="4" w:space="0" w:color="auto"/>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44" w:type="pct"/>
            <w:tcBorders>
              <w:top w:val="single" w:sz="4" w:space="0" w:color="auto"/>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409" w:type="pct"/>
            <w:tcBorders>
              <w:top w:val="single" w:sz="4" w:space="0" w:color="auto"/>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r>
      <w:tr w:rsidR="00202455" w:rsidRPr="00202455" w:rsidTr="001328BC">
        <w:trPr>
          <w:trHeight w:val="300"/>
        </w:trPr>
        <w:tc>
          <w:tcPr>
            <w:tcW w:w="1955"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02455" w:rsidRPr="00202455" w:rsidRDefault="00202455" w:rsidP="00202455">
            <w:pPr>
              <w:ind w:firstLineChars="100" w:firstLine="140"/>
              <w:rPr>
                <w:rFonts w:ascii="Lucida Bright" w:hAnsi="Lucida Bright" w:cs="Calibri"/>
                <w:i/>
                <w:iCs/>
                <w:sz w:val="14"/>
                <w:szCs w:val="14"/>
                <w:lang w:val="es-ES"/>
              </w:rPr>
            </w:pPr>
            <w:r w:rsidRPr="00202455">
              <w:rPr>
                <w:rFonts w:ascii="Lucida Bright" w:hAnsi="Lucida Bright" w:cs="Calibri"/>
                <w:i/>
                <w:iCs/>
                <w:sz w:val="14"/>
                <w:szCs w:val="14"/>
                <w:lang w:val="es-ES"/>
              </w:rPr>
              <w:t>b) Créditos a largo plazo al personal</w:t>
            </w:r>
          </w:p>
        </w:tc>
        <w:tc>
          <w:tcPr>
            <w:tcW w:w="281"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525"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jc w:val="right"/>
              <w:rPr>
                <w:rFonts w:ascii="Lucida Bright" w:hAnsi="Lucida Bright" w:cs="Calibri"/>
                <w:i/>
                <w:iCs/>
                <w:sz w:val="14"/>
                <w:szCs w:val="14"/>
                <w:lang w:val="es-ES"/>
              </w:rPr>
            </w:pPr>
            <w:r w:rsidRPr="00202455">
              <w:rPr>
                <w:rFonts w:ascii="Lucida Bright" w:hAnsi="Lucida Bright" w:cs="Calibri"/>
                <w:i/>
                <w:iCs/>
                <w:sz w:val="14"/>
                <w:szCs w:val="14"/>
                <w:lang w:val="es-ES"/>
              </w:rPr>
              <w:t xml:space="preserve">9.713,29 </w:t>
            </w:r>
          </w:p>
        </w:tc>
        <w:tc>
          <w:tcPr>
            <w:tcW w:w="380"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99"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81"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44"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409"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i/>
                <w:iCs/>
                <w:sz w:val="14"/>
                <w:szCs w:val="14"/>
                <w:lang w:val="es-ES"/>
              </w:rPr>
            </w:pPr>
            <w:r w:rsidRPr="00202455">
              <w:rPr>
                <w:rFonts w:ascii="Lucida Bright" w:hAnsi="Lucida Bright" w:cs="Calibri"/>
                <w:i/>
                <w:iCs/>
                <w:sz w:val="14"/>
                <w:szCs w:val="14"/>
                <w:lang w:val="es-ES"/>
              </w:rPr>
              <w:t> </w:t>
            </w:r>
          </w:p>
        </w:tc>
        <w:tc>
          <w:tcPr>
            <w:tcW w:w="326" w:type="pct"/>
            <w:tcBorders>
              <w:top w:val="nil"/>
              <w:left w:val="nil"/>
              <w:bottom w:val="single" w:sz="4" w:space="0" w:color="auto"/>
              <w:right w:val="single" w:sz="4" w:space="0" w:color="auto"/>
            </w:tcBorders>
            <w:shd w:val="clear" w:color="auto" w:fill="auto"/>
            <w:noWrap/>
            <w:vAlign w:val="center"/>
            <w:hideMark/>
          </w:tcPr>
          <w:p w:rsidR="00202455" w:rsidRPr="00202455" w:rsidRDefault="00202455" w:rsidP="00202455">
            <w:pPr>
              <w:jc w:val="right"/>
              <w:rPr>
                <w:rFonts w:ascii="Lucida Bright" w:hAnsi="Lucida Bright" w:cs="Calibri"/>
                <w:i/>
                <w:iCs/>
                <w:sz w:val="14"/>
                <w:szCs w:val="14"/>
                <w:lang w:val="es-ES"/>
              </w:rPr>
            </w:pPr>
            <w:r w:rsidRPr="00202455">
              <w:rPr>
                <w:rFonts w:ascii="Lucida Bright" w:hAnsi="Lucida Bright" w:cs="Calibri"/>
                <w:i/>
                <w:iCs/>
                <w:sz w:val="14"/>
                <w:szCs w:val="14"/>
                <w:lang w:val="es-ES"/>
              </w:rPr>
              <w:t xml:space="preserve">9.713,29 </w:t>
            </w:r>
          </w:p>
        </w:tc>
      </w:tr>
      <w:tr w:rsidR="00202455" w:rsidRPr="00202455" w:rsidTr="001328BC">
        <w:trPr>
          <w:trHeight w:val="300"/>
        </w:trPr>
        <w:tc>
          <w:tcPr>
            <w:tcW w:w="1397" w:type="pct"/>
            <w:tcBorders>
              <w:top w:val="nil"/>
              <w:left w:val="single" w:sz="4" w:space="0" w:color="auto"/>
              <w:bottom w:val="single" w:sz="4" w:space="0" w:color="auto"/>
              <w:right w:val="nil"/>
            </w:tcBorders>
            <w:shd w:val="clear" w:color="000000" w:fill="FFFFFF"/>
            <w:noWrap/>
            <w:vAlign w:val="center"/>
            <w:hideMark/>
          </w:tcPr>
          <w:p w:rsidR="00202455" w:rsidRPr="00202455" w:rsidRDefault="00202455" w:rsidP="00202455">
            <w:pPr>
              <w:jc w:val="center"/>
              <w:rPr>
                <w:rFonts w:ascii="Lucida Bright" w:hAnsi="Lucida Bright" w:cs="Calibri"/>
                <w:b/>
                <w:bCs/>
                <w:sz w:val="14"/>
                <w:szCs w:val="14"/>
                <w:lang w:val="es-ES"/>
              </w:rPr>
            </w:pPr>
            <w:r w:rsidRPr="00202455">
              <w:rPr>
                <w:rFonts w:ascii="Lucida Bright" w:hAnsi="Lucida Bright" w:cs="Calibri"/>
                <w:b/>
                <w:bCs/>
                <w:sz w:val="14"/>
                <w:szCs w:val="14"/>
                <w:lang w:val="es-ES"/>
              </w:rPr>
              <w:t>TOTAL</w:t>
            </w:r>
          </w:p>
        </w:tc>
        <w:tc>
          <w:tcPr>
            <w:tcW w:w="558"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rPr>
                <w:rFonts w:ascii="Lucida Bright" w:hAnsi="Lucida Bright" w:cs="Calibri"/>
                <w:b/>
                <w:bCs/>
                <w:sz w:val="14"/>
                <w:szCs w:val="14"/>
                <w:lang w:val="es-ES"/>
              </w:rPr>
            </w:pPr>
            <w:r w:rsidRPr="00202455">
              <w:rPr>
                <w:rFonts w:ascii="Lucida Bright" w:hAnsi="Lucida Bright" w:cs="Calibri"/>
                <w:b/>
                <w:bCs/>
                <w:sz w:val="14"/>
                <w:szCs w:val="14"/>
                <w:lang w:val="es-ES"/>
              </w:rPr>
              <w:t> </w:t>
            </w:r>
          </w:p>
        </w:tc>
        <w:tc>
          <w:tcPr>
            <w:tcW w:w="281"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jc w:val="right"/>
              <w:rPr>
                <w:rFonts w:ascii="Lucida Bright" w:hAnsi="Lucida Bright" w:cs="Calibri"/>
                <w:b/>
                <w:bCs/>
                <w:sz w:val="14"/>
                <w:szCs w:val="14"/>
                <w:lang w:val="es-ES"/>
              </w:rPr>
            </w:pPr>
            <w:r w:rsidRPr="00202455">
              <w:rPr>
                <w:rFonts w:ascii="Lucida Bright" w:hAnsi="Lucida Bright" w:cs="Calibri"/>
                <w:b/>
                <w:bCs/>
                <w:sz w:val="14"/>
                <w:szCs w:val="14"/>
                <w:lang w:val="es-ES"/>
              </w:rPr>
              <w:t xml:space="preserve">- </w:t>
            </w:r>
          </w:p>
        </w:tc>
        <w:tc>
          <w:tcPr>
            <w:tcW w:w="525"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jc w:val="right"/>
              <w:rPr>
                <w:rFonts w:ascii="Lucida Bright" w:hAnsi="Lucida Bright" w:cs="Calibri"/>
                <w:b/>
                <w:bCs/>
                <w:sz w:val="14"/>
                <w:szCs w:val="14"/>
                <w:lang w:val="es-ES"/>
              </w:rPr>
            </w:pPr>
            <w:r w:rsidRPr="00202455">
              <w:rPr>
                <w:rFonts w:ascii="Lucida Bright" w:hAnsi="Lucida Bright" w:cs="Calibri"/>
                <w:b/>
                <w:bCs/>
                <w:sz w:val="14"/>
                <w:szCs w:val="14"/>
                <w:lang w:val="es-ES"/>
              </w:rPr>
              <w:t xml:space="preserve">9.713,29 </w:t>
            </w:r>
          </w:p>
        </w:tc>
        <w:tc>
          <w:tcPr>
            <w:tcW w:w="380"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jc w:val="right"/>
              <w:rPr>
                <w:rFonts w:ascii="Lucida Bright" w:hAnsi="Lucida Bright" w:cs="Calibri"/>
                <w:b/>
                <w:bCs/>
                <w:sz w:val="14"/>
                <w:szCs w:val="14"/>
                <w:lang w:val="es-ES"/>
              </w:rPr>
            </w:pPr>
            <w:r w:rsidRPr="00202455">
              <w:rPr>
                <w:rFonts w:ascii="Lucida Bright" w:hAnsi="Lucida Bright" w:cs="Calibri"/>
                <w:b/>
                <w:bCs/>
                <w:sz w:val="14"/>
                <w:szCs w:val="14"/>
                <w:lang w:val="es-ES"/>
              </w:rPr>
              <w:t xml:space="preserve">- </w:t>
            </w:r>
          </w:p>
        </w:tc>
        <w:tc>
          <w:tcPr>
            <w:tcW w:w="399"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jc w:val="right"/>
              <w:rPr>
                <w:rFonts w:ascii="Lucida Bright" w:hAnsi="Lucida Bright" w:cs="Calibri"/>
                <w:b/>
                <w:bCs/>
                <w:sz w:val="14"/>
                <w:szCs w:val="14"/>
                <w:lang w:val="es-ES"/>
              </w:rPr>
            </w:pPr>
            <w:r w:rsidRPr="00202455">
              <w:rPr>
                <w:rFonts w:ascii="Lucida Bright" w:hAnsi="Lucida Bright" w:cs="Calibri"/>
                <w:b/>
                <w:bCs/>
                <w:sz w:val="14"/>
                <w:szCs w:val="14"/>
                <w:lang w:val="es-ES"/>
              </w:rPr>
              <w:t xml:space="preserve">- </w:t>
            </w:r>
          </w:p>
        </w:tc>
        <w:tc>
          <w:tcPr>
            <w:tcW w:w="381"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jc w:val="right"/>
              <w:rPr>
                <w:rFonts w:ascii="Lucida Bright" w:hAnsi="Lucida Bright" w:cs="Calibri"/>
                <w:b/>
                <w:bCs/>
                <w:sz w:val="14"/>
                <w:szCs w:val="14"/>
                <w:lang w:val="es-ES"/>
              </w:rPr>
            </w:pPr>
            <w:r w:rsidRPr="00202455">
              <w:rPr>
                <w:rFonts w:ascii="Lucida Bright" w:hAnsi="Lucida Bright" w:cs="Calibri"/>
                <w:b/>
                <w:bCs/>
                <w:sz w:val="14"/>
                <w:szCs w:val="14"/>
                <w:lang w:val="es-ES"/>
              </w:rPr>
              <w:t xml:space="preserve">- </w:t>
            </w:r>
          </w:p>
        </w:tc>
        <w:tc>
          <w:tcPr>
            <w:tcW w:w="344"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jc w:val="right"/>
              <w:rPr>
                <w:rFonts w:ascii="Lucida Bright" w:hAnsi="Lucida Bright" w:cs="Calibri"/>
                <w:b/>
                <w:bCs/>
                <w:sz w:val="14"/>
                <w:szCs w:val="14"/>
                <w:lang w:val="es-ES"/>
              </w:rPr>
            </w:pPr>
            <w:r w:rsidRPr="00202455">
              <w:rPr>
                <w:rFonts w:ascii="Lucida Bright" w:hAnsi="Lucida Bright" w:cs="Calibri"/>
                <w:b/>
                <w:bCs/>
                <w:sz w:val="14"/>
                <w:szCs w:val="14"/>
                <w:lang w:val="es-ES"/>
              </w:rPr>
              <w:t xml:space="preserve">- </w:t>
            </w:r>
          </w:p>
        </w:tc>
        <w:tc>
          <w:tcPr>
            <w:tcW w:w="409"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jc w:val="right"/>
              <w:rPr>
                <w:rFonts w:ascii="Lucida Bright" w:hAnsi="Lucida Bright" w:cs="Calibri"/>
                <w:b/>
                <w:bCs/>
                <w:sz w:val="14"/>
                <w:szCs w:val="14"/>
                <w:lang w:val="es-ES"/>
              </w:rPr>
            </w:pPr>
            <w:r w:rsidRPr="00202455">
              <w:rPr>
                <w:rFonts w:ascii="Lucida Bright" w:hAnsi="Lucida Bright" w:cs="Calibri"/>
                <w:b/>
                <w:bCs/>
                <w:sz w:val="14"/>
                <w:szCs w:val="14"/>
                <w:lang w:val="es-ES"/>
              </w:rPr>
              <w:t xml:space="preserve">- </w:t>
            </w:r>
          </w:p>
        </w:tc>
        <w:tc>
          <w:tcPr>
            <w:tcW w:w="326" w:type="pct"/>
            <w:tcBorders>
              <w:top w:val="nil"/>
              <w:left w:val="nil"/>
              <w:bottom w:val="single" w:sz="4" w:space="0" w:color="auto"/>
              <w:right w:val="single" w:sz="4" w:space="0" w:color="auto"/>
            </w:tcBorders>
            <w:shd w:val="clear" w:color="000000" w:fill="FFFFFF"/>
            <w:noWrap/>
            <w:vAlign w:val="center"/>
            <w:hideMark/>
          </w:tcPr>
          <w:p w:rsidR="00202455" w:rsidRPr="00202455" w:rsidRDefault="00202455" w:rsidP="00202455">
            <w:pPr>
              <w:jc w:val="right"/>
              <w:rPr>
                <w:rFonts w:ascii="Lucida Bright" w:hAnsi="Lucida Bright" w:cs="Calibri"/>
                <w:b/>
                <w:bCs/>
                <w:sz w:val="14"/>
                <w:szCs w:val="14"/>
                <w:lang w:val="es-ES"/>
              </w:rPr>
            </w:pPr>
            <w:r w:rsidRPr="00202455">
              <w:rPr>
                <w:rFonts w:ascii="Lucida Bright" w:hAnsi="Lucida Bright" w:cs="Calibri"/>
                <w:b/>
                <w:bCs/>
                <w:sz w:val="14"/>
                <w:szCs w:val="14"/>
                <w:lang w:val="es-ES"/>
              </w:rPr>
              <w:t xml:space="preserve">9.713,29 </w:t>
            </w:r>
          </w:p>
        </w:tc>
      </w:tr>
    </w:tbl>
    <w:p w:rsidR="00077612" w:rsidRDefault="00077612">
      <w:pPr>
        <w:tabs>
          <w:tab w:val="right" w:pos="8364"/>
        </w:tabs>
        <w:ind w:left="142" w:firstLine="425"/>
        <w:jc w:val="both"/>
        <w:rPr>
          <w:rFonts w:ascii="NewBaskerville" w:hAnsi="NewBaskerville"/>
        </w:rPr>
      </w:pPr>
    </w:p>
    <w:p w:rsidR="00202455" w:rsidRDefault="00202455">
      <w:pPr>
        <w:tabs>
          <w:tab w:val="right" w:pos="8364"/>
        </w:tabs>
        <w:ind w:left="142" w:firstLine="425"/>
        <w:jc w:val="both"/>
        <w:rPr>
          <w:rFonts w:ascii="NewBaskerville" w:hAnsi="NewBaskerville"/>
        </w:rPr>
      </w:pPr>
    </w:p>
    <w:p w:rsidR="00202455" w:rsidRDefault="00202455">
      <w:pPr>
        <w:tabs>
          <w:tab w:val="right" w:pos="8364"/>
        </w:tabs>
        <w:ind w:left="142" w:firstLine="425"/>
        <w:jc w:val="both"/>
        <w:rPr>
          <w:rFonts w:ascii="NewBaskerville" w:hAnsi="NewBaskerville"/>
        </w:rPr>
      </w:pPr>
    </w:p>
    <w:p w:rsidR="00202455" w:rsidRDefault="00202455">
      <w:pPr>
        <w:tabs>
          <w:tab w:val="right" w:pos="8364"/>
        </w:tabs>
        <w:ind w:left="142" w:firstLine="425"/>
        <w:jc w:val="both"/>
        <w:rPr>
          <w:rFonts w:ascii="NewBaskerville" w:hAnsi="NewBaskerville"/>
        </w:rPr>
      </w:pPr>
    </w:p>
    <w:p w:rsidR="00202455" w:rsidRDefault="00202455">
      <w:pPr>
        <w:tabs>
          <w:tab w:val="right" w:pos="8364"/>
        </w:tabs>
        <w:ind w:left="142" w:firstLine="425"/>
        <w:jc w:val="both"/>
        <w:rPr>
          <w:rFonts w:ascii="NewBaskerville" w:hAnsi="NewBaskerville"/>
        </w:rPr>
      </w:pPr>
    </w:p>
    <w:p w:rsidR="00202455" w:rsidRDefault="00202455">
      <w:pPr>
        <w:tabs>
          <w:tab w:val="right" w:pos="8364"/>
        </w:tabs>
        <w:ind w:left="142" w:firstLine="425"/>
        <w:jc w:val="both"/>
        <w:rPr>
          <w:rFonts w:ascii="NewBaskerville" w:hAnsi="NewBaskerville"/>
        </w:rPr>
      </w:pPr>
    </w:p>
    <w:p w:rsidR="00202455" w:rsidRDefault="00202455">
      <w:pPr>
        <w:tabs>
          <w:tab w:val="right" w:pos="8364"/>
        </w:tabs>
        <w:ind w:left="142" w:firstLine="425"/>
        <w:jc w:val="both"/>
        <w:rPr>
          <w:rFonts w:ascii="NewBaskerville" w:hAnsi="NewBaskerville"/>
        </w:rPr>
        <w:sectPr w:rsidR="00202455" w:rsidSect="00202455">
          <w:pgSz w:w="16840" w:h="11907" w:orient="landscape" w:code="9"/>
          <w:pgMar w:top="1985" w:right="1701" w:bottom="1418" w:left="1701" w:header="567" w:footer="720" w:gutter="0"/>
          <w:cols w:space="720"/>
          <w:docGrid w:linePitch="272"/>
        </w:sectPr>
      </w:pPr>
    </w:p>
    <w:p w:rsidR="00202455" w:rsidRDefault="00202455">
      <w:pPr>
        <w:tabs>
          <w:tab w:val="right" w:pos="8364"/>
        </w:tabs>
        <w:ind w:left="142" w:firstLine="425"/>
        <w:jc w:val="both"/>
        <w:rPr>
          <w:rFonts w:ascii="NewBaskerville" w:hAnsi="NewBaskerville"/>
        </w:rPr>
      </w:pPr>
    </w:p>
    <w:p w:rsidR="00077612" w:rsidRDefault="002C4355">
      <w:pPr>
        <w:tabs>
          <w:tab w:val="right" w:pos="8364"/>
        </w:tabs>
        <w:ind w:left="142" w:firstLine="425"/>
        <w:jc w:val="both"/>
        <w:rPr>
          <w:rFonts w:ascii="NewBaskerville" w:hAnsi="NewBaskerville"/>
        </w:rPr>
      </w:pPr>
      <w:r w:rsidRPr="00273586">
        <w:rPr>
          <w:rFonts w:ascii="NewBaskerville" w:hAnsi="NewBaskerville"/>
        </w:rPr>
        <w:t xml:space="preserve">Las </w:t>
      </w:r>
      <w:r w:rsidR="00E3178A" w:rsidRPr="00273586">
        <w:rPr>
          <w:rFonts w:ascii="NewBaskerville" w:hAnsi="NewBaskerville"/>
        </w:rPr>
        <w:t>“</w:t>
      </w:r>
      <w:r w:rsidR="00E3178A" w:rsidRPr="00273586">
        <w:rPr>
          <w:rFonts w:ascii="NewBaskerville" w:hAnsi="NewBaskerville"/>
          <w:b/>
        </w:rPr>
        <w:t>I</w:t>
      </w:r>
      <w:r w:rsidRPr="00273586">
        <w:rPr>
          <w:rFonts w:ascii="NewBaskerville" w:hAnsi="NewBaskerville"/>
          <w:b/>
        </w:rPr>
        <w:t>nversiones financieras a largo plazo</w:t>
      </w:r>
      <w:r w:rsidR="00E3178A" w:rsidRPr="00273586">
        <w:rPr>
          <w:rFonts w:ascii="NewBaskerville" w:hAnsi="NewBaskerville"/>
          <w:b/>
        </w:rPr>
        <w:t>”</w:t>
      </w:r>
      <w:r w:rsidR="00830179" w:rsidRPr="00273586">
        <w:rPr>
          <w:rFonts w:ascii="NewBaskerville" w:hAnsi="NewBaskerville"/>
        </w:rPr>
        <w:t xml:space="preserve"> se  </w:t>
      </w:r>
      <w:r w:rsidRPr="00273586">
        <w:rPr>
          <w:rFonts w:ascii="NewBaskerville" w:hAnsi="NewBaskerville"/>
        </w:rPr>
        <w:t>corresponden a</w:t>
      </w:r>
      <w:r w:rsidR="00077612">
        <w:rPr>
          <w:rFonts w:ascii="NewBaskerville" w:hAnsi="NewBaskerville"/>
        </w:rPr>
        <w:t>:</w:t>
      </w:r>
    </w:p>
    <w:p w:rsidR="00077612" w:rsidRDefault="00077612">
      <w:pPr>
        <w:tabs>
          <w:tab w:val="right" w:pos="8364"/>
        </w:tabs>
        <w:ind w:left="142" w:firstLine="425"/>
        <w:jc w:val="both"/>
        <w:rPr>
          <w:rFonts w:ascii="NewBaskerville" w:hAnsi="NewBaskerville"/>
        </w:rPr>
      </w:pPr>
    </w:p>
    <w:p w:rsidR="002C4355" w:rsidRDefault="00077612">
      <w:pPr>
        <w:tabs>
          <w:tab w:val="right" w:pos="8364"/>
        </w:tabs>
        <w:ind w:left="142" w:firstLine="425"/>
        <w:jc w:val="both"/>
        <w:rPr>
          <w:rFonts w:ascii="NewBaskerville" w:hAnsi="NewBaskerville"/>
        </w:rPr>
      </w:pPr>
      <w:r>
        <w:rPr>
          <w:rFonts w:ascii="NewBaskerville" w:hAnsi="NewBaskerville"/>
        </w:rPr>
        <w:t>C</w:t>
      </w:r>
      <w:r w:rsidR="002C4355" w:rsidRPr="00273586">
        <w:rPr>
          <w:rFonts w:ascii="NewBaskerville" w:hAnsi="NewBaskerville"/>
        </w:rPr>
        <w:t>réditos al personal</w:t>
      </w:r>
      <w:r>
        <w:rPr>
          <w:rFonts w:ascii="NewBaskerville" w:hAnsi="NewBaskerville"/>
        </w:rPr>
        <w:t>:</w:t>
      </w:r>
      <w:r w:rsidR="002C4355" w:rsidRPr="00273586">
        <w:rPr>
          <w:rFonts w:ascii="NewBaskerville" w:hAnsi="NewBaskerville"/>
        </w:rPr>
        <w:t xml:space="preserve"> que no se actualizan financieramente dado que el efecto de no actualizar estos flujos de efectivo no es signifi</w:t>
      </w:r>
      <w:r w:rsidR="00CD79D4" w:rsidRPr="00273586">
        <w:rPr>
          <w:rFonts w:ascii="NewBaskerville" w:hAnsi="NewBaskerville"/>
        </w:rPr>
        <w:t>c</w:t>
      </w:r>
      <w:r w:rsidR="0047248E" w:rsidRPr="00273586">
        <w:rPr>
          <w:rFonts w:ascii="NewBaskerville" w:hAnsi="NewBaskerville"/>
        </w:rPr>
        <w:t>ativo. Durante el ejercicio 202</w:t>
      </w:r>
      <w:r w:rsidR="00202455">
        <w:rPr>
          <w:rFonts w:ascii="NewBaskerville" w:hAnsi="NewBaskerville"/>
        </w:rPr>
        <w:t>3</w:t>
      </w:r>
      <w:r w:rsidR="002C4355" w:rsidRPr="00273586">
        <w:rPr>
          <w:rFonts w:ascii="NewBaskerville" w:hAnsi="NewBaskerville"/>
        </w:rPr>
        <w:t xml:space="preserve"> se han conce</w:t>
      </w:r>
      <w:r w:rsidR="00855AA4" w:rsidRPr="00273586">
        <w:rPr>
          <w:rFonts w:ascii="NewBaskerville" w:hAnsi="NewBaskerville"/>
        </w:rPr>
        <w:t xml:space="preserve">dido préstamos por importe de </w:t>
      </w:r>
      <w:r>
        <w:rPr>
          <w:rFonts w:ascii="NewBaskerville" w:hAnsi="NewBaskerville"/>
        </w:rPr>
        <w:t>3</w:t>
      </w:r>
      <w:r w:rsidR="001A586B">
        <w:rPr>
          <w:rFonts w:ascii="NewBaskerville" w:hAnsi="NewBaskerville"/>
        </w:rPr>
        <w:t>35</w:t>
      </w:r>
      <w:r w:rsidR="0047248E" w:rsidRPr="00273586">
        <w:rPr>
          <w:rFonts w:ascii="NewBaskerville" w:hAnsi="NewBaskerville"/>
        </w:rPr>
        <w:t>.</w:t>
      </w:r>
      <w:r w:rsidR="001A586B">
        <w:rPr>
          <w:rFonts w:ascii="NewBaskerville" w:hAnsi="NewBaskerville"/>
        </w:rPr>
        <w:t>266</w:t>
      </w:r>
      <w:r>
        <w:rPr>
          <w:rFonts w:ascii="NewBaskerville" w:hAnsi="NewBaskerville"/>
        </w:rPr>
        <w:t>,</w:t>
      </w:r>
      <w:r w:rsidR="001A586B">
        <w:rPr>
          <w:rFonts w:ascii="NewBaskerville" w:hAnsi="NewBaskerville"/>
        </w:rPr>
        <w:t>78</w:t>
      </w:r>
      <w:r w:rsidR="002C4355" w:rsidRPr="00273586">
        <w:rPr>
          <w:rFonts w:ascii="NewBaskerville" w:hAnsi="NewBaskerville"/>
        </w:rPr>
        <w:t xml:space="preserve"> euros y se han traspasado a corto plazo </w:t>
      </w:r>
      <w:r w:rsidR="0047248E" w:rsidRPr="00273586">
        <w:rPr>
          <w:rFonts w:ascii="NewBaskerville" w:hAnsi="NewBaskerville"/>
        </w:rPr>
        <w:t>2</w:t>
      </w:r>
      <w:r w:rsidR="001A586B">
        <w:rPr>
          <w:rFonts w:ascii="NewBaskerville" w:hAnsi="NewBaskerville"/>
        </w:rPr>
        <w:t>37</w:t>
      </w:r>
      <w:r w:rsidR="0047248E" w:rsidRPr="00273586">
        <w:rPr>
          <w:rFonts w:ascii="NewBaskerville" w:hAnsi="NewBaskerville"/>
        </w:rPr>
        <w:t>.</w:t>
      </w:r>
      <w:r w:rsidR="001A586B">
        <w:rPr>
          <w:rFonts w:ascii="NewBaskerville" w:hAnsi="NewBaskerville"/>
        </w:rPr>
        <w:t>355</w:t>
      </w:r>
      <w:r w:rsidR="0047248E" w:rsidRPr="00273586">
        <w:rPr>
          <w:rFonts w:ascii="NewBaskerville" w:hAnsi="NewBaskerville"/>
        </w:rPr>
        <w:t>,</w:t>
      </w:r>
      <w:r w:rsidR="001A586B">
        <w:rPr>
          <w:rFonts w:ascii="NewBaskerville" w:hAnsi="NewBaskerville"/>
        </w:rPr>
        <w:t>75</w:t>
      </w:r>
      <w:r w:rsidR="002C4355" w:rsidRPr="00273586">
        <w:rPr>
          <w:rFonts w:ascii="NewBaskerville" w:hAnsi="NewBaskerville"/>
        </w:rPr>
        <w:t xml:space="preserve"> euros. En el ejercicio 20</w:t>
      </w:r>
      <w:r w:rsidR="0047248E" w:rsidRPr="00273586">
        <w:rPr>
          <w:rFonts w:ascii="NewBaskerville" w:hAnsi="NewBaskerville"/>
        </w:rPr>
        <w:t>2</w:t>
      </w:r>
      <w:r w:rsidR="001A586B">
        <w:rPr>
          <w:rFonts w:ascii="NewBaskerville" w:hAnsi="NewBaskerville"/>
        </w:rPr>
        <w:t>2</w:t>
      </w:r>
      <w:r w:rsidR="0047248E" w:rsidRPr="00273586">
        <w:rPr>
          <w:rFonts w:ascii="NewBaskerville" w:hAnsi="NewBaskerville"/>
        </w:rPr>
        <w:t xml:space="preserve"> </w:t>
      </w:r>
      <w:r w:rsidR="002C4355" w:rsidRPr="00273586">
        <w:rPr>
          <w:rFonts w:ascii="NewBaskerville" w:hAnsi="NewBaskerville"/>
        </w:rPr>
        <w:t xml:space="preserve">se concedieron préstamos por importe de </w:t>
      </w:r>
      <w:r w:rsidR="00441ADC">
        <w:rPr>
          <w:rFonts w:ascii="NewBaskerville" w:hAnsi="NewBaskerville"/>
        </w:rPr>
        <w:t>239</w:t>
      </w:r>
      <w:r w:rsidR="0047248E" w:rsidRPr="00273586">
        <w:rPr>
          <w:rFonts w:ascii="NewBaskerville" w:hAnsi="NewBaskerville"/>
        </w:rPr>
        <w:t>.</w:t>
      </w:r>
      <w:r w:rsidR="00441ADC">
        <w:rPr>
          <w:rFonts w:ascii="NewBaskerville" w:hAnsi="NewBaskerville"/>
        </w:rPr>
        <w:t>0</w:t>
      </w:r>
      <w:r>
        <w:rPr>
          <w:rFonts w:ascii="NewBaskerville" w:hAnsi="NewBaskerville"/>
        </w:rPr>
        <w:t>00</w:t>
      </w:r>
      <w:r w:rsidR="0047248E" w:rsidRPr="00273586">
        <w:rPr>
          <w:rFonts w:ascii="NewBaskerville" w:hAnsi="NewBaskerville"/>
        </w:rPr>
        <w:t>,</w:t>
      </w:r>
      <w:r>
        <w:rPr>
          <w:rFonts w:ascii="NewBaskerville" w:hAnsi="NewBaskerville"/>
        </w:rPr>
        <w:t>00</w:t>
      </w:r>
      <w:r w:rsidR="00D358AD" w:rsidRPr="00273586">
        <w:rPr>
          <w:rFonts w:ascii="NewBaskerville" w:hAnsi="NewBaskerville"/>
        </w:rPr>
        <w:t xml:space="preserve"> </w:t>
      </w:r>
      <w:r w:rsidR="00BA6314" w:rsidRPr="00273586">
        <w:rPr>
          <w:rFonts w:ascii="NewBaskerville" w:hAnsi="NewBaskerville"/>
        </w:rPr>
        <w:t>euros</w:t>
      </w:r>
      <w:r w:rsidR="002C4355" w:rsidRPr="00273586">
        <w:rPr>
          <w:rFonts w:ascii="NewBaskerville" w:hAnsi="NewBaskerville"/>
        </w:rPr>
        <w:t xml:space="preserve"> y se traspasaron a corto plazo  </w:t>
      </w:r>
      <w:r w:rsidR="0047248E" w:rsidRPr="00273586">
        <w:rPr>
          <w:rFonts w:ascii="NewBaskerville" w:hAnsi="NewBaskerville"/>
        </w:rPr>
        <w:t>2</w:t>
      </w:r>
      <w:r w:rsidR="00441ADC">
        <w:rPr>
          <w:rFonts w:ascii="NewBaskerville" w:hAnsi="NewBaskerville"/>
        </w:rPr>
        <w:t>54</w:t>
      </w:r>
      <w:r w:rsidR="0047248E" w:rsidRPr="00273586">
        <w:rPr>
          <w:rFonts w:ascii="NewBaskerville" w:hAnsi="NewBaskerville"/>
        </w:rPr>
        <w:t>.</w:t>
      </w:r>
      <w:r w:rsidR="00441ADC">
        <w:rPr>
          <w:rFonts w:ascii="NewBaskerville" w:hAnsi="NewBaskerville"/>
        </w:rPr>
        <w:t>133</w:t>
      </w:r>
      <w:r w:rsidR="0047248E" w:rsidRPr="00273586">
        <w:rPr>
          <w:rFonts w:ascii="NewBaskerville" w:hAnsi="NewBaskerville"/>
        </w:rPr>
        <w:t>,</w:t>
      </w:r>
      <w:r w:rsidR="00441ADC">
        <w:rPr>
          <w:rFonts w:ascii="NewBaskerville" w:hAnsi="NewBaskerville"/>
        </w:rPr>
        <w:t>93</w:t>
      </w:r>
      <w:r w:rsidR="00D358AD" w:rsidRPr="00273586">
        <w:rPr>
          <w:rFonts w:ascii="NewBaskerville" w:hAnsi="NewBaskerville"/>
        </w:rPr>
        <w:t xml:space="preserve"> </w:t>
      </w:r>
      <w:r w:rsidR="002C4355" w:rsidRPr="00273586">
        <w:rPr>
          <w:rFonts w:ascii="NewBaskerville" w:hAnsi="NewBaskerville"/>
        </w:rPr>
        <w:t>euros.</w:t>
      </w:r>
      <w:r w:rsidR="00EB094C">
        <w:rPr>
          <w:rFonts w:ascii="NewBaskerville" w:hAnsi="NewBaskerville"/>
        </w:rPr>
        <w:t xml:space="preserve"> A fecha de cierre se ha efectuado una corrección valorativa por importe de 9.713,29 euros, correspondiente al saldo vivo de un anticipo reintegrable (crédito al personal) de un trabajador de la Entidad fallecido, no </w:t>
      </w:r>
      <w:r w:rsidR="009B06A7">
        <w:rPr>
          <w:rFonts w:ascii="NewBaskerville" w:hAnsi="NewBaskerville"/>
        </w:rPr>
        <w:t>estando</w:t>
      </w:r>
      <w:r w:rsidR="00EB094C">
        <w:rPr>
          <w:rFonts w:ascii="NewBaskerville" w:hAnsi="NewBaskerville"/>
        </w:rPr>
        <w:t xml:space="preserve"> asegurada la amortización del crédito por dicha contingencia.   </w:t>
      </w:r>
    </w:p>
    <w:p w:rsidR="00077612" w:rsidRDefault="00077612">
      <w:pPr>
        <w:tabs>
          <w:tab w:val="right" w:pos="8364"/>
        </w:tabs>
        <w:ind w:left="142" w:firstLine="425"/>
        <w:jc w:val="both"/>
        <w:rPr>
          <w:rFonts w:ascii="NewBaskerville" w:hAnsi="NewBaskerville"/>
        </w:rPr>
      </w:pPr>
    </w:p>
    <w:p w:rsidR="00644C2C" w:rsidRDefault="00077612">
      <w:pPr>
        <w:tabs>
          <w:tab w:val="right" w:pos="8364"/>
        </w:tabs>
        <w:ind w:left="142" w:firstLine="425"/>
        <w:jc w:val="both"/>
        <w:rPr>
          <w:rFonts w:ascii="NewBaskerville" w:hAnsi="NewBaskerville"/>
        </w:rPr>
      </w:pPr>
      <w:r>
        <w:rPr>
          <w:rFonts w:ascii="NewBaskerville" w:hAnsi="NewBaskerville"/>
        </w:rPr>
        <w:t xml:space="preserve">Créditos a l/p: Se corresponden a la asistencia financiera </w:t>
      </w:r>
      <w:r w:rsidR="00644C2C">
        <w:rPr>
          <w:rFonts w:ascii="NewBaskerville" w:hAnsi="NewBaskerville"/>
        </w:rPr>
        <w:t xml:space="preserve">para la defensa jurídica de miembros del Consejo de Administración de la APB, según </w:t>
      </w:r>
      <w:r w:rsidR="009B06A7">
        <w:rPr>
          <w:rFonts w:ascii="NewBaskerville" w:hAnsi="NewBaskerville"/>
        </w:rPr>
        <w:t xml:space="preserve">sendos </w:t>
      </w:r>
      <w:r w:rsidR="00644C2C">
        <w:rPr>
          <w:rFonts w:ascii="NewBaskerville" w:hAnsi="NewBaskerville"/>
        </w:rPr>
        <w:t>acuerdo</w:t>
      </w:r>
      <w:r w:rsidR="009B06A7">
        <w:rPr>
          <w:rFonts w:ascii="NewBaskerville" w:hAnsi="NewBaskerville"/>
        </w:rPr>
        <w:t>s</w:t>
      </w:r>
      <w:r w:rsidR="00644C2C">
        <w:rPr>
          <w:rFonts w:ascii="NewBaskerville" w:hAnsi="NewBaskerville"/>
        </w:rPr>
        <w:t xml:space="preserve"> de 27/07/2022</w:t>
      </w:r>
      <w:r w:rsidR="009B06A7">
        <w:rPr>
          <w:rFonts w:ascii="NewBaskerville" w:hAnsi="NewBaskerville"/>
        </w:rPr>
        <w:t xml:space="preserve"> y 28/06/2023</w:t>
      </w:r>
      <w:r w:rsidR="00644C2C">
        <w:rPr>
          <w:rFonts w:ascii="NewBaskerville" w:hAnsi="NewBaskerville"/>
        </w:rPr>
        <w:t xml:space="preserve">. </w:t>
      </w:r>
      <w:r w:rsidR="009B06A7">
        <w:rPr>
          <w:rFonts w:ascii="NewBaskerville" w:hAnsi="NewBaskerville"/>
        </w:rPr>
        <w:t xml:space="preserve">El </w:t>
      </w:r>
      <w:r w:rsidR="00644C2C">
        <w:rPr>
          <w:rFonts w:ascii="NewBaskerville" w:hAnsi="NewBaskerville"/>
        </w:rPr>
        <w:t xml:space="preserve">importe </w:t>
      </w:r>
      <w:r w:rsidR="00C86371">
        <w:rPr>
          <w:rFonts w:ascii="NewBaskerville" w:hAnsi="NewBaskerville"/>
        </w:rPr>
        <w:t>concedido</w:t>
      </w:r>
      <w:r w:rsidR="009B06A7">
        <w:rPr>
          <w:rFonts w:ascii="NewBaskerville" w:hAnsi="NewBaskerville"/>
        </w:rPr>
        <w:t xml:space="preserve"> en el 2023 es</w:t>
      </w:r>
      <w:r w:rsidR="00644C2C">
        <w:rPr>
          <w:rFonts w:ascii="NewBaskerville" w:hAnsi="NewBaskerville"/>
        </w:rPr>
        <w:t xml:space="preserve"> de </w:t>
      </w:r>
      <w:r w:rsidR="009B06A7">
        <w:rPr>
          <w:rFonts w:ascii="NewBaskerville" w:hAnsi="NewBaskerville"/>
        </w:rPr>
        <w:t xml:space="preserve">16.050,00 euros, en el 2022 ascendió a </w:t>
      </w:r>
      <w:r w:rsidR="00644C2C">
        <w:rPr>
          <w:rFonts w:ascii="NewBaskerville" w:hAnsi="NewBaskerville"/>
        </w:rPr>
        <w:t>135.520,00 euros. Dicho importe no se actualiza al no ser significativo su efecto.</w:t>
      </w:r>
    </w:p>
    <w:p w:rsidR="00644C2C" w:rsidRDefault="00644C2C">
      <w:pPr>
        <w:tabs>
          <w:tab w:val="right" w:pos="8364"/>
        </w:tabs>
        <w:ind w:left="142" w:firstLine="425"/>
        <w:jc w:val="both"/>
        <w:rPr>
          <w:rFonts w:ascii="NewBaskerville" w:hAnsi="NewBaskerville"/>
        </w:rPr>
      </w:pPr>
    </w:p>
    <w:p w:rsidR="00077612" w:rsidRPr="00273586" w:rsidRDefault="00644C2C">
      <w:pPr>
        <w:tabs>
          <w:tab w:val="right" w:pos="8364"/>
        </w:tabs>
        <w:ind w:left="142" w:firstLine="425"/>
        <w:jc w:val="both"/>
        <w:rPr>
          <w:rFonts w:ascii="NewBaskerville" w:hAnsi="NewBaskerville"/>
        </w:rPr>
      </w:pPr>
      <w:r>
        <w:rPr>
          <w:rFonts w:ascii="NewBaskerville" w:hAnsi="NewBaskerville"/>
        </w:rPr>
        <w:t>Depósitos judiciales constituidos a l/p:</w:t>
      </w:r>
      <w:r w:rsidR="00280B87">
        <w:rPr>
          <w:rFonts w:ascii="NewBaskerville" w:hAnsi="NewBaskerville"/>
        </w:rPr>
        <w:t xml:space="preserve"> El importe de 1.244.438,00 euros</w:t>
      </w:r>
      <w:r>
        <w:rPr>
          <w:rFonts w:ascii="NewBaskerville" w:hAnsi="NewBaskerville"/>
        </w:rPr>
        <w:t xml:space="preserve"> </w:t>
      </w:r>
      <w:r w:rsidR="00280B87">
        <w:rPr>
          <w:rFonts w:ascii="NewBaskerville" w:hAnsi="NewBaskerville"/>
        </w:rPr>
        <w:t>s</w:t>
      </w:r>
      <w:r w:rsidR="009B06A7">
        <w:rPr>
          <w:rFonts w:ascii="NewBaskerville" w:hAnsi="NewBaskerville"/>
        </w:rPr>
        <w:t>e corresponde a la consignación efectuada en el ejercicio 2022</w:t>
      </w:r>
      <w:r>
        <w:rPr>
          <w:rFonts w:ascii="NewBaskerville" w:hAnsi="NewBaskerville"/>
        </w:rPr>
        <w:t xml:space="preserve"> </w:t>
      </w:r>
      <w:r w:rsidR="009B06A7">
        <w:rPr>
          <w:rFonts w:ascii="NewBaskerville" w:hAnsi="NewBaskerville"/>
        </w:rPr>
        <w:t>ante</w:t>
      </w:r>
      <w:r>
        <w:rPr>
          <w:rFonts w:ascii="NewBaskerville" w:hAnsi="NewBaskerville"/>
        </w:rPr>
        <w:t xml:space="preserve"> el Juzgado de Primera Instancia nº 18 de Palma de Mallorca </w:t>
      </w:r>
      <w:r w:rsidR="009B06A7">
        <w:rPr>
          <w:rFonts w:ascii="NewBaskerville" w:hAnsi="NewBaskerville"/>
        </w:rPr>
        <w:t>por</w:t>
      </w:r>
      <w:r>
        <w:rPr>
          <w:rFonts w:ascii="NewBaskerville" w:hAnsi="NewBaskerville"/>
        </w:rPr>
        <w:t xml:space="preserve"> la ejecución provisional </w:t>
      </w:r>
      <w:r w:rsidR="004C0EC1">
        <w:rPr>
          <w:rFonts w:ascii="NewBaskerville" w:hAnsi="NewBaskerville"/>
        </w:rPr>
        <w:t xml:space="preserve">260/2022 de la demanda de presentada por la UTE ATRAQUES GRANDES BUQUES. El importe </w:t>
      </w:r>
      <w:r w:rsidR="009B06A7">
        <w:rPr>
          <w:rFonts w:ascii="NewBaskerville" w:hAnsi="NewBaskerville"/>
        </w:rPr>
        <w:t xml:space="preserve">figura </w:t>
      </w:r>
      <w:r w:rsidR="004C0EC1">
        <w:rPr>
          <w:rFonts w:ascii="NewBaskerville" w:hAnsi="NewBaskerville"/>
        </w:rPr>
        <w:t>por su valor nominal.</w:t>
      </w:r>
      <w:r>
        <w:rPr>
          <w:rFonts w:ascii="NewBaskerville" w:hAnsi="NewBaskerville"/>
        </w:rPr>
        <w:t xml:space="preserve">  </w:t>
      </w:r>
      <w:r w:rsidR="00077612">
        <w:rPr>
          <w:rFonts w:ascii="NewBaskerville" w:hAnsi="NewBaskerville"/>
        </w:rPr>
        <w:t xml:space="preserve"> </w:t>
      </w:r>
    </w:p>
    <w:p w:rsidR="00830179" w:rsidRPr="00CF32FF" w:rsidRDefault="00830179">
      <w:pPr>
        <w:tabs>
          <w:tab w:val="right" w:pos="8364"/>
        </w:tabs>
        <w:ind w:left="142" w:firstLine="425"/>
        <w:jc w:val="both"/>
      </w:pPr>
    </w:p>
    <w:p w:rsidR="007B1941" w:rsidRDefault="007B1941" w:rsidP="007B1941">
      <w:pPr>
        <w:tabs>
          <w:tab w:val="right" w:pos="8364"/>
        </w:tabs>
        <w:ind w:left="142" w:firstLine="425"/>
        <w:jc w:val="both"/>
        <w:rPr>
          <w:rFonts w:ascii="NewBaskerville" w:hAnsi="NewBaskerville"/>
        </w:rPr>
      </w:pPr>
      <w:r w:rsidRPr="00DE41A1">
        <w:rPr>
          <w:rFonts w:ascii="NewBaskerville" w:hAnsi="NewBaskerville"/>
        </w:rPr>
        <w:t xml:space="preserve">Los saldos registrados en el epígrafe de </w:t>
      </w:r>
      <w:r w:rsidRPr="00DE41A1">
        <w:rPr>
          <w:rFonts w:ascii="NewBaskerville" w:hAnsi="NewBaskerville"/>
          <w:b/>
        </w:rPr>
        <w:t>“Deudores comerciales y otras cuentas a cobrar</w:t>
      </w:r>
      <w:r w:rsidRPr="00DE41A1">
        <w:rPr>
          <w:rFonts w:ascii="NewBaskerville" w:hAnsi="NewBaskerville"/>
        </w:rPr>
        <w:t>” corresponden a partidas a cobrar originadas por operaciones comerciales</w:t>
      </w:r>
      <w:r w:rsidR="00DE41A1">
        <w:rPr>
          <w:rFonts w:ascii="NewBaskerville" w:hAnsi="NewBaskerville"/>
        </w:rPr>
        <w:t>, y no comerciales,</w:t>
      </w:r>
      <w:r w:rsidRPr="00DE41A1">
        <w:rPr>
          <w:rFonts w:ascii="NewBaskerville" w:hAnsi="NewBaskerville"/>
        </w:rPr>
        <w:t xml:space="preserve"> pendientes de cobro.</w:t>
      </w:r>
      <w:r w:rsidR="009F7ED9">
        <w:rPr>
          <w:rFonts w:ascii="NewBaskerville" w:hAnsi="NewBaskerville"/>
        </w:rPr>
        <w:t xml:space="preserve"> Correspondiéndose a activos financieros a corto plazo:</w:t>
      </w:r>
    </w:p>
    <w:p w:rsidR="004172A5" w:rsidRPr="00DE41A1" w:rsidRDefault="004172A5" w:rsidP="007B1941">
      <w:pPr>
        <w:tabs>
          <w:tab w:val="right" w:pos="8364"/>
        </w:tabs>
        <w:ind w:left="142" w:firstLine="425"/>
        <w:jc w:val="both"/>
        <w:rPr>
          <w:rFonts w:ascii="NewBaskerville" w:hAnsi="NewBaskerville"/>
        </w:rPr>
      </w:pPr>
    </w:p>
    <w:tbl>
      <w:tblPr>
        <w:tblW w:w="6620" w:type="dxa"/>
        <w:tblInd w:w="70" w:type="dxa"/>
        <w:tblCellMar>
          <w:left w:w="70" w:type="dxa"/>
          <w:right w:w="70" w:type="dxa"/>
        </w:tblCellMar>
        <w:tblLook w:val="04A0" w:firstRow="1" w:lastRow="0" w:firstColumn="1" w:lastColumn="0" w:noHBand="0" w:noVBand="1"/>
      </w:tblPr>
      <w:tblGrid>
        <w:gridCol w:w="4060"/>
        <w:gridCol w:w="1300"/>
        <w:gridCol w:w="1260"/>
      </w:tblGrid>
      <w:tr w:rsidR="00552C82" w:rsidRPr="00552C82" w:rsidTr="00552C82">
        <w:trPr>
          <w:trHeight w:val="300"/>
        </w:trPr>
        <w:tc>
          <w:tcPr>
            <w:tcW w:w="4060" w:type="dxa"/>
            <w:tcBorders>
              <w:top w:val="nil"/>
              <w:left w:val="nil"/>
              <w:bottom w:val="nil"/>
              <w:right w:val="nil"/>
            </w:tcBorders>
            <w:shd w:val="clear" w:color="auto" w:fill="auto"/>
            <w:noWrap/>
            <w:vAlign w:val="bottom"/>
            <w:hideMark/>
          </w:tcPr>
          <w:p w:rsidR="00552C82" w:rsidRPr="00552C82" w:rsidRDefault="00552C82" w:rsidP="00552C82">
            <w:pPr>
              <w:rPr>
                <w:rFonts w:ascii="Calibri" w:hAnsi="Calibri" w:cs="Calibri"/>
                <w:color w:val="000000"/>
                <w:sz w:val="22"/>
                <w:szCs w:val="22"/>
                <w:lang w:val="es-ES"/>
              </w:rPr>
            </w:pPr>
          </w:p>
        </w:tc>
        <w:tc>
          <w:tcPr>
            <w:tcW w:w="130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552C82" w:rsidRPr="00552C82" w:rsidRDefault="00552C82" w:rsidP="00552C82">
            <w:pPr>
              <w:jc w:val="center"/>
              <w:rPr>
                <w:rFonts w:ascii="Lucida Bright" w:hAnsi="Lucida Bright" w:cs="Calibri"/>
                <w:b/>
                <w:bCs/>
                <w:color w:val="000000"/>
                <w:sz w:val="14"/>
                <w:szCs w:val="14"/>
                <w:lang w:val="es-ES"/>
              </w:rPr>
            </w:pPr>
            <w:r w:rsidRPr="00552C82">
              <w:rPr>
                <w:rFonts w:ascii="Lucida Bright" w:hAnsi="Lucida Bright" w:cs="Calibri"/>
                <w:b/>
                <w:bCs/>
                <w:color w:val="000000"/>
                <w:sz w:val="14"/>
                <w:szCs w:val="14"/>
                <w:lang w:val="es-ES"/>
              </w:rPr>
              <w:t>2023</w:t>
            </w:r>
          </w:p>
        </w:tc>
        <w:tc>
          <w:tcPr>
            <w:tcW w:w="1260" w:type="dxa"/>
            <w:tcBorders>
              <w:top w:val="single" w:sz="4" w:space="0" w:color="auto"/>
              <w:left w:val="nil"/>
              <w:bottom w:val="single" w:sz="4" w:space="0" w:color="auto"/>
              <w:right w:val="single" w:sz="4" w:space="0" w:color="auto"/>
            </w:tcBorders>
            <w:shd w:val="clear" w:color="000000" w:fill="CCFFCC"/>
            <w:noWrap/>
            <w:vAlign w:val="center"/>
            <w:hideMark/>
          </w:tcPr>
          <w:p w:rsidR="00552C82" w:rsidRPr="00552C82" w:rsidRDefault="00552C82" w:rsidP="00552C82">
            <w:pPr>
              <w:jc w:val="center"/>
              <w:rPr>
                <w:rFonts w:ascii="Lucida Bright" w:hAnsi="Lucida Bright" w:cs="Calibri"/>
                <w:b/>
                <w:bCs/>
                <w:color w:val="000000"/>
                <w:sz w:val="14"/>
                <w:szCs w:val="14"/>
                <w:lang w:val="es-ES"/>
              </w:rPr>
            </w:pPr>
            <w:r w:rsidRPr="00552C82">
              <w:rPr>
                <w:rFonts w:ascii="Lucida Bright" w:hAnsi="Lucida Bright" w:cs="Calibri"/>
                <w:b/>
                <w:bCs/>
                <w:color w:val="000000"/>
                <w:sz w:val="14"/>
                <w:szCs w:val="14"/>
                <w:lang w:val="es-ES"/>
              </w:rPr>
              <w:t>2022</w:t>
            </w:r>
          </w:p>
        </w:tc>
      </w:tr>
      <w:tr w:rsidR="00552C82" w:rsidRPr="00552C82" w:rsidTr="00552C82">
        <w:trPr>
          <w:trHeight w:val="300"/>
        </w:trPr>
        <w:tc>
          <w:tcPr>
            <w:tcW w:w="40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552C82" w:rsidRPr="00552C82" w:rsidRDefault="00552C82" w:rsidP="00552C82">
            <w:pPr>
              <w:rPr>
                <w:rFonts w:ascii="Lucida Bright" w:hAnsi="Lucida Bright" w:cs="Calibri"/>
                <w:b/>
                <w:bCs/>
                <w:sz w:val="14"/>
                <w:szCs w:val="14"/>
                <w:lang w:val="es-ES"/>
              </w:rPr>
            </w:pPr>
            <w:r w:rsidRPr="00552C82">
              <w:rPr>
                <w:rFonts w:ascii="Lucida Bright" w:hAnsi="Lucida Bright" w:cs="Calibri"/>
                <w:b/>
                <w:bCs/>
                <w:sz w:val="14"/>
                <w:szCs w:val="14"/>
                <w:lang w:val="es-ES"/>
              </w:rPr>
              <w:t>III. Deudores comerciales y otras cuentas a cobrar</w:t>
            </w:r>
          </w:p>
        </w:tc>
        <w:tc>
          <w:tcPr>
            <w:tcW w:w="1300" w:type="dxa"/>
            <w:tcBorders>
              <w:top w:val="nil"/>
              <w:left w:val="nil"/>
              <w:bottom w:val="single" w:sz="4" w:space="0" w:color="auto"/>
              <w:right w:val="single" w:sz="4" w:space="0" w:color="auto"/>
            </w:tcBorders>
            <w:shd w:val="clear" w:color="000000" w:fill="CCFFCC"/>
            <w:noWrap/>
            <w:vAlign w:val="bottom"/>
            <w:hideMark/>
          </w:tcPr>
          <w:p w:rsidR="00552C82" w:rsidRPr="00552C82" w:rsidRDefault="00552C82" w:rsidP="00552C82">
            <w:pPr>
              <w:jc w:val="right"/>
              <w:rPr>
                <w:rFonts w:ascii="Lucida Bright" w:hAnsi="Lucida Bright" w:cs="Calibri"/>
                <w:b/>
                <w:bCs/>
                <w:sz w:val="14"/>
                <w:szCs w:val="14"/>
                <w:lang w:val="es-ES"/>
              </w:rPr>
            </w:pPr>
            <w:r w:rsidRPr="00552C82">
              <w:rPr>
                <w:rFonts w:ascii="Lucida Bright" w:hAnsi="Lucida Bright" w:cs="Calibri"/>
                <w:b/>
                <w:bCs/>
                <w:sz w:val="14"/>
                <w:szCs w:val="14"/>
                <w:lang w:val="es-ES"/>
              </w:rPr>
              <w:t xml:space="preserve">16.036.203,30 </w:t>
            </w:r>
          </w:p>
        </w:tc>
        <w:tc>
          <w:tcPr>
            <w:tcW w:w="1260" w:type="dxa"/>
            <w:tcBorders>
              <w:top w:val="nil"/>
              <w:left w:val="nil"/>
              <w:bottom w:val="single" w:sz="4" w:space="0" w:color="auto"/>
              <w:right w:val="single" w:sz="4" w:space="0" w:color="auto"/>
            </w:tcBorders>
            <w:shd w:val="clear" w:color="000000" w:fill="CCFFCC"/>
            <w:noWrap/>
            <w:vAlign w:val="bottom"/>
            <w:hideMark/>
          </w:tcPr>
          <w:p w:rsidR="00552C82" w:rsidRPr="00552C82" w:rsidRDefault="00552C82" w:rsidP="00552C82">
            <w:pPr>
              <w:jc w:val="right"/>
              <w:rPr>
                <w:rFonts w:ascii="Lucida Bright" w:hAnsi="Lucida Bright" w:cs="Calibri"/>
                <w:b/>
                <w:bCs/>
                <w:sz w:val="14"/>
                <w:szCs w:val="14"/>
                <w:lang w:val="es-ES"/>
              </w:rPr>
            </w:pPr>
            <w:r w:rsidRPr="00552C82">
              <w:rPr>
                <w:rFonts w:ascii="Lucida Bright" w:hAnsi="Lucida Bright" w:cs="Calibri"/>
                <w:b/>
                <w:bCs/>
                <w:sz w:val="14"/>
                <w:szCs w:val="14"/>
                <w:lang w:val="es-ES"/>
              </w:rPr>
              <w:t xml:space="preserve">14.499.673,73 </w:t>
            </w:r>
          </w:p>
        </w:tc>
      </w:tr>
      <w:tr w:rsidR="00552C82" w:rsidRPr="00552C82" w:rsidTr="00552C82">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center"/>
            <w:hideMark/>
          </w:tcPr>
          <w:p w:rsidR="00552C82" w:rsidRPr="00552C82" w:rsidRDefault="00552C82" w:rsidP="00552C82">
            <w:pPr>
              <w:rPr>
                <w:rFonts w:ascii="Lucida Bright" w:hAnsi="Lucida Bright" w:cs="Calibri"/>
                <w:b/>
                <w:bCs/>
                <w:sz w:val="14"/>
                <w:szCs w:val="14"/>
                <w:lang w:val="es-ES"/>
              </w:rPr>
            </w:pPr>
            <w:r w:rsidRPr="00552C82">
              <w:rPr>
                <w:rFonts w:ascii="Lucida Bright" w:hAnsi="Lucida Bright" w:cs="Calibri"/>
                <w:b/>
                <w:bCs/>
                <w:sz w:val="14"/>
                <w:szCs w:val="14"/>
                <w:lang w:val="es-ES"/>
              </w:rPr>
              <w:t>1. Clientes por ventas y prestaciones de servicios</w:t>
            </w:r>
          </w:p>
        </w:tc>
        <w:tc>
          <w:tcPr>
            <w:tcW w:w="1300" w:type="dxa"/>
            <w:tcBorders>
              <w:top w:val="nil"/>
              <w:left w:val="nil"/>
              <w:bottom w:val="single" w:sz="4" w:space="0" w:color="auto"/>
              <w:right w:val="single" w:sz="4" w:space="0" w:color="auto"/>
            </w:tcBorders>
            <w:shd w:val="clear" w:color="000000" w:fill="FFFFFF"/>
            <w:noWrap/>
            <w:vAlign w:val="bottom"/>
            <w:hideMark/>
          </w:tcPr>
          <w:p w:rsidR="00552C82" w:rsidRPr="00552C82" w:rsidRDefault="00552C82" w:rsidP="00552C82">
            <w:pPr>
              <w:jc w:val="right"/>
              <w:rPr>
                <w:rFonts w:ascii="Lucida Bright" w:hAnsi="Lucida Bright" w:cs="Calibri"/>
                <w:b/>
                <w:bCs/>
                <w:sz w:val="14"/>
                <w:szCs w:val="14"/>
                <w:lang w:val="es-ES"/>
              </w:rPr>
            </w:pPr>
            <w:r w:rsidRPr="00552C82">
              <w:rPr>
                <w:rFonts w:ascii="Lucida Bright" w:hAnsi="Lucida Bright" w:cs="Calibri"/>
                <w:b/>
                <w:bCs/>
                <w:sz w:val="14"/>
                <w:szCs w:val="14"/>
                <w:lang w:val="es-ES"/>
              </w:rPr>
              <w:t xml:space="preserve">15.713.146,85 </w:t>
            </w:r>
          </w:p>
        </w:tc>
        <w:tc>
          <w:tcPr>
            <w:tcW w:w="1260" w:type="dxa"/>
            <w:tcBorders>
              <w:top w:val="nil"/>
              <w:left w:val="nil"/>
              <w:bottom w:val="single" w:sz="4" w:space="0" w:color="auto"/>
              <w:right w:val="single" w:sz="4" w:space="0" w:color="auto"/>
            </w:tcBorders>
            <w:shd w:val="clear" w:color="000000" w:fill="FFFFFF"/>
            <w:noWrap/>
            <w:vAlign w:val="bottom"/>
            <w:hideMark/>
          </w:tcPr>
          <w:p w:rsidR="00552C82" w:rsidRPr="00552C82" w:rsidRDefault="00552C82" w:rsidP="00552C82">
            <w:pPr>
              <w:jc w:val="right"/>
              <w:rPr>
                <w:rFonts w:ascii="Lucida Bright" w:hAnsi="Lucida Bright" w:cs="Calibri"/>
                <w:b/>
                <w:bCs/>
                <w:sz w:val="14"/>
                <w:szCs w:val="14"/>
                <w:lang w:val="es-ES"/>
              </w:rPr>
            </w:pPr>
            <w:r w:rsidRPr="00552C82">
              <w:rPr>
                <w:rFonts w:ascii="Lucida Bright" w:hAnsi="Lucida Bright" w:cs="Calibri"/>
                <w:b/>
                <w:bCs/>
                <w:sz w:val="14"/>
                <w:szCs w:val="14"/>
                <w:lang w:val="es-ES"/>
              </w:rPr>
              <w:t xml:space="preserve">14.037.138,48 </w:t>
            </w:r>
          </w:p>
        </w:tc>
      </w:tr>
      <w:tr w:rsidR="00552C82" w:rsidRPr="00552C82" w:rsidTr="00552C82">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bottom"/>
            <w:hideMark/>
          </w:tcPr>
          <w:p w:rsidR="00552C82" w:rsidRPr="00552C82" w:rsidRDefault="00552C82" w:rsidP="00552C82">
            <w:pPr>
              <w:rPr>
                <w:rFonts w:ascii="Lucida Bright" w:hAnsi="Lucida Bright" w:cs="Calibri"/>
                <w:sz w:val="14"/>
                <w:szCs w:val="14"/>
                <w:lang w:val="es-ES"/>
              </w:rPr>
            </w:pPr>
            <w:r w:rsidRPr="00552C82">
              <w:rPr>
                <w:rFonts w:ascii="Lucida Bright" w:hAnsi="Lucida Bright" w:cs="Calibri"/>
                <w:sz w:val="14"/>
                <w:szCs w:val="14"/>
                <w:lang w:val="es-ES"/>
              </w:rPr>
              <w:t>Clientes</w:t>
            </w:r>
          </w:p>
        </w:tc>
        <w:tc>
          <w:tcPr>
            <w:tcW w:w="1300" w:type="dxa"/>
            <w:tcBorders>
              <w:top w:val="nil"/>
              <w:left w:val="nil"/>
              <w:bottom w:val="single" w:sz="4" w:space="0" w:color="auto"/>
              <w:right w:val="single" w:sz="4" w:space="0" w:color="auto"/>
            </w:tcBorders>
            <w:shd w:val="clear" w:color="000000" w:fill="FFFFFF"/>
            <w:noWrap/>
            <w:vAlign w:val="bottom"/>
            <w:hideMark/>
          </w:tcPr>
          <w:p w:rsidR="00552C82" w:rsidRPr="00552C82" w:rsidRDefault="00552C82" w:rsidP="00552C82">
            <w:pPr>
              <w:jc w:val="right"/>
              <w:rPr>
                <w:rFonts w:ascii="Lucida Bright" w:hAnsi="Lucida Bright" w:cs="Calibri"/>
                <w:sz w:val="14"/>
                <w:szCs w:val="14"/>
                <w:lang w:val="es-ES"/>
              </w:rPr>
            </w:pPr>
            <w:r w:rsidRPr="00552C82">
              <w:rPr>
                <w:rFonts w:ascii="Lucida Bright" w:hAnsi="Lucida Bright" w:cs="Calibri"/>
                <w:sz w:val="14"/>
                <w:szCs w:val="14"/>
                <w:lang w:val="es-ES"/>
              </w:rPr>
              <w:t xml:space="preserve">16.715.453,88 </w:t>
            </w:r>
          </w:p>
        </w:tc>
        <w:tc>
          <w:tcPr>
            <w:tcW w:w="1260" w:type="dxa"/>
            <w:tcBorders>
              <w:top w:val="nil"/>
              <w:left w:val="nil"/>
              <w:bottom w:val="single" w:sz="4" w:space="0" w:color="auto"/>
              <w:right w:val="single" w:sz="4" w:space="0" w:color="auto"/>
            </w:tcBorders>
            <w:shd w:val="clear" w:color="000000" w:fill="FFFFFF"/>
            <w:noWrap/>
            <w:vAlign w:val="bottom"/>
            <w:hideMark/>
          </w:tcPr>
          <w:p w:rsidR="00552C82" w:rsidRPr="00552C82" w:rsidRDefault="00552C82" w:rsidP="00552C82">
            <w:pPr>
              <w:jc w:val="right"/>
              <w:rPr>
                <w:rFonts w:ascii="Lucida Bright" w:hAnsi="Lucida Bright" w:cs="Calibri"/>
                <w:sz w:val="14"/>
                <w:szCs w:val="14"/>
                <w:lang w:val="es-ES"/>
              </w:rPr>
            </w:pPr>
            <w:r w:rsidRPr="00552C82">
              <w:rPr>
                <w:rFonts w:ascii="Lucida Bright" w:hAnsi="Lucida Bright" w:cs="Calibri"/>
                <w:sz w:val="14"/>
                <w:szCs w:val="14"/>
                <w:lang w:val="es-ES"/>
              </w:rPr>
              <w:t xml:space="preserve">15.004.431,10 </w:t>
            </w:r>
          </w:p>
        </w:tc>
      </w:tr>
      <w:tr w:rsidR="00552C82" w:rsidRPr="00552C82" w:rsidTr="00552C82">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bottom"/>
            <w:hideMark/>
          </w:tcPr>
          <w:p w:rsidR="00552C82" w:rsidRPr="00552C82" w:rsidRDefault="00552C82" w:rsidP="00552C82">
            <w:pPr>
              <w:rPr>
                <w:rFonts w:ascii="Lucida Bright" w:hAnsi="Lucida Bright" w:cs="Calibri"/>
                <w:sz w:val="14"/>
                <w:szCs w:val="14"/>
                <w:lang w:val="es-ES"/>
              </w:rPr>
            </w:pPr>
            <w:r w:rsidRPr="00552C82">
              <w:rPr>
                <w:rFonts w:ascii="Lucida Bright" w:hAnsi="Lucida Bright" w:cs="Calibri"/>
                <w:sz w:val="14"/>
                <w:szCs w:val="14"/>
                <w:lang w:val="es-ES"/>
              </w:rPr>
              <w:t>Deterioro de valor</w:t>
            </w:r>
          </w:p>
        </w:tc>
        <w:tc>
          <w:tcPr>
            <w:tcW w:w="1300" w:type="dxa"/>
            <w:tcBorders>
              <w:top w:val="nil"/>
              <w:left w:val="nil"/>
              <w:bottom w:val="single" w:sz="4" w:space="0" w:color="auto"/>
              <w:right w:val="single" w:sz="4" w:space="0" w:color="auto"/>
            </w:tcBorders>
            <w:shd w:val="clear" w:color="000000" w:fill="FFFFFF"/>
            <w:noWrap/>
            <w:vAlign w:val="bottom"/>
            <w:hideMark/>
          </w:tcPr>
          <w:p w:rsidR="00552C82" w:rsidRPr="00552C82" w:rsidRDefault="00552C82" w:rsidP="00552C82">
            <w:pPr>
              <w:jc w:val="right"/>
              <w:rPr>
                <w:rFonts w:ascii="Lucida Bright" w:hAnsi="Lucida Bright" w:cs="Calibri"/>
                <w:sz w:val="14"/>
                <w:szCs w:val="14"/>
                <w:lang w:val="es-ES"/>
              </w:rPr>
            </w:pPr>
            <w:r w:rsidRPr="00552C82">
              <w:rPr>
                <w:rFonts w:ascii="Lucida Bright" w:hAnsi="Lucida Bright" w:cs="Calibri"/>
                <w:sz w:val="14"/>
                <w:szCs w:val="14"/>
                <w:lang w:val="es-ES"/>
              </w:rPr>
              <w:t xml:space="preserve">(1.002.307,03) </w:t>
            </w:r>
          </w:p>
        </w:tc>
        <w:tc>
          <w:tcPr>
            <w:tcW w:w="1260" w:type="dxa"/>
            <w:tcBorders>
              <w:top w:val="nil"/>
              <w:left w:val="nil"/>
              <w:bottom w:val="single" w:sz="4" w:space="0" w:color="auto"/>
              <w:right w:val="single" w:sz="4" w:space="0" w:color="auto"/>
            </w:tcBorders>
            <w:shd w:val="clear" w:color="000000" w:fill="FFFFFF"/>
            <w:noWrap/>
            <w:vAlign w:val="bottom"/>
            <w:hideMark/>
          </w:tcPr>
          <w:p w:rsidR="00552C82" w:rsidRPr="00552C82" w:rsidRDefault="00552C82" w:rsidP="00552C82">
            <w:pPr>
              <w:jc w:val="right"/>
              <w:rPr>
                <w:rFonts w:ascii="Lucida Bright" w:hAnsi="Lucida Bright" w:cs="Calibri"/>
                <w:sz w:val="14"/>
                <w:szCs w:val="14"/>
                <w:lang w:val="es-ES"/>
              </w:rPr>
            </w:pPr>
            <w:r w:rsidRPr="00552C82">
              <w:rPr>
                <w:rFonts w:ascii="Lucida Bright" w:hAnsi="Lucida Bright" w:cs="Calibri"/>
                <w:sz w:val="14"/>
                <w:szCs w:val="14"/>
                <w:lang w:val="es-ES"/>
              </w:rPr>
              <w:t xml:space="preserve">(967.292,62) </w:t>
            </w:r>
          </w:p>
        </w:tc>
      </w:tr>
      <w:tr w:rsidR="00552C82" w:rsidRPr="00552C82" w:rsidTr="00552C82">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center"/>
            <w:hideMark/>
          </w:tcPr>
          <w:p w:rsidR="00552C82" w:rsidRPr="00552C82" w:rsidRDefault="00552C82" w:rsidP="00552C82">
            <w:pPr>
              <w:rPr>
                <w:rFonts w:ascii="Lucida Bright" w:hAnsi="Lucida Bright" w:cs="Calibri"/>
                <w:b/>
                <w:bCs/>
                <w:sz w:val="14"/>
                <w:szCs w:val="14"/>
                <w:lang w:val="es-ES"/>
              </w:rPr>
            </w:pPr>
            <w:r w:rsidRPr="00552C82">
              <w:rPr>
                <w:rFonts w:ascii="Lucida Bright" w:hAnsi="Lucida Bright" w:cs="Calibri"/>
                <w:b/>
                <w:bCs/>
                <w:sz w:val="14"/>
                <w:szCs w:val="14"/>
                <w:lang w:val="es-ES"/>
              </w:rPr>
              <w:t xml:space="preserve">2. Clientes y deudores, </w:t>
            </w:r>
            <w:proofErr w:type="spellStart"/>
            <w:r w:rsidRPr="00552C82">
              <w:rPr>
                <w:rFonts w:ascii="Lucida Bright" w:hAnsi="Lucida Bright" w:cs="Calibri"/>
                <w:b/>
                <w:bCs/>
                <w:sz w:val="14"/>
                <w:szCs w:val="14"/>
                <w:lang w:val="es-ES"/>
              </w:rPr>
              <w:t>empr</w:t>
            </w:r>
            <w:proofErr w:type="spellEnd"/>
            <w:r w:rsidRPr="00552C82">
              <w:rPr>
                <w:rFonts w:ascii="Lucida Bright" w:hAnsi="Lucida Bright" w:cs="Calibri"/>
                <w:b/>
                <w:bCs/>
                <w:sz w:val="14"/>
                <w:szCs w:val="14"/>
                <w:lang w:val="es-ES"/>
              </w:rPr>
              <w:t>. del grupo y asociadas</w:t>
            </w:r>
          </w:p>
        </w:tc>
        <w:tc>
          <w:tcPr>
            <w:tcW w:w="1300" w:type="dxa"/>
            <w:tcBorders>
              <w:top w:val="nil"/>
              <w:left w:val="nil"/>
              <w:bottom w:val="single" w:sz="4" w:space="0" w:color="auto"/>
              <w:right w:val="single" w:sz="4" w:space="0" w:color="auto"/>
            </w:tcBorders>
            <w:shd w:val="clear" w:color="000000" w:fill="FFFFFF"/>
            <w:noWrap/>
            <w:vAlign w:val="bottom"/>
            <w:hideMark/>
          </w:tcPr>
          <w:p w:rsidR="00552C82" w:rsidRPr="00552C82" w:rsidRDefault="00552C82" w:rsidP="00552C82">
            <w:pPr>
              <w:jc w:val="right"/>
              <w:rPr>
                <w:rFonts w:ascii="Lucida Bright" w:hAnsi="Lucida Bright" w:cs="Calibri"/>
                <w:b/>
                <w:bCs/>
                <w:sz w:val="14"/>
                <w:szCs w:val="14"/>
                <w:lang w:val="es-ES"/>
              </w:rPr>
            </w:pPr>
            <w:r w:rsidRPr="00552C82">
              <w:rPr>
                <w:rFonts w:ascii="Lucida Bright" w:hAnsi="Lucida Bright" w:cs="Calibri"/>
                <w:b/>
                <w:bCs/>
                <w:sz w:val="14"/>
                <w:szCs w:val="14"/>
                <w:lang w:val="es-ES"/>
              </w:rPr>
              <w:t xml:space="preserve">- </w:t>
            </w:r>
          </w:p>
        </w:tc>
        <w:tc>
          <w:tcPr>
            <w:tcW w:w="1260" w:type="dxa"/>
            <w:tcBorders>
              <w:top w:val="nil"/>
              <w:left w:val="nil"/>
              <w:bottom w:val="single" w:sz="4" w:space="0" w:color="auto"/>
              <w:right w:val="single" w:sz="4" w:space="0" w:color="auto"/>
            </w:tcBorders>
            <w:shd w:val="clear" w:color="000000" w:fill="FFFFFF"/>
            <w:noWrap/>
            <w:vAlign w:val="bottom"/>
            <w:hideMark/>
          </w:tcPr>
          <w:p w:rsidR="00552C82" w:rsidRPr="00552C82" w:rsidRDefault="00552C82" w:rsidP="00552C82">
            <w:pPr>
              <w:jc w:val="right"/>
              <w:rPr>
                <w:rFonts w:ascii="Lucida Bright" w:hAnsi="Lucida Bright" w:cs="Calibri"/>
                <w:b/>
                <w:bCs/>
                <w:sz w:val="14"/>
                <w:szCs w:val="14"/>
                <w:lang w:val="es-ES"/>
              </w:rPr>
            </w:pPr>
            <w:r w:rsidRPr="00552C82">
              <w:rPr>
                <w:rFonts w:ascii="Lucida Bright" w:hAnsi="Lucida Bright" w:cs="Calibri"/>
                <w:b/>
                <w:bCs/>
                <w:sz w:val="14"/>
                <w:szCs w:val="14"/>
                <w:lang w:val="es-ES"/>
              </w:rPr>
              <w:t xml:space="preserve">150.282,79 </w:t>
            </w:r>
          </w:p>
        </w:tc>
      </w:tr>
      <w:tr w:rsidR="00552C82" w:rsidRPr="00552C82" w:rsidTr="00552C82">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bottom"/>
            <w:hideMark/>
          </w:tcPr>
          <w:p w:rsidR="00552C82" w:rsidRPr="00552C82" w:rsidRDefault="00552C82" w:rsidP="00552C82">
            <w:pPr>
              <w:rPr>
                <w:rFonts w:ascii="Lucida Bright" w:hAnsi="Lucida Bright" w:cs="Calibri"/>
                <w:sz w:val="14"/>
                <w:szCs w:val="14"/>
                <w:lang w:val="es-ES"/>
              </w:rPr>
            </w:pPr>
            <w:r w:rsidRPr="00552C82">
              <w:rPr>
                <w:rFonts w:ascii="Lucida Bright" w:hAnsi="Lucida Bright" w:cs="Calibri"/>
                <w:sz w:val="14"/>
                <w:szCs w:val="14"/>
                <w:lang w:val="es-ES"/>
              </w:rPr>
              <w:t>OPPE - deudor principales e intereses litigios tarifarios</w:t>
            </w:r>
          </w:p>
        </w:tc>
        <w:tc>
          <w:tcPr>
            <w:tcW w:w="1300" w:type="dxa"/>
            <w:tcBorders>
              <w:top w:val="nil"/>
              <w:left w:val="nil"/>
              <w:bottom w:val="single" w:sz="4" w:space="0" w:color="auto"/>
              <w:right w:val="single" w:sz="4" w:space="0" w:color="auto"/>
            </w:tcBorders>
            <w:shd w:val="clear" w:color="000000" w:fill="FFFFFF"/>
            <w:noWrap/>
            <w:vAlign w:val="bottom"/>
            <w:hideMark/>
          </w:tcPr>
          <w:p w:rsidR="00552C82" w:rsidRPr="00552C82" w:rsidRDefault="00552C82" w:rsidP="00552C82">
            <w:pPr>
              <w:rPr>
                <w:rFonts w:ascii="Lucida Bright" w:hAnsi="Lucida Bright" w:cs="Calibri"/>
                <w:sz w:val="14"/>
                <w:szCs w:val="14"/>
                <w:lang w:val="es-ES"/>
              </w:rPr>
            </w:pPr>
            <w:r w:rsidRPr="00552C82">
              <w:rPr>
                <w:rFonts w:ascii="Lucida Bright" w:hAnsi="Lucida Bright" w:cs="Calibri"/>
                <w:sz w:val="14"/>
                <w:szCs w:val="14"/>
                <w:lang w:val="es-ES"/>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552C82" w:rsidRPr="00552C82" w:rsidRDefault="00552C82" w:rsidP="00552C82">
            <w:pPr>
              <w:jc w:val="right"/>
              <w:rPr>
                <w:rFonts w:ascii="Lucida Bright" w:hAnsi="Lucida Bright" w:cs="Calibri"/>
                <w:sz w:val="14"/>
                <w:szCs w:val="14"/>
                <w:lang w:val="es-ES"/>
              </w:rPr>
            </w:pPr>
            <w:r w:rsidRPr="00552C82">
              <w:rPr>
                <w:rFonts w:ascii="Lucida Bright" w:hAnsi="Lucida Bright" w:cs="Calibri"/>
                <w:sz w:val="14"/>
                <w:szCs w:val="14"/>
                <w:lang w:val="es-ES"/>
              </w:rPr>
              <w:t xml:space="preserve">150.282,79 </w:t>
            </w:r>
          </w:p>
        </w:tc>
      </w:tr>
      <w:tr w:rsidR="00552C82" w:rsidRPr="00552C82" w:rsidTr="00552C82">
        <w:trPr>
          <w:trHeight w:val="300"/>
        </w:trPr>
        <w:tc>
          <w:tcPr>
            <w:tcW w:w="4060" w:type="dxa"/>
            <w:tcBorders>
              <w:top w:val="nil"/>
              <w:left w:val="single" w:sz="4" w:space="0" w:color="auto"/>
              <w:bottom w:val="single" w:sz="4" w:space="0" w:color="auto"/>
              <w:right w:val="single" w:sz="4" w:space="0" w:color="auto"/>
            </w:tcBorders>
            <w:shd w:val="clear" w:color="000000" w:fill="FFFFFF"/>
            <w:vAlign w:val="center"/>
            <w:hideMark/>
          </w:tcPr>
          <w:p w:rsidR="00552C82" w:rsidRPr="00552C82" w:rsidRDefault="00552C82" w:rsidP="00552C82">
            <w:pPr>
              <w:rPr>
                <w:rFonts w:ascii="Lucida Bright" w:hAnsi="Lucida Bright" w:cs="Calibri"/>
                <w:b/>
                <w:bCs/>
                <w:sz w:val="14"/>
                <w:szCs w:val="14"/>
                <w:lang w:val="es-ES"/>
              </w:rPr>
            </w:pPr>
            <w:r w:rsidRPr="00552C82">
              <w:rPr>
                <w:rFonts w:ascii="Lucida Bright" w:hAnsi="Lucida Bright" w:cs="Calibri"/>
                <w:b/>
                <w:bCs/>
                <w:sz w:val="14"/>
                <w:szCs w:val="14"/>
                <w:lang w:val="es-ES"/>
              </w:rPr>
              <w:t>3. Deudores varios</w:t>
            </w:r>
          </w:p>
        </w:tc>
        <w:tc>
          <w:tcPr>
            <w:tcW w:w="1300" w:type="dxa"/>
            <w:tcBorders>
              <w:top w:val="nil"/>
              <w:left w:val="nil"/>
              <w:bottom w:val="single" w:sz="4" w:space="0" w:color="auto"/>
              <w:right w:val="single" w:sz="4" w:space="0" w:color="auto"/>
            </w:tcBorders>
            <w:shd w:val="clear" w:color="000000" w:fill="FFFFFF"/>
            <w:noWrap/>
            <w:vAlign w:val="bottom"/>
            <w:hideMark/>
          </w:tcPr>
          <w:p w:rsidR="00552C82" w:rsidRPr="00552C82" w:rsidRDefault="00552C82" w:rsidP="00552C82">
            <w:pPr>
              <w:jc w:val="right"/>
              <w:rPr>
                <w:rFonts w:ascii="Lucida Bright" w:hAnsi="Lucida Bright" w:cs="Calibri"/>
                <w:b/>
                <w:bCs/>
                <w:sz w:val="14"/>
                <w:szCs w:val="14"/>
                <w:lang w:val="es-ES"/>
              </w:rPr>
            </w:pPr>
            <w:r w:rsidRPr="00552C82">
              <w:rPr>
                <w:rFonts w:ascii="Lucida Bright" w:hAnsi="Lucida Bright" w:cs="Calibri"/>
                <w:b/>
                <w:bCs/>
                <w:sz w:val="14"/>
                <w:szCs w:val="14"/>
                <w:lang w:val="es-ES"/>
              </w:rPr>
              <w:t xml:space="preserve">323.056,45 </w:t>
            </w:r>
          </w:p>
        </w:tc>
        <w:tc>
          <w:tcPr>
            <w:tcW w:w="1260" w:type="dxa"/>
            <w:tcBorders>
              <w:top w:val="nil"/>
              <w:left w:val="nil"/>
              <w:bottom w:val="single" w:sz="4" w:space="0" w:color="auto"/>
              <w:right w:val="single" w:sz="4" w:space="0" w:color="auto"/>
            </w:tcBorders>
            <w:shd w:val="clear" w:color="000000" w:fill="FFFFFF"/>
            <w:noWrap/>
            <w:vAlign w:val="bottom"/>
            <w:hideMark/>
          </w:tcPr>
          <w:p w:rsidR="00552C82" w:rsidRPr="00552C82" w:rsidRDefault="00552C82" w:rsidP="00552C82">
            <w:pPr>
              <w:jc w:val="right"/>
              <w:rPr>
                <w:rFonts w:ascii="Lucida Bright" w:hAnsi="Lucida Bright" w:cs="Calibri"/>
                <w:b/>
                <w:bCs/>
                <w:sz w:val="14"/>
                <w:szCs w:val="14"/>
                <w:lang w:val="es-ES"/>
              </w:rPr>
            </w:pPr>
            <w:r w:rsidRPr="00552C82">
              <w:rPr>
                <w:rFonts w:ascii="Lucida Bright" w:hAnsi="Lucida Bright" w:cs="Calibri"/>
                <w:b/>
                <w:bCs/>
                <w:sz w:val="14"/>
                <w:szCs w:val="14"/>
                <w:lang w:val="es-ES"/>
              </w:rPr>
              <w:t xml:space="preserve">312.252,46 </w:t>
            </w:r>
          </w:p>
        </w:tc>
      </w:tr>
      <w:tr w:rsidR="00552C82" w:rsidRPr="00552C82" w:rsidTr="00552C82">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bottom"/>
            <w:hideMark/>
          </w:tcPr>
          <w:p w:rsidR="00552C82" w:rsidRPr="00552C82" w:rsidRDefault="00552C82" w:rsidP="00552C82">
            <w:pPr>
              <w:rPr>
                <w:rFonts w:ascii="Lucida Bright" w:hAnsi="Lucida Bright" w:cs="Calibri"/>
                <w:sz w:val="14"/>
                <w:szCs w:val="14"/>
                <w:lang w:val="es-ES"/>
              </w:rPr>
            </w:pPr>
            <w:r w:rsidRPr="00552C82">
              <w:rPr>
                <w:rFonts w:ascii="Lucida Bright" w:hAnsi="Lucida Bright" w:cs="Calibri"/>
                <w:sz w:val="14"/>
                <w:szCs w:val="14"/>
                <w:lang w:val="es-ES"/>
              </w:rPr>
              <w:t>Deudores varios</w:t>
            </w:r>
          </w:p>
        </w:tc>
        <w:tc>
          <w:tcPr>
            <w:tcW w:w="1300" w:type="dxa"/>
            <w:tcBorders>
              <w:top w:val="nil"/>
              <w:left w:val="nil"/>
              <w:bottom w:val="single" w:sz="4" w:space="0" w:color="auto"/>
              <w:right w:val="single" w:sz="4" w:space="0" w:color="auto"/>
            </w:tcBorders>
            <w:shd w:val="clear" w:color="000000" w:fill="FFFFFF"/>
            <w:noWrap/>
            <w:vAlign w:val="bottom"/>
            <w:hideMark/>
          </w:tcPr>
          <w:p w:rsidR="00552C82" w:rsidRPr="00552C82" w:rsidRDefault="00552C82" w:rsidP="00552C82">
            <w:pPr>
              <w:jc w:val="right"/>
              <w:rPr>
                <w:rFonts w:ascii="Lucida Bright" w:hAnsi="Lucida Bright" w:cs="Calibri"/>
                <w:sz w:val="14"/>
                <w:szCs w:val="14"/>
                <w:lang w:val="es-ES"/>
              </w:rPr>
            </w:pPr>
            <w:r w:rsidRPr="00552C82">
              <w:rPr>
                <w:rFonts w:ascii="Lucida Bright" w:hAnsi="Lucida Bright" w:cs="Calibri"/>
                <w:sz w:val="14"/>
                <w:szCs w:val="14"/>
                <w:lang w:val="es-ES"/>
              </w:rPr>
              <w:t xml:space="preserve">113.333,33 </w:t>
            </w:r>
          </w:p>
        </w:tc>
        <w:tc>
          <w:tcPr>
            <w:tcW w:w="1260" w:type="dxa"/>
            <w:tcBorders>
              <w:top w:val="nil"/>
              <w:left w:val="nil"/>
              <w:bottom w:val="single" w:sz="4" w:space="0" w:color="auto"/>
              <w:right w:val="single" w:sz="4" w:space="0" w:color="auto"/>
            </w:tcBorders>
            <w:shd w:val="clear" w:color="000000" w:fill="FFFFFF"/>
            <w:noWrap/>
            <w:vAlign w:val="bottom"/>
            <w:hideMark/>
          </w:tcPr>
          <w:p w:rsidR="00552C82" w:rsidRPr="00552C82" w:rsidRDefault="00552C82" w:rsidP="00552C82">
            <w:pPr>
              <w:jc w:val="right"/>
              <w:rPr>
                <w:rFonts w:ascii="Lucida Bright" w:hAnsi="Lucida Bright" w:cs="Calibri"/>
                <w:sz w:val="14"/>
                <w:szCs w:val="14"/>
                <w:lang w:val="es-ES"/>
              </w:rPr>
            </w:pPr>
            <w:r w:rsidRPr="00552C82">
              <w:rPr>
                <w:rFonts w:ascii="Lucida Bright" w:hAnsi="Lucida Bright" w:cs="Calibri"/>
                <w:sz w:val="14"/>
                <w:szCs w:val="14"/>
                <w:lang w:val="es-ES"/>
              </w:rPr>
              <w:t xml:space="preserve">113.144,29 </w:t>
            </w:r>
          </w:p>
        </w:tc>
      </w:tr>
      <w:tr w:rsidR="00552C82" w:rsidRPr="00552C82" w:rsidTr="00552C82">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bottom"/>
            <w:hideMark/>
          </w:tcPr>
          <w:p w:rsidR="00552C82" w:rsidRPr="00552C82" w:rsidRDefault="00552C82" w:rsidP="00552C82">
            <w:pPr>
              <w:rPr>
                <w:rFonts w:ascii="Lucida Bright" w:hAnsi="Lucida Bright" w:cs="Calibri"/>
                <w:sz w:val="14"/>
                <w:szCs w:val="14"/>
                <w:lang w:val="es-ES"/>
              </w:rPr>
            </w:pPr>
            <w:r w:rsidRPr="00552C82">
              <w:rPr>
                <w:rFonts w:ascii="Lucida Bright" w:hAnsi="Lucida Bright" w:cs="Calibri"/>
                <w:sz w:val="14"/>
                <w:szCs w:val="14"/>
                <w:lang w:val="es-ES"/>
              </w:rPr>
              <w:t>Anticipos a acreedores</w:t>
            </w:r>
          </w:p>
        </w:tc>
        <w:tc>
          <w:tcPr>
            <w:tcW w:w="1300" w:type="dxa"/>
            <w:tcBorders>
              <w:top w:val="nil"/>
              <w:left w:val="nil"/>
              <w:bottom w:val="single" w:sz="4" w:space="0" w:color="auto"/>
              <w:right w:val="single" w:sz="4" w:space="0" w:color="auto"/>
            </w:tcBorders>
            <w:shd w:val="clear" w:color="000000" w:fill="FFFFFF"/>
            <w:noWrap/>
            <w:vAlign w:val="bottom"/>
            <w:hideMark/>
          </w:tcPr>
          <w:p w:rsidR="00552C82" w:rsidRPr="00552C82" w:rsidRDefault="00552C82" w:rsidP="00552C82">
            <w:pPr>
              <w:jc w:val="right"/>
              <w:rPr>
                <w:rFonts w:ascii="Lucida Bright" w:hAnsi="Lucida Bright" w:cs="Calibri"/>
                <w:sz w:val="14"/>
                <w:szCs w:val="14"/>
                <w:lang w:val="es-ES"/>
              </w:rPr>
            </w:pPr>
            <w:r w:rsidRPr="00552C82">
              <w:rPr>
                <w:rFonts w:ascii="Lucida Bright" w:hAnsi="Lucida Bright" w:cs="Calibri"/>
                <w:sz w:val="14"/>
                <w:szCs w:val="14"/>
                <w:lang w:val="es-ES"/>
              </w:rPr>
              <w:t xml:space="preserve">2.049,45 </w:t>
            </w:r>
          </w:p>
        </w:tc>
        <w:tc>
          <w:tcPr>
            <w:tcW w:w="1260" w:type="dxa"/>
            <w:tcBorders>
              <w:top w:val="nil"/>
              <w:left w:val="nil"/>
              <w:bottom w:val="single" w:sz="4" w:space="0" w:color="auto"/>
              <w:right w:val="single" w:sz="4" w:space="0" w:color="auto"/>
            </w:tcBorders>
            <w:shd w:val="clear" w:color="000000" w:fill="FFFFFF"/>
            <w:noWrap/>
            <w:vAlign w:val="bottom"/>
            <w:hideMark/>
          </w:tcPr>
          <w:p w:rsidR="00552C82" w:rsidRPr="00552C82" w:rsidRDefault="00552C82" w:rsidP="00552C82">
            <w:pPr>
              <w:jc w:val="right"/>
              <w:rPr>
                <w:rFonts w:ascii="Lucida Bright" w:hAnsi="Lucida Bright" w:cs="Calibri"/>
                <w:sz w:val="14"/>
                <w:szCs w:val="14"/>
                <w:lang w:val="es-ES"/>
              </w:rPr>
            </w:pPr>
            <w:r w:rsidRPr="00552C82">
              <w:rPr>
                <w:rFonts w:ascii="Lucida Bright" w:hAnsi="Lucida Bright" w:cs="Calibri"/>
                <w:sz w:val="14"/>
                <w:szCs w:val="14"/>
                <w:lang w:val="es-ES"/>
              </w:rPr>
              <w:t xml:space="preserve">1.269,52 </w:t>
            </w:r>
          </w:p>
        </w:tc>
      </w:tr>
      <w:tr w:rsidR="00552C82" w:rsidRPr="00552C82" w:rsidTr="00552C82">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bottom"/>
            <w:hideMark/>
          </w:tcPr>
          <w:p w:rsidR="00552C82" w:rsidRPr="00552C82" w:rsidRDefault="00552C82" w:rsidP="00552C82">
            <w:pPr>
              <w:rPr>
                <w:rFonts w:ascii="Lucida Bright" w:hAnsi="Lucida Bright" w:cs="Calibri"/>
                <w:sz w:val="14"/>
                <w:szCs w:val="14"/>
                <w:lang w:val="es-ES"/>
              </w:rPr>
            </w:pPr>
            <w:r w:rsidRPr="00552C82">
              <w:rPr>
                <w:rFonts w:ascii="Lucida Bright" w:hAnsi="Lucida Bright" w:cs="Calibri"/>
                <w:sz w:val="14"/>
                <w:szCs w:val="14"/>
                <w:lang w:val="es-ES"/>
              </w:rPr>
              <w:t>Créditos al personal</w:t>
            </w:r>
          </w:p>
        </w:tc>
        <w:tc>
          <w:tcPr>
            <w:tcW w:w="1300" w:type="dxa"/>
            <w:tcBorders>
              <w:top w:val="nil"/>
              <w:left w:val="nil"/>
              <w:bottom w:val="single" w:sz="4" w:space="0" w:color="auto"/>
              <w:right w:val="single" w:sz="4" w:space="0" w:color="auto"/>
            </w:tcBorders>
            <w:shd w:val="clear" w:color="000000" w:fill="FFFFFF"/>
            <w:noWrap/>
            <w:vAlign w:val="bottom"/>
            <w:hideMark/>
          </w:tcPr>
          <w:p w:rsidR="00552C82" w:rsidRPr="00552C82" w:rsidRDefault="00552C82" w:rsidP="00552C82">
            <w:pPr>
              <w:jc w:val="right"/>
              <w:rPr>
                <w:rFonts w:ascii="Lucida Bright" w:hAnsi="Lucida Bright" w:cs="Calibri"/>
                <w:sz w:val="14"/>
                <w:szCs w:val="14"/>
                <w:lang w:val="es-ES"/>
              </w:rPr>
            </w:pPr>
            <w:r w:rsidRPr="00552C82">
              <w:rPr>
                <w:rFonts w:ascii="Lucida Bright" w:hAnsi="Lucida Bright" w:cs="Calibri"/>
                <w:sz w:val="14"/>
                <w:szCs w:val="14"/>
                <w:lang w:val="es-ES"/>
              </w:rPr>
              <w:t xml:space="preserve">205.531,59 </w:t>
            </w:r>
          </w:p>
        </w:tc>
        <w:tc>
          <w:tcPr>
            <w:tcW w:w="1260" w:type="dxa"/>
            <w:tcBorders>
              <w:top w:val="nil"/>
              <w:left w:val="nil"/>
              <w:bottom w:val="single" w:sz="4" w:space="0" w:color="auto"/>
              <w:right w:val="single" w:sz="4" w:space="0" w:color="auto"/>
            </w:tcBorders>
            <w:shd w:val="clear" w:color="000000" w:fill="FFFFFF"/>
            <w:noWrap/>
            <w:vAlign w:val="bottom"/>
            <w:hideMark/>
          </w:tcPr>
          <w:p w:rsidR="00552C82" w:rsidRPr="00552C82" w:rsidRDefault="00552C82" w:rsidP="00552C82">
            <w:pPr>
              <w:jc w:val="right"/>
              <w:rPr>
                <w:rFonts w:ascii="Lucida Bright" w:hAnsi="Lucida Bright" w:cs="Calibri"/>
                <w:sz w:val="14"/>
                <w:szCs w:val="14"/>
                <w:lang w:val="es-ES"/>
              </w:rPr>
            </w:pPr>
            <w:r w:rsidRPr="00552C82">
              <w:rPr>
                <w:rFonts w:ascii="Lucida Bright" w:hAnsi="Lucida Bright" w:cs="Calibri"/>
                <w:sz w:val="14"/>
                <w:szCs w:val="14"/>
                <w:lang w:val="es-ES"/>
              </w:rPr>
              <w:t xml:space="preserve">196.858,19 </w:t>
            </w:r>
          </w:p>
        </w:tc>
      </w:tr>
      <w:tr w:rsidR="00552C82" w:rsidRPr="00552C82" w:rsidTr="00552C82">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bottom"/>
            <w:hideMark/>
          </w:tcPr>
          <w:p w:rsidR="00552C82" w:rsidRPr="00552C82" w:rsidRDefault="00552C82" w:rsidP="00552C82">
            <w:pPr>
              <w:rPr>
                <w:rFonts w:ascii="Lucida Bright" w:hAnsi="Lucida Bright" w:cs="Calibri"/>
                <w:sz w:val="14"/>
                <w:szCs w:val="14"/>
                <w:lang w:val="es-ES"/>
              </w:rPr>
            </w:pPr>
            <w:r w:rsidRPr="00552C82">
              <w:rPr>
                <w:rFonts w:ascii="Lucida Bright" w:hAnsi="Lucida Bright" w:cs="Calibri"/>
                <w:sz w:val="14"/>
                <w:szCs w:val="14"/>
                <w:lang w:val="es-ES"/>
              </w:rPr>
              <w:t>Anticipos remuneraciones</w:t>
            </w:r>
          </w:p>
        </w:tc>
        <w:tc>
          <w:tcPr>
            <w:tcW w:w="1300" w:type="dxa"/>
            <w:tcBorders>
              <w:top w:val="nil"/>
              <w:left w:val="nil"/>
              <w:bottom w:val="single" w:sz="4" w:space="0" w:color="auto"/>
              <w:right w:val="single" w:sz="4" w:space="0" w:color="auto"/>
            </w:tcBorders>
            <w:shd w:val="clear" w:color="000000" w:fill="FFFFFF"/>
            <w:noWrap/>
            <w:vAlign w:val="bottom"/>
            <w:hideMark/>
          </w:tcPr>
          <w:p w:rsidR="00552C82" w:rsidRPr="00552C82" w:rsidRDefault="00552C82" w:rsidP="00552C82">
            <w:pPr>
              <w:jc w:val="right"/>
              <w:rPr>
                <w:rFonts w:ascii="Lucida Bright" w:hAnsi="Lucida Bright" w:cs="Calibri"/>
                <w:sz w:val="14"/>
                <w:szCs w:val="14"/>
                <w:lang w:val="es-ES"/>
              </w:rPr>
            </w:pPr>
            <w:r w:rsidRPr="00552C82">
              <w:rPr>
                <w:rFonts w:ascii="Lucida Bright" w:hAnsi="Lucida Bright" w:cs="Calibri"/>
                <w:sz w:val="14"/>
                <w:szCs w:val="14"/>
                <w:lang w:val="es-ES"/>
              </w:rPr>
              <w:t xml:space="preserve">2.142,08 </w:t>
            </w:r>
          </w:p>
        </w:tc>
        <w:tc>
          <w:tcPr>
            <w:tcW w:w="1260" w:type="dxa"/>
            <w:tcBorders>
              <w:top w:val="nil"/>
              <w:left w:val="nil"/>
              <w:bottom w:val="single" w:sz="4" w:space="0" w:color="auto"/>
              <w:right w:val="single" w:sz="4" w:space="0" w:color="auto"/>
            </w:tcBorders>
            <w:shd w:val="clear" w:color="000000" w:fill="FFFFFF"/>
            <w:noWrap/>
            <w:vAlign w:val="bottom"/>
            <w:hideMark/>
          </w:tcPr>
          <w:p w:rsidR="00552C82" w:rsidRPr="00552C82" w:rsidRDefault="00552C82" w:rsidP="00552C82">
            <w:pPr>
              <w:jc w:val="right"/>
              <w:rPr>
                <w:rFonts w:ascii="Lucida Bright" w:hAnsi="Lucida Bright" w:cs="Calibri"/>
                <w:sz w:val="14"/>
                <w:szCs w:val="14"/>
                <w:lang w:val="es-ES"/>
              </w:rPr>
            </w:pPr>
            <w:r w:rsidRPr="00552C82">
              <w:rPr>
                <w:rFonts w:ascii="Lucida Bright" w:hAnsi="Lucida Bright" w:cs="Calibri"/>
                <w:sz w:val="14"/>
                <w:szCs w:val="14"/>
                <w:lang w:val="es-ES"/>
              </w:rPr>
              <w:t xml:space="preserve">980,46 </w:t>
            </w:r>
          </w:p>
        </w:tc>
      </w:tr>
    </w:tbl>
    <w:p w:rsidR="00D71A08" w:rsidRDefault="00D71A08" w:rsidP="007B1941">
      <w:pPr>
        <w:tabs>
          <w:tab w:val="right" w:pos="8364"/>
        </w:tabs>
        <w:ind w:left="142" w:firstLine="425"/>
        <w:jc w:val="both"/>
      </w:pPr>
    </w:p>
    <w:p w:rsidR="00552C82" w:rsidRDefault="00552C82" w:rsidP="007B1941">
      <w:pPr>
        <w:tabs>
          <w:tab w:val="right" w:pos="8364"/>
        </w:tabs>
        <w:ind w:left="142" w:firstLine="425"/>
        <w:jc w:val="both"/>
      </w:pPr>
    </w:p>
    <w:p w:rsidR="007B1941" w:rsidRPr="00F52C8E" w:rsidRDefault="007B1941" w:rsidP="007B1941">
      <w:pPr>
        <w:tabs>
          <w:tab w:val="right" w:pos="8364"/>
        </w:tabs>
        <w:ind w:left="142" w:firstLine="425"/>
        <w:jc w:val="both"/>
        <w:rPr>
          <w:rFonts w:ascii="NewBaskerville" w:hAnsi="NewBaskerville"/>
        </w:rPr>
      </w:pPr>
      <w:r w:rsidRPr="00F52C8E">
        <w:rPr>
          <w:rFonts w:ascii="NewBaskerville" w:hAnsi="NewBaskerville"/>
        </w:rPr>
        <w:t xml:space="preserve">Criterios aplicados para calcular las correcciones relativas a deudores </w:t>
      </w:r>
      <w:r w:rsidR="008155BC" w:rsidRPr="00F52C8E">
        <w:rPr>
          <w:rFonts w:ascii="NewBaskerville" w:hAnsi="NewBaskerville"/>
        </w:rPr>
        <w:t>comerciales:</w:t>
      </w:r>
      <w:r w:rsidR="00BA6314" w:rsidRPr="00F52C8E">
        <w:rPr>
          <w:rFonts w:ascii="NewBaskerville" w:hAnsi="NewBaskerville"/>
        </w:rPr>
        <w:t xml:space="preserve"> e</w:t>
      </w:r>
      <w:r w:rsidRPr="00F52C8E">
        <w:rPr>
          <w:rFonts w:ascii="NewBaskerville" w:hAnsi="NewBaskerville"/>
        </w:rPr>
        <w:t>l riesgo de fallidos existentes en los saldos de clientes se calculan por el método de la dotación específica, por el que se estima el importe de la provisión mediante un sistema individualizado de análisis y seguimiento de saldos de dudoso cobro, sobre el que se aplican porcentajes de dotación en función de la antigüedad de la deuda desde el vencimiento.</w:t>
      </w:r>
    </w:p>
    <w:p w:rsidR="00C82D5D" w:rsidRPr="00F52C8E" w:rsidRDefault="00C82D5D" w:rsidP="007B1941">
      <w:pPr>
        <w:tabs>
          <w:tab w:val="right" w:pos="8364"/>
        </w:tabs>
        <w:ind w:left="142" w:firstLine="425"/>
        <w:jc w:val="both"/>
        <w:rPr>
          <w:rFonts w:ascii="NewBaskerville" w:hAnsi="NewBaskerville"/>
        </w:rPr>
      </w:pPr>
    </w:p>
    <w:p w:rsidR="007B1941" w:rsidRPr="00F52C8E" w:rsidRDefault="007B1941" w:rsidP="007B1941">
      <w:pPr>
        <w:tabs>
          <w:tab w:val="center" w:pos="1843"/>
          <w:tab w:val="center" w:pos="5671"/>
          <w:tab w:val="center" w:pos="7797"/>
        </w:tabs>
        <w:spacing w:after="120"/>
        <w:ind w:left="709" w:hanging="142"/>
        <w:jc w:val="both"/>
        <w:rPr>
          <w:rFonts w:ascii="NewBaskerville" w:hAnsi="NewBaskerville"/>
          <w:b/>
        </w:rPr>
      </w:pPr>
      <w:r w:rsidRPr="00F52C8E">
        <w:rPr>
          <w:rFonts w:ascii="NewBaskerville" w:hAnsi="NewBaskerville"/>
        </w:rPr>
        <w:t xml:space="preserve">- </w:t>
      </w:r>
      <w:r w:rsidRPr="00F52C8E">
        <w:rPr>
          <w:rFonts w:ascii="NewBaskerville" w:hAnsi="NewBaskerville"/>
        </w:rPr>
        <w:tab/>
        <w:t xml:space="preserve">Ingresos de naturaleza privada </w:t>
      </w:r>
    </w:p>
    <w:p w:rsidR="007B1941" w:rsidRPr="00F52C8E" w:rsidRDefault="007B1941" w:rsidP="007B1941">
      <w:pPr>
        <w:tabs>
          <w:tab w:val="decimal" w:pos="3828"/>
          <w:tab w:val="center" w:pos="5671"/>
          <w:tab w:val="center" w:pos="7797"/>
        </w:tabs>
        <w:ind w:left="1134" w:hanging="425"/>
        <w:jc w:val="both"/>
        <w:rPr>
          <w:rFonts w:ascii="NewBaskerville" w:hAnsi="NewBaskerville"/>
        </w:rPr>
      </w:pPr>
      <w:r w:rsidRPr="00F52C8E">
        <w:rPr>
          <w:rFonts w:ascii="NewBaskerville" w:hAnsi="NewBaskerville"/>
        </w:rPr>
        <w:t>1. -</w:t>
      </w:r>
      <w:r w:rsidRPr="00F52C8E">
        <w:rPr>
          <w:rFonts w:ascii="NewBaskerville" w:hAnsi="NewBaskerville"/>
        </w:rPr>
        <w:tab/>
        <w:t xml:space="preserve">Entre 0 y 6 meses:           </w:t>
      </w:r>
      <w:r w:rsidR="00B06355" w:rsidRPr="00F52C8E">
        <w:rPr>
          <w:rFonts w:ascii="NewBaskerville" w:hAnsi="NewBaskerville"/>
        </w:rPr>
        <w:tab/>
      </w:r>
      <w:r w:rsidRPr="00F52C8E">
        <w:rPr>
          <w:rFonts w:ascii="NewBaskerville" w:hAnsi="NewBaskerville"/>
        </w:rPr>
        <w:t>0%</w:t>
      </w:r>
    </w:p>
    <w:p w:rsidR="007B1941" w:rsidRPr="00F52C8E" w:rsidRDefault="007B1941" w:rsidP="007B1941">
      <w:pPr>
        <w:tabs>
          <w:tab w:val="decimal" w:pos="3828"/>
          <w:tab w:val="center" w:pos="5671"/>
          <w:tab w:val="center" w:pos="7797"/>
        </w:tabs>
        <w:ind w:left="1134" w:hanging="425"/>
        <w:jc w:val="both"/>
        <w:rPr>
          <w:rFonts w:ascii="NewBaskerville" w:hAnsi="NewBaskerville"/>
        </w:rPr>
      </w:pPr>
      <w:r w:rsidRPr="00F52C8E">
        <w:rPr>
          <w:rFonts w:ascii="NewBaskerville" w:hAnsi="NewBaskerville"/>
        </w:rPr>
        <w:t>2. -</w:t>
      </w:r>
      <w:r w:rsidRPr="00F52C8E">
        <w:rPr>
          <w:rFonts w:ascii="NewBaskerville" w:hAnsi="NewBaskerville"/>
        </w:rPr>
        <w:tab/>
      </w:r>
      <w:r w:rsidR="008155BC" w:rsidRPr="00F52C8E">
        <w:rPr>
          <w:rFonts w:ascii="NewBaskerville" w:hAnsi="NewBaskerville"/>
        </w:rPr>
        <w:t>Más</w:t>
      </w:r>
      <w:r w:rsidRPr="00F52C8E">
        <w:rPr>
          <w:rFonts w:ascii="NewBaskerville" w:hAnsi="NewBaskerville"/>
        </w:rPr>
        <w:t xml:space="preserve"> de 6 meses:</w:t>
      </w:r>
      <w:r w:rsidRPr="00F52C8E">
        <w:rPr>
          <w:rFonts w:ascii="NewBaskerville" w:hAnsi="NewBaskerville"/>
        </w:rPr>
        <w:tab/>
        <w:t>100%</w:t>
      </w:r>
    </w:p>
    <w:p w:rsidR="00AB0BEB" w:rsidRPr="00F52C8E" w:rsidRDefault="00AB0BEB" w:rsidP="007B1941">
      <w:pPr>
        <w:tabs>
          <w:tab w:val="decimal" w:pos="3828"/>
          <w:tab w:val="center" w:pos="5671"/>
          <w:tab w:val="center" w:pos="7797"/>
        </w:tabs>
        <w:ind w:left="1134" w:hanging="425"/>
        <w:jc w:val="both"/>
        <w:rPr>
          <w:rFonts w:ascii="NewBaskerville" w:hAnsi="NewBaskerville"/>
        </w:rPr>
      </w:pPr>
    </w:p>
    <w:p w:rsidR="007B1941" w:rsidRPr="00F52C8E" w:rsidRDefault="007B1941" w:rsidP="007B1941">
      <w:pPr>
        <w:tabs>
          <w:tab w:val="center" w:pos="5671"/>
          <w:tab w:val="center" w:pos="7797"/>
        </w:tabs>
        <w:spacing w:before="120"/>
        <w:ind w:left="709" w:hanging="141"/>
        <w:jc w:val="both"/>
        <w:rPr>
          <w:rFonts w:ascii="NewBaskerville" w:hAnsi="NewBaskerville"/>
        </w:rPr>
      </w:pPr>
      <w:r w:rsidRPr="00F52C8E">
        <w:rPr>
          <w:rFonts w:ascii="NewBaskerville" w:hAnsi="NewBaskerville"/>
        </w:rPr>
        <w:t>-</w:t>
      </w:r>
      <w:r w:rsidRPr="00F52C8E">
        <w:rPr>
          <w:rFonts w:ascii="NewBaskerville" w:hAnsi="NewBaskerville"/>
        </w:rPr>
        <w:tab/>
        <w:t>Ingresos de naturaleza pública</w:t>
      </w:r>
    </w:p>
    <w:p w:rsidR="007B1941" w:rsidRPr="00F52C8E" w:rsidRDefault="007B1941" w:rsidP="007B1941">
      <w:pPr>
        <w:tabs>
          <w:tab w:val="decimal" w:pos="3828"/>
          <w:tab w:val="center" w:pos="5671"/>
          <w:tab w:val="center" w:pos="7797"/>
        </w:tabs>
        <w:spacing w:before="120"/>
        <w:ind w:left="1134" w:hanging="425"/>
        <w:jc w:val="both"/>
        <w:rPr>
          <w:rFonts w:ascii="NewBaskerville" w:hAnsi="NewBaskerville"/>
        </w:rPr>
      </w:pPr>
      <w:r w:rsidRPr="00F52C8E">
        <w:rPr>
          <w:rFonts w:ascii="NewBaskerville" w:hAnsi="NewBaskerville"/>
        </w:rPr>
        <w:t>1. -</w:t>
      </w:r>
      <w:r w:rsidRPr="00F52C8E">
        <w:rPr>
          <w:rFonts w:ascii="NewBaskerville" w:hAnsi="NewBaskerville"/>
        </w:rPr>
        <w:tab/>
        <w:t xml:space="preserve">de 0 a 12 meses:        </w:t>
      </w:r>
      <w:r w:rsidR="00B06355" w:rsidRPr="00F52C8E">
        <w:rPr>
          <w:rFonts w:ascii="NewBaskerville" w:hAnsi="NewBaskerville"/>
        </w:rPr>
        <w:tab/>
      </w:r>
      <w:r w:rsidRPr="00F52C8E">
        <w:rPr>
          <w:rFonts w:ascii="NewBaskerville" w:hAnsi="NewBaskerville"/>
        </w:rPr>
        <w:t xml:space="preserve">       0%</w:t>
      </w:r>
    </w:p>
    <w:p w:rsidR="007B1941" w:rsidRPr="00F52C8E" w:rsidRDefault="007B1941" w:rsidP="007B1941">
      <w:pPr>
        <w:tabs>
          <w:tab w:val="decimal" w:pos="3828"/>
          <w:tab w:val="center" w:pos="5671"/>
          <w:tab w:val="center" w:pos="7797"/>
        </w:tabs>
        <w:ind w:left="1134" w:hanging="425"/>
        <w:jc w:val="both"/>
        <w:rPr>
          <w:rFonts w:ascii="NewBaskerville" w:hAnsi="NewBaskerville"/>
        </w:rPr>
      </w:pPr>
      <w:r w:rsidRPr="00F52C8E">
        <w:rPr>
          <w:rFonts w:ascii="NewBaskerville" w:hAnsi="NewBaskerville"/>
        </w:rPr>
        <w:t>2. -</w:t>
      </w:r>
      <w:r w:rsidRPr="00F52C8E">
        <w:rPr>
          <w:rFonts w:ascii="NewBaskerville" w:hAnsi="NewBaskerville"/>
        </w:rPr>
        <w:tab/>
        <w:t>de 12 a 24 meses:</w:t>
      </w:r>
      <w:r w:rsidRPr="00F52C8E">
        <w:rPr>
          <w:rFonts w:ascii="NewBaskerville" w:hAnsi="NewBaskerville"/>
        </w:rPr>
        <w:tab/>
        <w:t>50%</w:t>
      </w:r>
    </w:p>
    <w:p w:rsidR="007B1941" w:rsidRPr="00F52C8E" w:rsidRDefault="007B1941" w:rsidP="007B1941">
      <w:pPr>
        <w:tabs>
          <w:tab w:val="decimal" w:pos="3828"/>
          <w:tab w:val="center" w:pos="5671"/>
          <w:tab w:val="center" w:pos="7797"/>
        </w:tabs>
        <w:ind w:left="1134" w:hanging="425"/>
        <w:jc w:val="both"/>
        <w:rPr>
          <w:rFonts w:ascii="NewBaskerville" w:hAnsi="NewBaskerville"/>
        </w:rPr>
      </w:pPr>
      <w:r w:rsidRPr="00F52C8E">
        <w:rPr>
          <w:rFonts w:ascii="NewBaskerville" w:hAnsi="NewBaskerville"/>
        </w:rPr>
        <w:t>3. -</w:t>
      </w:r>
      <w:r w:rsidRPr="00F52C8E">
        <w:rPr>
          <w:rFonts w:ascii="NewBaskerville" w:hAnsi="NewBaskerville"/>
        </w:rPr>
        <w:tab/>
        <w:t>de más de 24 meses:</w:t>
      </w:r>
      <w:r w:rsidRPr="00F52C8E">
        <w:rPr>
          <w:rFonts w:ascii="NewBaskerville" w:hAnsi="NewBaskerville"/>
        </w:rPr>
        <w:tab/>
        <w:t>100%</w:t>
      </w:r>
    </w:p>
    <w:p w:rsidR="007B1941" w:rsidRPr="00F52C8E" w:rsidRDefault="007B1941" w:rsidP="007B1941">
      <w:pPr>
        <w:tabs>
          <w:tab w:val="decimal" w:pos="3828"/>
          <w:tab w:val="center" w:pos="5671"/>
          <w:tab w:val="center" w:pos="7797"/>
        </w:tabs>
        <w:jc w:val="both"/>
        <w:rPr>
          <w:rFonts w:ascii="NewBaskerville" w:hAnsi="NewBaskerville"/>
        </w:rPr>
      </w:pPr>
    </w:p>
    <w:p w:rsidR="007B1941" w:rsidRPr="00CF32FF" w:rsidRDefault="007B1941" w:rsidP="007B1941">
      <w:pPr>
        <w:tabs>
          <w:tab w:val="decimal" w:pos="3828"/>
          <w:tab w:val="center" w:pos="5671"/>
          <w:tab w:val="center" w:pos="7797"/>
        </w:tabs>
        <w:spacing w:before="120"/>
        <w:ind w:firstLine="540"/>
        <w:jc w:val="both"/>
        <w:rPr>
          <w:b/>
          <w:bCs/>
        </w:rPr>
      </w:pPr>
      <w:r w:rsidRPr="00F52C8E">
        <w:rPr>
          <w:rFonts w:ascii="NewBaskerville" w:hAnsi="NewBaskerville"/>
        </w:rPr>
        <w:t>Este cálculo se considera mínimo por lo que en el caso de que se tenga conocimiento de que una empresa ha presentado solicitud de concurso de acreedores o haya riesgo importante de impago se ha optado por incrementar la provisión por el importe de la totalidad de lo adeudado.</w:t>
      </w:r>
    </w:p>
    <w:p w:rsidR="007B1941" w:rsidRPr="00CF32FF" w:rsidRDefault="007B1941" w:rsidP="007B1941">
      <w:pPr>
        <w:tabs>
          <w:tab w:val="right" w:pos="8364"/>
        </w:tabs>
        <w:jc w:val="both"/>
        <w:rPr>
          <w:b/>
          <w:bCs/>
        </w:rPr>
      </w:pPr>
    </w:p>
    <w:p w:rsidR="00F52C8E" w:rsidRDefault="00F52C8E">
      <w:pPr>
        <w:tabs>
          <w:tab w:val="right" w:pos="8364"/>
        </w:tabs>
        <w:ind w:left="142" w:firstLine="425"/>
        <w:jc w:val="both"/>
      </w:pPr>
    </w:p>
    <w:p w:rsidR="00F52C8E" w:rsidRDefault="006E51A7">
      <w:pPr>
        <w:tabs>
          <w:tab w:val="right" w:pos="8364"/>
        </w:tabs>
        <w:ind w:left="142" w:firstLine="425"/>
        <w:jc w:val="both"/>
        <w:rPr>
          <w:rFonts w:ascii="NewBaskerville" w:hAnsi="NewBaskerville"/>
        </w:rPr>
      </w:pPr>
      <w:r>
        <w:rPr>
          <w:rFonts w:ascii="NewBaskerville" w:hAnsi="NewBaskerville"/>
        </w:rPr>
        <w:t xml:space="preserve">En el epígrafe de </w:t>
      </w:r>
      <w:r>
        <w:rPr>
          <w:rFonts w:ascii="NewBaskerville" w:hAnsi="NewBaskerville"/>
          <w:b/>
        </w:rPr>
        <w:t xml:space="preserve">“Inversiones en empresas del grupo y asociadas a corto plazo” </w:t>
      </w:r>
      <w:r>
        <w:rPr>
          <w:rFonts w:ascii="NewBaskerville" w:hAnsi="NewBaskerville"/>
        </w:rPr>
        <w:t>se han registrado los saldos a corto plazo del FFATP, siendo:</w:t>
      </w:r>
    </w:p>
    <w:p w:rsidR="004172A5" w:rsidRDefault="004172A5">
      <w:pPr>
        <w:tabs>
          <w:tab w:val="right" w:pos="8364"/>
        </w:tabs>
        <w:ind w:left="142" w:firstLine="425"/>
        <w:jc w:val="both"/>
        <w:rPr>
          <w:rFonts w:ascii="NewBaskerville" w:hAnsi="NewBaskerville"/>
        </w:rPr>
      </w:pPr>
    </w:p>
    <w:tbl>
      <w:tblPr>
        <w:tblW w:w="6460" w:type="dxa"/>
        <w:tblInd w:w="70" w:type="dxa"/>
        <w:tblCellMar>
          <w:left w:w="70" w:type="dxa"/>
          <w:right w:w="70" w:type="dxa"/>
        </w:tblCellMar>
        <w:tblLook w:val="04A0" w:firstRow="1" w:lastRow="0" w:firstColumn="1" w:lastColumn="0" w:noHBand="0" w:noVBand="1"/>
      </w:tblPr>
      <w:tblGrid>
        <w:gridCol w:w="4060"/>
        <w:gridCol w:w="1200"/>
        <w:gridCol w:w="1200"/>
      </w:tblGrid>
      <w:tr w:rsidR="004172A5" w:rsidRPr="004172A5" w:rsidTr="004172A5">
        <w:trPr>
          <w:trHeight w:val="300"/>
        </w:trPr>
        <w:tc>
          <w:tcPr>
            <w:tcW w:w="4060" w:type="dxa"/>
            <w:tcBorders>
              <w:top w:val="nil"/>
              <w:left w:val="nil"/>
              <w:bottom w:val="nil"/>
              <w:right w:val="nil"/>
            </w:tcBorders>
            <w:shd w:val="clear" w:color="auto" w:fill="auto"/>
            <w:noWrap/>
            <w:vAlign w:val="bottom"/>
            <w:hideMark/>
          </w:tcPr>
          <w:p w:rsidR="004172A5" w:rsidRPr="004172A5" w:rsidRDefault="004172A5" w:rsidP="004172A5">
            <w:pPr>
              <w:rPr>
                <w:rFonts w:ascii="Calibri" w:hAnsi="Calibri" w:cs="Calibri"/>
                <w:color w:val="000000"/>
                <w:sz w:val="22"/>
                <w:szCs w:val="22"/>
                <w:lang w:val="es-ES"/>
              </w:rPr>
            </w:pPr>
          </w:p>
        </w:tc>
        <w:tc>
          <w:tcPr>
            <w:tcW w:w="120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172A5" w:rsidRPr="004172A5" w:rsidRDefault="004172A5" w:rsidP="004172A5">
            <w:pPr>
              <w:jc w:val="center"/>
              <w:rPr>
                <w:rFonts w:ascii="Lucida Bright" w:hAnsi="Lucida Bright" w:cs="Calibri"/>
                <w:b/>
                <w:bCs/>
                <w:color w:val="000000"/>
                <w:sz w:val="14"/>
                <w:szCs w:val="14"/>
                <w:lang w:val="es-ES"/>
              </w:rPr>
            </w:pPr>
            <w:r w:rsidRPr="004172A5">
              <w:rPr>
                <w:rFonts w:ascii="Lucida Bright" w:hAnsi="Lucida Bright" w:cs="Calibri"/>
                <w:b/>
                <w:bCs/>
                <w:color w:val="000000"/>
                <w:sz w:val="14"/>
                <w:szCs w:val="14"/>
                <w:lang w:val="es-ES"/>
              </w:rPr>
              <w:t>2023</w:t>
            </w:r>
          </w:p>
        </w:tc>
        <w:tc>
          <w:tcPr>
            <w:tcW w:w="1200" w:type="dxa"/>
            <w:tcBorders>
              <w:top w:val="single" w:sz="4" w:space="0" w:color="auto"/>
              <w:left w:val="nil"/>
              <w:bottom w:val="single" w:sz="4" w:space="0" w:color="auto"/>
              <w:right w:val="single" w:sz="4" w:space="0" w:color="auto"/>
            </w:tcBorders>
            <w:shd w:val="clear" w:color="000000" w:fill="CCFFCC"/>
            <w:noWrap/>
            <w:vAlign w:val="center"/>
            <w:hideMark/>
          </w:tcPr>
          <w:p w:rsidR="004172A5" w:rsidRPr="004172A5" w:rsidRDefault="004172A5" w:rsidP="004172A5">
            <w:pPr>
              <w:jc w:val="center"/>
              <w:rPr>
                <w:rFonts w:ascii="Lucida Bright" w:hAnsi="Lucida Bright" w:cs="Calibri"/>
                <w:b/>
                <w:bCs/>
                <w:color w:val="000000"/>
                <w:sz w:val="14"/>
                <w:szCs w:val="14"/>
                <w:lang w:val="es-ES"/>
              </w:rPr>
            </w:pPr>
            <w:r w:rsidRPr="004172A5">
              <w:rPr>
                <w:rFonts w:ascii="Lucida Bright" w:hAnsi="Lucida Bright" w:cs="Calibri"/>
                <w:b/>
                <w:bCs/>
                <w:color w:val="000000"/>
                <w:sz w:val="14"/>
                <w:szCs w:val="14"/>
                <w:lang w:val="es-ES"/>
              </w:rPr>
              <w:t>2022</w:t>
            </w:r>
          </w:p>
        </w:tc>
      </w:tr>
      <w:tr w:rsidR="004172A5" w:rsidRPr="004172A5" w:rsidTr="004172A5">
        <w:trPr>
          <w:trHeight w:val="300"/>
        </w:trPr>
        <w:tc>
          <w:tcPr>
            <w:tcW w:w="40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4172A5" w:rsidRPr="004172A5" w:rsidRDefault="004172A5" w:rsidP="004172A5">
            <w:pPr>
              <w:rPr>
                <w:rFonts w:ascii="Lucida Bright" w:hAnsi="Lucida Bright" w:cs="Calibri"/>
                <w:b/>
                <w:bCs/>
                <w:sz w:val="14"/>
                <w:szCs w:val="14"/>
                <w:lang w:val="es-ES"/>
              </w:rPr>
            </w:pPr>
            <w:r w:rsidRPr="004172A5">
              <w:rPr>
                <w:rFonts w:ascii="Lucida Bright" w:hAnsi="Lucida Bright" w:cs="Calibri"/>
                <w:b/>
                <w:bCs/>
                <w:sz w:val="14"/>
                <w:szCs w:val="14"/>
                <w:lang w:val="es-ES"/>
              </w:rPr>
              <w:t xml:space="preserve">IV. Inversiones en </w:t>
            </w:r>
            <w:proofErr w:type="spellStart"/>
            <w:r w:rsidRPr="004172A5">
              <w:rPr>
                <w:rFonts w:ascii="Lucida Bright" w:hAnsi="Lucida Bright" w:cs="Calibri"/>
                <w:b/>
                <w:bCs/>
                <w:sz w:val="14"/>
                <w:szCs w:val="14"/>
                <w:lang w:val="es-ES"/>
              </w:rPr>
              <w:t>empr</w:t>
            </w:r>
            <w:proofErr w:type="spellEnd"/>
            <w:r w:rsidRPr="004172A5">
              <w:rPr>
                <w:rFonts w:ascii="Lucida Bright" w:hAnsi="Lucida Bright" w:cs="Calibri"/>
                <w:b/>
                <w:bCs/>
                <w:sz w:val="14"/>
                <w:szCs w:val="14"/>
                <w:lang w:val="es-ES"/>
              </w:rPr>
              <w:t xml:space="preserve">. del grupo y asociadas a </w:t>
            </w:r>
            <w:proofErr w:type="spellStart"/>
            <w:r w:rsidRPr="004172A5">
              <w:rPr>
                <w:rFonts w:ascii="Lucida Bright" w:hAnsi="Lucida Bright" w:cs="Calibri"/>
                <w:b/>
                <w:bCs/>
                <w:sz w:val="14"/>
                <w:szCs w:val="14"/>
                <w:lang w:val="es-ES"/>
              </w:rPr>
              <w:t>c.p.</w:t>
            </w:r>
            <w:proofErr w:type="spellEnd"/>
          </w:p>
        </w:tc>
        <w:tc>
          <w:tcPr>
            <w:tcW w:w="1200" w:type="dxa"/>
            <w:tcBorders>
              <w:top w:val="nil"/>
              <w:left w:val="nil"/>
              <w:bottom w:val="single" w:sz="4" w:space="0" w:color="auto"/>
              <w:right w:val="single" w:sz="4" w:space="0" w:color="auto"/>
            </w:tcBorders>
            <w:shd w:val="clear" w:color="000000" w:fill="CCFFCC"/>
            <w:noWrap/>
            <w:vAlign w:val="bottom"/>
            <w:hideMark/>
          </w:tcPr>
          <w:p w:rsidR="004172A5" w:rsidRPr="004172A5" w:rsidRDefault="004172A5" w:rsidP="004172A5">
            <w:pPr>
              <w:jc w:val="right"/>
              <w:rPr>
                <w:rFonts w:ascii="Lucida Bright" w:hAnsi="Lucida Bright" w:cs="Calibri"/>
                <w:b/>
                <w:bCs/>
                <w:sz w:val="14"/>
                <w:szCs w:val="14"/>
                <w:lang w:val="es-ES"/>
              </w:rPr>
            </w:pPr>
            <w:r w:rsidRPr="004172A5">
              <w:rPr>
                <w:rFonts w:ascii="Lucida Bright" w:hAnsi="Lucida Bright" w:cs="Calibri"/>
                <w:b/>
                <w:bCs/>
                <w:sz w:val="14"/>
                <w:szCs w:val="14"/>
                <w:lang w:val="es-ES"/>
              </w:rPr>
              <w:t xml:space="preserve">110.571,99 </w:t>
            </w:r>
          </w:p>
        </w:tc>
        <w:tc>
          <w:tcPr>
            <w:tcW w:w="1200" w:type="dxa"/>
            <w:tcBorders>
              <w:top w:val="nil"/>
              <w:left w:val="nil"/>
              <w:bottom w:val="single" w:sz="4" w:space="0" w:color="auto"/>
              <w:right w:val="single" w:sz="4" w:space="0" w:color="auto"/>
            </w:tcBorders>
            <w:shd w:val="clear" w:color="000000" w:fill="CCFFCC"/>
            <w:noWrap/>
            <w:vAlign w:val="bottom"/>
            <w:hideMark/>
          </w:tcPr>
          <w:p w:rsidR="004172A5" w:rsidRPr="004172A5" w:rsidRDefault="004172A5" w:rsidP="004172A5">
            <w:pPr>
              <w:jc w:val="right"/>
              <w:rPr>
                <w:rFonts w:ascii="Lucida Bright" w:hAnsi="Lucida Bright" w:cs="Calibri"/>
                <w:b/>
                <w:bCs/>
                <w:sz w:val="14"/>
                <w:szCs w:val="14"/>
                <w:lang w:val="es-ES"/>
              </w:rPr>
            </w:pPr>
            <w:r w:rsidRPr="004172A5">
              <w:rPr>
                <w:rFonts w:ascii="Lucida Bright" w:hAnsi="Lucida Bright" w:cs="Calibri"/>
                <w:b/>
                <w:bCs/>
                <w:sz w:val="14"/>
                <w:szCs w:val="14"/>
                <w:lang w:val="es-ES"/>
              </w:rPr>
              <w:t xml:space="preserve">30.612,32 </w:t>
            </w:r>
          </w:p>
        </w:tc>
      </w:tr>
      <w:tr w:rsidR="004172A5" w:rsidRPr="004172A5" w:rsidTr="004172A5">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bottom"/>
            <w:hideMark/>
          </w:tcPr>
          <w:p w:rsidR="004172A5" w:rsidRPr="004172A5" w:rsidRDefault="004172A5" w:rsidP="004172A5">
            <w:pPr>
              <w:rPr>
                <w:rFonts w:ascii="Lucida Bright" w:hAnsi="Lucida Bright" w:cs="Calibri"/>
                <w:sz w:val="14"/>
                <w:szCs w:val="14"/>
                <w:lang w:val="es-ES"/>
              </w:rPr>
            </w:pPr>
            <w:r w:rsidRPr="004172A5">
              <w:rPr>
                <w:rFonts w:ascii="Lucida Bright" w:hAnsi="Lucida Bright" w:cs="Calibri"/>
                <w:sz w:val="14"/>
                <w:szCs w:val="14"/>
                <w:lang w:val="es-ES"/>
              </w:rPr>
              <w:t xml:space="preserve">Préstamos a </w:t>
            </w:r>
            <w:proofErr w:type="spellStart"/>
            <w:r w:rsidRPr="004172A5">
              <w:rPr>
                <w:rFonts w:ascii="Lucida Bright" w:hAnsi="Lucida Bright" w:cs="Calibri"/>
                <w:sz w:val="14"/>
                <w:szCs w:val="14"/>
                <w:lang w:val="es-ES"/>
              </w:rPr>
              <w:t>c.p.</w:t>
            </w:r>
            <w:proofErr w:type="spellEnd"/>
            <w:r w:rsidRPr="004172A5">
              <w:rPr>
                <w:rFonts w:ascii="Lucida Bright" w:hAnsi="Lucida Bright" w:cs="Calibri"/>
                <w:sz w:val="14"/>
                <w:szCs w:val="14"/>
                <w:lang w:val="es-ES"/>
              </w:rPr>
              <w:t xml:space="preserve"> concedidos al FFATP</w:t>
            </w:r>
          </w:p>
        </w:tc>
        <w:tc>
          <w:tcPr>
            <w:tcW w:w="1200" w:type="dxa"/>
            <w:tcBorders>
              <w:top w:val="nil"/>
              <w:left w:val="nil"/>
              <w:bottom w:val="single" w:sz="4" w:space="0" w:color="auto"/>
              <w:right w:val="single" w:sz="4" w:space="0" w:color="auto"/>
            </w:tcBorders>
            <w:shd w:val="clear" w:color="000000" w:fill="FFFFFF"/>
            <w:noWrap/>
            <w:vAlign w:val="bottom"/>
            <w:hideMark/>
          </w:tcPr>
          <w:p w:rsidR="004172A5" w:rsidRPr="004172A5" w:rsidRDefault="004172A5" w:rsidP="004172A5">
            <w:pPr>
              <w:jc w:val="right"/>
              <w:rPr>
                <w:rFonts w:ascii="Lucida Bright" w:hAnsi="Lucida Bright" w:cs="Calibri"/>
                <w:sz w:val="14"/>
                <w:szCs w:val="14"/>
                <w:lang w:val="es-ES"/>
              </w:rPr>
            </w:pPr>
            <w:r w:rsidRPr="004172A5">
              <w:rPr>
                <w:rFonts w:ascii="Lucida Bright" w:hAnsi="Lucida Bright" w:cs="Calibri"/>
                <w:sz w:val="14"/>
                <w:szCs w:val="14"/>
                <w:lang w:val="es-ES"/>
              </w:rPr>
              <w:t xml:space="preserve">101.000,01 </w:t>
            </w:r>
          </w:p>
        </w:tc>
        <w:tc>
          <w:tcPr>
            <w:tcW w:w="1200" w:type="dxa"/>
            <w:tcBorders>
              <w:top w:val="nil"/>
              <w:left w:val="nil"/>
              <w:bottom w:val="single" w:sz="4" w:space="0" w:color="auto"/>
              <w:right w:val="single" w:sz="4" w:space="0" w:color="auto"/>
            </w:tcBorders>
            <w:shd w:val="clear" w:color="000000" w:fill="FFFFFF"/>
            <w:noWrap/>
            <w:vAlign w:val="bottom"/>
            <w:hideMark/>
          </w:tcPr>
          <w:p w:rsidR="004172A5" w:rsidRPr="004172A5" w:rsidRDefault="004172A5" w:rsidP="004172A5">
            <w:pPr>
              <w:jc w:val="right"/>
              <w:rPr>
                <w:rFonts w:ascii="Lucida Bright" w:hAnsi="Lucida Bright" w:cs="Calibri"/>
                <w:sz w:val="14"/>
                <w:szCs w:val="14"/>
                <w:lang w:val="es-ES"/>
              </w:rPr>
            </w:pPr>
            <w:r w:rsidRPr="004172A5">
              <w:rPr>
                <w:rFonts w:ascii="Lucida Bright" w:hAnsi="Lucida Bright" w:cs="Calibri"/>
                <w:sz w:val="14"/>
                <w:szCs w:val="14"/>
                <w:lang w:val="es-ES"/>
              </w:rPr>
              <w:t xml:space="preserve">27.882,36 </w:t>
            </w:r>
          </w:p>
        </w:tc>
      </w:tr>
      <w:tr w:rsidR="004172A5" w:rsidRPr="004172A5" w:rsidTr="004172A5">
        <w:trPr>
          <w:trHeight w:val="30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4172A5" w:rsidRPr="004172A5" w:rsidRDefault="004172A5" w:rsidP="004172A5">
            <w:pPr>
              <w:rPr>
                <w:rFonts w:ascii="Lucida Bright" w:hAnsi="Lucida Bright" w:cs="Calibri"/>
                <w:color w:val="000000"/>
                <w:sz w:val="14"/>
                <w:szCs w:val="14"/>
                <w:lang w:val="es-ES"/>
              </w:rPr>
            </w:pPr>
            <w:r w:rsidRPr="004172A5">
              <w:rPr>
                <w:rFonts w:ascii="Lucida Bright" w:hAnsi="Lucida Bright" w:cs="Calibri"/>
                <w:color w:val="000000"/>
                <w:sz w:val="14"/>
                <w:szCs w:val="14"/>
                <w:lang w:val="es-ES"/>
              </w:rPr>
              <w:t xml:space="preserve">Intereses a </w:t>
            </w:r>
            <w:proofErr w:type="spellStart"/>
            <w:r w:rsidRPr="004172A5">
              <w:rPr>
                <w:rFonts w:ascii="Lucida Bright" w:hAnsi="Lucida Bright" w:cs="Calibri"/>
                <w:color w:val="000000"/>
                <w:sz w:val="14"/>
                <w:szCs w:val="14"/>
                <w:lang w:val="es-ES"/>
              </w:rPr>
              <w:t>c.p.</w:t>
            </w:r>
            <w:proofErr w:type="spellEnd"/>
            <w:r w:rsidRPr="004172A5">
              <w:rPr>
                <w:rFonts w:ascii="Lucida Bright" w:hAnsi="Lucida Bright" w:cs="Calibri"/>
                <w:color w:val="000000"/>
                <w:sz w:val="14"/>
                <w:szCs w:val="14"/>
                <w:lang w:val="es-ES"/>
              </w:rPr>
              <w:t xml:space="preserve"> de préstamos concedidos al FFATP</w:t>
            </w:r>
          </w:p>
        </w:tc>
        <w:tc>
          <w:tcPr>
            <w:tcW w:w="1200" w:type="dxa"/>
            <w:tcBorders>
              <w:top w:val="nil"/>
              <w:left w:val="nil"/>
              <w:bottom w:val="single" w:sz="4" w:space="0" w:color="auto"/>
              <w:right w:val="single" w:sz="4" w:space="0" w:color="auto"/>
            </w:tcBorders>
            <w:shd w:val="clear" w:color="auto" w:fill="auto"/>
            <w:noWrap/>
            <w:vAlign w:val="bottom"/>
            <w:hideMark/>
          </w:tcPr>
          <w:p w:rsidR="004172A5" w:rsidRPr="004172A5" w:rsidRDefault="004172A5" w:rsidP="004172A5">
            <w:pPr>
              <w:jc w:val="right"/>
              <w:rPr>
                <w:rFonts w:ascii="Lucida Bright" w:hAnsi="Lucida Bright" w:cs="Calibri"/>
                <w:color w:val="000000"/>
                <w:sz w:val="14"/>
                <w:szCs w:val="14"/>
                <w:lang w:val="es-ES"/>
              </w:rPr>
            </w:pPr>
            <w:r w:rsidRPr="004172A5">
              <w:rPr>
                <w:rFonts w:ascii="Lucida Bright" w:hAnsi="Lucida Bright" w:cs="Calibri"/>
                <w:color w:val="000000"/>
                <w:sz w:val="14"/>
                <w:szCs w:val="14"/>
                <w:lang w:val="es-ES"/>
              </w:rPr>
              <w:t>9.571,98</w:t>
            </w:r>
          </w:p>
        </w:tc>
        <w:tc>
          <w:tcPr>
            <w:tcW w:w="1200" w:type="dxa"/>
            <w:tcBorders>
              <w:top w:val="nil"/>
              <w:left w:val="nil"/>
              <w:bottom w:val="single" w:sz="4" w:space="0" w:color="auto"/>
              <w:right w:val="single" w:sz="4" w:space="0" w:color="auto"/>
            </w:tcBorders>
            <w:shd w:val="clear" w:color="auto" w:fill="auto"/>
            <w:noWrap/>
            <w:vAlign w:val="bottom"/>
            <w:hideMark/>
          </w:tcPr>
          <w:p w:rsidR="004172A5" w:rsidRPr="004172A5" w:rsidRDefault="004172A5" w:rsidP="004172A5">
            <w:pPr>
              <w:jc w:val="right"/>
              <w:rPr>
                <w:rFonts w:ascii="Lucida Bright" w:hAnsi="Lucida Bright" w:cs="Calibri"/>
                <w:color w:val="000000"/>
                <w:sz w:val="14"/>
                <w:szCs w:val="14"/>
                <w:lang w:val="es-ES"/>
              </w:rPr>
            </w:pPr>
            <w:r w:rsidRPr="004172A5">
              <w:rPr>
                <w:rFonts w:ascii="Lucida Bright" w:hAnsi="Lucida Bright" w:cs="Calibri"/>
                <w:color w:val="000000"/>
                <w:sz w:val="14"/>
                <w:szCs w:val="14"/>
                <w:lang w:val="es-ES"/>
              </w:rPr>
              <w:t>2.729,96</w:t>
            </w:r>
          </w:p>
        </w:tc>
      </w:tr>
    </w:tbl>
    <w:p w:rsidR="006E51A7" w:rsidRPr="006E51A7" w:rsidRDefault="006E51A7">
      <w:pPr>
        <w:tabs>
          <w:tab w:val="right" w:pos="8364"/>
        </w:tabs>
        <w:ind w:left="142" w:firstLine="425"/>
        <w:jc w:val="both"/>
        <w:rPr>
          <w:rFonts w:ascii="NewBaskerville" w:hAnsi="NewBaskerville"/>
        </w:rPr>
      </w:pPr>
    </w:p>
    <w:p w:rsidR="00F52C8E" w:rsidRDefault="00F52C8E">
      <w:pPr>
        <w:tabs>
          <w:tab w:val="right" w:pos="8364"/>
        </w:tabs>
        <w:ind w:left="142" w:firstLine="425"/>
        <w:jc w:val="both"/>
      </w:pPr>
    </w:p>
    <w:p w:rsidR="002C4355" w:rsidRPr="00C84DA4" w:rsidRDefault="002C4355">
      <w:pPr>
        <w:tabs>
          <w:tab w:val="right" w:pos="8364"/>
        </w:tabs>
        <w:ind w:left="142" w:firstLine="425"/>
        <w:jc w:val="both"/>
        <w:rPr>
          <w:rFonts w:ascii="NewBaskerville" w:hAnsi="NewBaskerville"/>
        </w:rPr>
      </w:pPr>
      <w:r w:rsidRPr="00C84DA4">
        <w:rPr>
          <w:rFonts w:ascii="NewBaskerville" w:hAnsi="NewBaskerville"/>
        </w:rPr>
        <w:t xml:space="preserve">El saldo reflejado en el epígrafe </w:t>
      </w:r>
      <w:r w:rsidRPr="00C84DA4">
        <w:rPr>
          <w:rFonts w:ascii="NewBaskerville" w:hAnsi="NewBaskerville"/>
          <w:b/>
        </w:rPr>
        <w:t>“Inversiones Financieras a corto plazo</w:t>
      </w:r>
      <w:r w:rsidRPr="00C84DA4">
        <w:rPr>
          <w:rFonts w:ascii="NewBaskerville" w:hAnsi="NewBaskerville"/>
        </w:rPr>
        <w:t>” corresponde a imposiciones a corto plazo en</w:t>
      </w:r>
      <w:r w:rsidR="00C84DA4">
        <w:rPr>
          <w:rFonts w:ascii="NewBaskerville" w:hAnsi="NewBaskerville"/>
        </w:rPr>
        <w:t xml:space="preserve"> depósitos bancarios, el devengo de intereses de los mismos, y depósitos y fianzas constituidos a corto plazo.</w:t>
      </w:r>
    </w:p>
    <w:tbl>
      <w:tblPr>
        <w:tblW w:w="6480" w:type="dxa"/>
        <w:tblInd w:w="70" w:type="dxa"/>
        <w:tblCellMar>
          <w:left w:w="70" w:type="dxa"/>
          <w:right w:w="70" w:type="dxa"/>
        </w:tblCellMar>
        <w:tblLook w:val="04A0" w:firstRow="1" w:lastRow="0" w:firstColumn="1" w:lastColumn="0" w:noHBand="0" w:noVBand="1"/>
      </w:tblPr>
      <w:tblGrid>
        <w:gridCol w:w="4060"/>
        <w:gridCol w:w="1240"/>
        <w:gridCol w:w="1180"/>
      </w:tblGrid>
      <w:tr w:rsidR="004172A5" w:rsidRPr="004172A5" w:rsidTr="004172A5">
        <w:trPr>
          <w:trHeight w:val="300"/>
        </w:trPr>
        <w:tc>
          <w:tcPr>
            <w:tcW w:w="4060" w:type="dxa"/>
            <w:tcBorders>
              <w:top w:val="nil"/>
              <w:left w:val="nil"/>
              <w:bottom w:val="nil"/>
              <w:right w:val="nil"/>
            </w:tcBorders>
            <w:shd w:val="clear" w:color="auto" w:fill="auto"/>
            <w:noWrap/>
            <w:vAlign w:val="bottom"/>
            <w:hideMark/>
          </w:tcPr>
          <w:p w:rsidR="004172A5" w:rsidRPr="004172A5" w:rsidRDefault="004172A5" w:rsidP="004172A5">
            <w:pPr>
              <w:rPr>
                <w:rFonts w:ascii="Calibri" w:hAnsi="Calibri" w:cs="Calibri"/>
                <w:color w:val="000000"/>
                <w:sz w:val="22"/>
                <w:szCs w:val="22"/>
                <w:lang w:val="es-ES"/>
              </w:rPr>
            </w:pPr>
          </w:p>
        </w:tc>
        <w:tc>
          <w:tcPr>
            <w:tcW w:w="124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4172A5" w:rsidRPr="004172A5" w:rsidRDefault="004172A5" w:rsidP="004172A5">
            <w:pPr>
              <w:jc w:val="center"/>
              <w:rPr>
                <w:rFonts w:ascii="Lucida Bright" w:hAnsi="Lucida Bright" w:cs="Calibri"/>
                <w:b/>
                <w:bCs/>
                <w:color w:val="000000"/>
                <w:sz w:val="14"/>
                <w:szCs w:val="14"/>
                <w:lang w:val="es-ES"/>
              </w:rPr>
            </w:pPr>
            <w:r w:rsidRPr="004172A5">
              <w:rPr>
                <w:rFonts w:ascii="Lucida Bright" w:hAnsi="Lucida Bright" w:cs="Calibri"/>
                <w:b/>
                <w:bCs/>
                <w:color w:val="000000"/>
                <w:sz w:val="14"/>
                <w:szCs w:val="14"/>
                <w:lang w:val="es-ES"/>
              </w:rPr>
              <w:t>2023</w:t>
            </w:r>
          </w:p>
        </w:tc>
        <w:tc>
          <w:tcPr>
            <w:tcW w:w="1180" w:type="dxa"/>
            <w:tcBorders>
              <w:top w:val="single" w:sz="4" w:space="0" w:color="auto"/>
              <w:left w:val="nil"/>
              <w:bottom w:val="single" w:sz="4" w:space="0" w:color="auto"/>
              <w:right w:val="single" w:sz="4" w:space="0" w:color="auto"/>
            </w:tcBorders>
            <w:shd w:val="clear" w:color="000000" w:fill="CCFFCC"/>
            <w:noWrap/>
            <w:vAlign w:val="center"/>
            <w:hideMark/>
          </w:tcPr>
          <w:p w:rsidR="004172A5" w:rsidRPr="004172A5" w:rsidRDefault="004172A5" w:rsidP="004172A5">
            <w:pPr>
              <w:jc w:val="center"/>
              <w:rPr>
                <w:rFonts w:ascii="Lucida Bright" w:hAnsi="Lucida Bright" w:cs="Calibri"/>
                <w:b/>
                <w:bCs/>
                <w:color w:val="000000"/>
                <w:sz w:val="14"/>
                <w:szCs w:val="14"/>
                <w:lang w:val="es-ES"/>
              </w:rPr>
            </w:pPr>
            <w:r w:rsidRPr="004172A5">
              <w:rPr>
                <w:rFonts w:ascii="Lucida Bright" w:hAnsi="Lucida Bright" w:cs="Calibri"/>
                <w:b/>
                <w:bCs/>
                <w:color w:val="000000"/>
                <w:sz w:val="14"/>
                <w:szCs w:val="14"/>
                <w:lang w:val="es-ES"/>
              </w:rPr>
              <w:t>2022</w:t>
            </w:r>
          </w:p>
        </w:tc>
      </w:tr>
      <w:tr w:rsidR="004172A5" w:rsidRPr="004172A5" w:rsidTr="004172A5">
        <w:trPr>
          <w:trHeight w:val="300"/>
        </w:trPr>
        <w:tc>
          <w:tcPr>
            <w:tcW w:w="40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4172A5" w:rsidRPr="004172A5" w:rsidRDefault="004172A5" w:rsidP="004172A5">
            <w:pPr>
              <w:rPr>
                <w:rFonts w:ascii="Lucida Bright" w:hAnsi="Lucida Bright" w:cs="Calibri"/>
                <w:b/>
                <w:bCs/>
                <w:sz w:val="14"/>
                <w:szCs w:val="14"/>
                <w:lang w:val="es-ES"/>
              </w:rPr>
            </w:pPr>
            <w:r w:rsidRPr="004172A5">
              <w:rPr>
                <w:rFonts w:ascii="Lucida Bright" w:hAnsi="Lucida Bright" w:cs="Calibri"/>
                <w:b/>
                <w:bCs/>
                <w:sz w:val="14"/>
                <w:szCs w:val="14"/>
                <w:lang w:val="es-ES"/>
              </w:rPr>
              <w:t>V. Inversiones financieras a corto plazo.</w:t>
            </w:r>
          </w:p>
        </w:tc>
        <w:tc>
          <w:tcPr>
            <w:tcW w:w="1240" w:type="dxa"/>
            <w:tcBorders>
              <w:top w:val="nil"/>
              <w:left w:val="nil"/>
              <w:bottom w:val="single" w:sz="4" w:space="0" w:color="auto"/>
              <w:right w:val="single" w:sz="4" w:space="0" w:color="auto"/>
            </w:tcBorders>
            <w:shd w:val="clear" w:color="000000" w:fill="CCFFCC"/>
            <w:noWrap/>
            <w:vAlign w:val="bottom"/>
            <w:hideMark/>
          </w:tcPr>
          <w:p w:rsidR="004172A5" w:rsidRPr="004172A5" w:rsidRDefault="004172A5" w:rsidP="004172A5">
            <w:pPr>
              <w:jc w:val="right"/>
              <w:rPr>
                <w:rFonts w:ascii="Lucida Bright" w:hAnsi="Lucida Bright" w:cs="Calibri"/>
                <w:b/>
                <w:bCs/>
                <w:sz w:val="14"/>
                <w:szCs w:val="14"/>
                <w:lang w:val="es-ES"/>
              </w:rPr>
            </w:pPr>
            <w:r w:rsidRPr="004172A5">
              <w:rPr>
                <w:rFonts w:ascii="Lucida Bright" w:hAnsi="Lucida Bright" w:cs="Calibri"/>
                <w:b/>
                <w:bCs/>
                <w:sz w:val="14"/>
                <w:szCs w:val="14"/>
                <w:lang w:val="es-ES"/>
              </w:rPr>
              <w:t xml:space="preserve">131.695.220,44 </w:t>
            </w:r>
          </w:p>
        </w:tc>
        <w:tc>
          <w:tcPr>
            <w:tcW w:w="1180" w:type="dxa"/>
            <w:tcBorders>
              <w:top w:val="nil"/>
              <w:left w:val="nil"/>
              <w:bottom w:val="single" w:sz="4" w:space="0" w:color="auto"/>
              <w:right w:val="single" w:sz="4" w:space="0" w:color="auto"/>
            </w:tcBorders>
            <w:shd w:val="clear" w:color="000000" w:fill="CCFFCC"/>
            <w:noWrap/>
            <w:vAlign w:val="bottom"/>
            <w:hideMark/>
          </w:tcPr>
          <w:p w:rsidR="004172A5" w:rsidRPr="004172A5" w:rsidRDefault="004172A5" w:rsidP="004172A5">
            <w:pPr>
              <w:jc w:val="right"/>
              <w:rPr>
                <w:rFonts w:ascii="Lucida Bright" w:hAnsi="Lucida Bright" w:cs="Calibri"/>
                <w:b/>
                <w:bCs/>
                <w:sz w:val="14"/>
                <w:szCs w:val="14"/>
                <w:lang w:val="es-ES"/>
              </w:rPr>
            </w:pPr>
            <w:r w:rsidRPr="004172A5">
              <w:rPr>
                <w:rFonts w:ascii="Lucida Bright" w:hAnsi="Lucida Bright" w:cs="Calibri"/>
                <w:b/>
                <w:bCs/>
                <w:sz w:val="14"/>
                <w:szCs w:val="14"/>
                <w:lang w:val="es-ES"/>
              </w:rPr>
              <w:t xml:space="preserve">80.058.020,48 </w:t>
            </w:r>
          </w:p>
        </w:tc>
      </w:tr>
      <w:tr w:rsidR="004172A5" w:rsidRPr="004172A5" w:rsidTr="004172A5">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center"/>
            <w:hideMark/>
          </w:tcPr>
          <w:p w:rsidR="004172A5" w:rsidRPr="004172A5" w:rsidRDefault="004172A5" w:rsidP="004172A5">
            <w:pPr>
              <w:rPr>
                <w:rFonts w:ascii="Lucida Bright" w:hAnsi="Lucida Bright" w:cs="Calibri"/>
                <w:b/>
                <w:bCs/>
                <w:sz w:val="14"/>
                <w:szCs w:val="14"/>
                <w:lang w:val="es-ES"/>
              </w:rPr>
            </w:pPr>
            <w:r w:rsidRPr="004172A5">
              <w:rPr>
                <w:rFonts w:ascii="Lucida Bright" w:hAnsi="Lucida Bright" w:cs="Calibri"/>
                <w:b/>
                <w:bCs/>
                <w:sz w:val="14"/>
                <w:szCs w:val="14"/>
                <w:lang w:val="es-ES"/>
              </w:rPr>
              <w:t>3. Otros activos financieros</w:t>
            </w:r>
          </w:p>
        </w:tc>
        <w:tc>
          <w:tcPr>
            <w:tcW w:w="1240" w:type="dxa"/>
            <w:tcBorders>
              <w:top w:val="nil"/>
              <w:left w:val="nil"/>
              <w:bottom w:val="single" w:sz="4" w:space="0" w:color="auto"/>
              <w:right w:val="single" w:sz="4" w:space="0" w:color="auto"/>
            </w:tcBorders>
            <w:shd w:val="clear" w:color="auto" w:fill="auto"/>
            <w:noWrap/>
            <w:vAlign w:val="bottom"/>
            <w:hideMark/>
          </w:tcPr>
          <w:p w:rsidR="004172A5" w:rsidRPr="004172A5" w:rsidRDefault="004172A5" w:rsidP="004172A5">
            <w:pPr>
              <w:jc w:val="right"/>
              <w:rPr>
                <w:rFonts w:ascii="Lucida Bright" w:hAnsi="Lucida Bright" w:cs="Calibri"/>
                <w:b/>
                <w:bCs/>
                <w:sz w:val="14"/>
                <w:szCs w:val="14"/>
                <w:lang w:val="es-ES"/>
              </w:rPr>
            </w:pPr>
            <w:r w:rsidRPr="004172A5">
              <w:rPr>
                <w:rFonts w:ascii="Lucida Bright" w:hAnsi="Lucida Bright" w:cs="Calibri"/>
                <w:b/>
                <w:bCs/>
                <w:sz w:val="14"/>
                <w:szCs w:val="14"/>
                <w:lang w:val="es-ES"/>
              </w:rPr>
              <w:t xml:space="preserve">131.695.220,44 </w:t>
            </w:r>
          </w:p>
        </w:tc>
        <w:tc>
          <w:tcPr>
            <w:tcW w:w="1180" w:type="dxa"/>
            <w:tcBorders>
              <w:top w:val="nil"/>
              <w:left w:val="nil"/>
              <w:bottom w:val="single" w:sz="4" w:space="0" w:color="auto"/>
              <w:right w:val="single" w:sz="4" w:space="0" w:color="auto"/>
            </w:tcBorders>
            <w:shd w:val="clear" w:color="000000" w:fill="FFFFFF"/>
            <w:noWrap/>
            <w:vAlign w:val="bottom"/>
            <w:hideMark/>
          </w:tcPr>
          <w:p w:rsidR="004172A5" w:rsidRPr="004172A5" w:rsidRDefault="004172A5" w:rsidP="004172A5">
            <w:pPr>
              <w:jc w:val="right"/>
              <w:rPr>
                <w:rFonts w:ascii="Lucida Bright" w:hAnsi="Lucida Bright" w:cs="Calibri"/>
                <w:b/>
                <w:bCs/>
                <w:sz w:val="14"/>
                <w:szCs w:val="14"/>
                <w:lang w:val="es-ES"/>
              </w:rPr>
            </w:pPr>
            <w:r w:rsidRPr="004172A5">
              <w:rPr>
                <w:rFonts w:ascii="Lucida Bright" w:hAnsi="Lucida Bright" w:cs="Calibri"/>
                <w:b/>
                <w:bCs/>
                <w:sz w:val="14"/>
                <w:szCs w:val="14"/>
                <w:lang w:val="es-ES"/>
              </w:rPr>
              <w:t xml:space="preserve">80.058.020,48 </w:t>
            </w:r>
          </w:p>
        </w:tc>
      </w:tr>
      <w:tr w:rsidR="004172A5" w:rsidRPr="004172A5" w:rsidTr="004172A5">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bottom"/>
            <w:hideMark/>
          </w:tcPr>
          <w:p w:rsidR="004172A5" w:rsidRPr="004172A5" w:rsidRDefault="004172A5" w:rsidP="004172A5">
            <w:pPr>
              <w:rPr>
                <w:rFonts w:ascii="Lucida Bright" w:hAnsi="Lucida Bright" w:cs="Calibri"/>
                <w:sz w:val="14"/>
                <w:szCs w:val="14"/>
                <w:lang w:val="es-ES"/>
              </w:rPr>
            </w:pPr>
            <w:r w:rsidRPr="004172A5">
              <w:rPr>
                <w:rFonts w:ascii="Lucida Bright" w:hAnsi="Lucida Bright" w:cs="Calibri"/>
                <w:sz w:val="14"/>
                <w:szCs w:val="14"/>
                <w:lang w:val="es-ES"/>
              </w:rPr>
              <w:t xml:space="preserve">Imposiciones a </w:t>
            </w:r>
            <w:proofErr w:type="spellStart"/>
            <w:r w:rsidRPr="004172A5">
              <w:rPr>
                <w:rFonts w:ascii="Lucida Bright" w:hAnsi="Lucida Bright" w:cs="Calibri"/>
                <w:sz w:val="14"/>
                <w:szCs w:val="14"/>
                <w:lang w:val="es-ES"/>
              </w:rPr>
              <w:t>c.p.</w:t>
            </w:r>
            <w:proofErr w:type="spellEnd"/>
          </w:p>
        </w:tc>
        <w:tc>
          <w:tcPr>
            <w:tcW w:w="1240" w:type="dxa"/>
            <w:tcBorders>
              <w:top w:val="nil"/>
              <w:left w:val="nil"/>
              <w:bottom w:val="single" w:sz="4" w:space="0" w:color="auto"/>
              <w:right w:val="single" w:sz="4" w:space="0" w:color="auto"/>
            </w:tcBorders>
            <w:shd w:val="clear" w:color="000000" w:fill="FFFFFF"/>
            <w:noWrap/>
            <w:vAlign w:val="bottom"/>
            <w:hideMark/>
          </w:tcPr>
          <w:p w:rsidR="004172A5" w:rsidRPr="004172A5" w:rsidRDefault="004172A5" w:rsidP="004172A5">
            <w:pPr>
              <w:jc w:val="right"/>
              <w:rPr>
                <w:rFonts w:ascii="Lucida Bright" w:hAnsi="Lucida Bright" w:cs="Calibri"/>
                <w:sz w:val="14"/>
                <w:szCs w:val="14"/>
                <w:lang w:val="es-ES"/>
              </w:rPr>
            </w:pPr>
            <w:r w:rsidRPr="004172A5">
              <w:rPr>
                <w:rFonts w:ascii="Lucida Bright" w:hAnsi="Lucida Bright" w:cs="Calibri"/>
                <w:sz w:val="14"/>
                <w:szCs w:val="14"/>
                <w:lang w:val="es-ES"/>
              </w:rPr>
              <w:t xml:space="preserve">130.000.000,00 </w:t>
            </w:r>
          </w:p>
        </w:tc>
        <w:tc>
          <w:tcPr>
            <w:tcW w:w="1180" w:type="dxa"/>
            <w:tcBorders>
              <w:top w:val="nil"/>
              <w:left w:val="nil"/>
              <w:bottom w:val="single" w:sz="4" w:space="0" w:color="auto"/>
              <w:right w:val="single" w:sz="4" w:space="0" w:color="auto"/>
            </w:tcBorders>
            <w:shd w:val="clear" w:color="000000" w:fill="FFFFFF"/>
            <w:noWrap/>
            <w:vAlign w:val="bottom"/>
            <w:hideMark/>
          </w:tcPr>
          <w:p w:rsidR="004172A5" w:rsidRPr="004172A5" w:rsidRDefault="004172A5" w:rsidP="004172A5">
            <w:pPr>
              <w:jc w:val="right"/>
              <w:rPr>
                <w:rFonts w:ascii="Lucida Bright" w:hAnsi="Lucida Bright" w:cs="Calibri"/>
                <w:sz w:val="14"/>
                <w:szCs w:val="14"/>
                <w:lang w:val="es-ES"/>
              </w:rPr>
            </w:pPr>
            <w:r w:rsidRPr="004172A5">
              <w:rPr>
                <w:rFonts w:ascii="Lucida Bright" w:hAnsi="Lucida Bright" w:cs="Calibri"/>
                <w:sz w:val="14"/>
                <w:szCs w:val="14"/>
                <w:lang w:val="es-ES"/>
              </w:rPr>
              <w:t xml:space="preserve">80.000.000,00 </w:t>
            </w:r>
          </w:p>
        </w:tc>
      </w:tr>
      <w:tr w:rsidR="004172A5" w:rsidRPr="004172A5" w:rsidTr="004172A5">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bottom"/>
            <w:hideMark/>
          </w:tcPr>
          <w:p w:rsidR="004172A5" w:rsidRPr="004172A5" w:rsidRDefault="004172A5" w:rsidP="004172A5">
            <w:pPr>
              <w:rPr>
                <w:rFonts w:ascii="Lucida Bright" w:hAnsi="Lucida Bright" w:cs="Calibri"/>
                <w:sz w:val="14"/>
                <w:szCs w:val="14"/>
                <w:lang w:val="es-ES"/>
              </w:rPr>
            </w:pPr>
            <w:r w:rsidRPr="004172A5">
              <w:rPr>
                <w:rFonts w:ascii="Lucida Bright" w:hAnsi="Lucida Bright" w:cs="Calibri"/>
                <w:sz w:val="14"/>
                <w:szCs w:val="14"/>
                <w:lang w:val="es-ES"/>
              </w:rPr>
              <w:t xml:space="preserve">Intereses a </w:t>
            </w:r>
            <w:proofErr w:type="spellStart"/>
            <w:r w:rsidRPr="004172A5">
              <w:rPr>
                <w:rFonts w:ascii="Lucida Bright" w:hAnsi="Lucida Bright" w:cs="Calibri"/>
                <w:sz w:val="14"/>
                <w:szCs w:val="14"/>
                <w:lang w:val="es-ES"/>
              </w:rPr>
              <w:t>c.p.</w:t>
            </w:r>
            <w:proofErr w:type="spellEnd"/>
          </w:p>
        </w:tc>
        <w:tc>
          <w:tcPr>
            <w:tcW w:w="1240" w:type="dxa"/>
            <w:tcBorders>
              <w:top w:val="nil"/>
              <w:left w:val="nil"/>
              <w:bottom w:val="single" w:sz="4" w:space="0" w:color="auto"/>
              <w:right w:val="single" w:sz="4" w:space="0" w:color="auto"/>
            </w:tcBorders>
            <w:shd w:val="clear" w:color="000000" w:fill="FFFFFF"/>
            <w:noWrap/>
            <w:vAlign w:val="bottom"/>
            <w:hideMark/>
          </w:tcPr>
          <w:p w:rsidR="004172A5" w:rsidRPr="004172A5" w:rsidRDefault="004172A5" w:rsidP="004172A5">
            <w:pPr>
              <w:jc w:val="right"/>
              <w:rPr>
                <w:rFonts w:ascii="Lucida Bright" w:hAnsi="Lucida Bright" w:cs="Calibri"/>
                <w:sz w:val="14"/>
                <w:szCs w:val="14"/>
                <w:lang w:val="es-ES"/>
              </w:rPr>
            </w:pPr>
            <w:r w:rsidRPr="004172A5">
              <w:rPr>
                <w:rFonts w:ascii="Lucida Bright" w:hAnsi="Lucida Bright" w:cs="Calibri"/>
                <w:sz w:val="14"/>
                <w:szCs w:val="14"/>
                <w:lang w:val="es-ES"/>
              </w:rPr>
              <w:t xml:space="preserve">1.643.344,19 </w:t>
            </w:r>
          </w:p>
        </w:tc>
        <w:tc>
          <w:tcPr>
            <w:tcW w:w="1180" w:type="dxa"/>
            <w:tcBorders>
              <w:top w:val="nil"/>
              <w:left w:val="nil"/>
              <w:bottom w:val="single" w:sz="4" w:space="0" w:color="auto"/>
              <w:right w:val="single" w:sz="4" w:space="0" w:color="auto"/>
            </w:tcBorders>
            <w:shd w:val="clear" w:color="000000" w:fill="FFFFFF"/>
            <w:noWrap/>
            <w:vAlign w:val="bottom"/>
            <w:hideMark/>
          </w:tcPr>
          <w:p w:rsidR="004172A5" w:rsidRPr="004172A5" w:rsidRDefault="004172A5" w:rsidP="004172A5">
            <w:pPr>
              <w:jc w:val="right"/>
              <w:rPr>
                <w:rFonts w:ascii="Lucida Bright" w:hAnsi="Lucida Bright" w:cs="Calibri"/>
                <w:sz w:val="14"/>
                <w:szCs w:val="14"/>
                <w:lang w:val="es-ES"/>
              </w:rPr>
            </w:pPr>
            <w:r w:rsidRPr="004172A5">
              <w:rPr>
                <w:rFonts w:ascii="Lucida Bright" w:hAnsi="Lucida Bright" w:cs="Calibri"/>
                <w:sz w:val="14"/>
                <w:szCs w:val="14"/>
                <w:lang w:val="es-ES"/>
              </w:rPr>
              <w:t xml:space="preserve">6.144,23 </w:t>
            </w:r>
          </w:p>
        </w:tc>
      </w:tr>
      <w:tr w:rsidR="004172A5" w:rsidRPr="004172A5" w:rsidTr="004172A5">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bottom"/>
            <w:hideMark/>
          </w:tcPr>
          <w:p w:rsidR="004172A5" w:rsidRPr="004172A5" w:rsidRDefault="004172A5" w:rsidP="004172A5">
            <w:pPr>
              <w:rPr>
                <w:rFonts w:ascii="Lucida Bright" w:hAnsi="Lucida Bright" w:cs="Calibri"/>
                <w:sz w:val="14"/>
                <w:szCs w:val="14"/>
                <w:lang w:val="es-ES"/>
              </w:rPr>
            </w:pPr>
            <w:r w:rsidRPr="004172A5">
              <w:rPr>
                <w:rFonts w:ascii="Lucida Bright" w:hAnsi="Lucida Bright" w:cs="Calibri"/>
                <w:sz w:val="14"/>
                <w:szCs w:val="14"/>
                <w:lang w:val="es-ES"/>
              </w:rPr>
              <w:t xml:space="preserve">Fianzas y depósitos constituidas a </w:t>
            </w:r>
            <w:proofErr w:type="spellStart"/>
            <w:r w:rsidRPr="004172A5">
              <w:rPr>
                <w:rFonts w:ascii="Lucida Bright" w:hAnsi="Lucida Bright" w:cs="Calibri"/>
                <w:sz w:val="14"/>
                <w:szCs w:val="14"/>
                <w:lang w:val="es-ES"/>
              </w:rPr>
              <w:t>c.p.</w:t>
            </w:r>
            <w:proofErr w:type="spellEnd"/>
          </w:p>
        </w:tc>
        <w:tc>
          <w:tcPr>
            <w:tcW w:w="1240" w:type="dxa"/>
            <w:tcBorders>
              <w:top w:val="nil"/>
              <w:left w:val="nil"/>
              <w:bottom w:val="single" w:sz="4" w:space="0" w:color="auto"/>
              <w:right w:val="single" w:sz="4" w:space="0" w:color="auto"/>
            </w:tcBorders>
            <w:shd w:val="clear" w:color="000000" w:fill="FFFFFF"/>
            <w:noWrap/>
            <w:vAlign w:val="bottom"/>
            <w:hideMark/>
          </w:tcPr>
          <w:p w:rsidR="004172A5" w:rsidRPr="004172A5" w:rsidRDefault="004172A5" w:rsidP="004172A5">
            <w:pPr>
              <w:jc w:val="right"/>
              <w:rPr>
                <w:rFonts w:ascii="Lucida Bright" w:hAnsi="Lucida Bright" w:cs="Calibri"/>
                <w:sz w:val="14"/>
                <w:szCs w:val="14"/>
                <w:lang w:val="es-ES"/>
              </w:rPr>
            </w:pPr>
            <w:r w:rsidRPr="004172A5">
              <w:rPr>
                <w:rFonts w:ascii="Lucida Bright" w:hAnsi="Lucida Bright" w:cs="Calibri"/>
                <w:sz w:val="14"/>
                <w:szCs w:val="14"/>
                <w:lang w:val="es-ES"/>
              </w:rPr>
              <w:t xml:space="preserve">51.876,25 </w:t>
            </w:r>
          </w:p>
        </w:tc>
        <w:tc>
          <w:tcPr>
            <w:tcW w:w="1180" w:type="dxa"/>
            <w:tcBorders>
              <w:top w:val="nil"/>
              <w:left w:val="nil"/>
              <w:bottom w:val="single" w:sz="4" w:space="0" w:color="auto"/>
              <w:right w:val="single" w:sz="4" w:space="0" w:color="auto"/>
            </w:tcBorders>
            <w:shd w:val="clear" w:color="000000" w:fill="FFFFFF"/>
            <w:noWrap/>
            <w:vAlign w:val="bottom"/>
            <w:hideMark/>
          </w:tcPr>
          <w:p w:rsidR="004172A5" w:rsidRPr="004172A5" w:rsidRDefault="004172A5" w:rsidP="004172A5">
            <w:pPr>
              <w:jc w:val="right"/>
              <w:rPr>
                <w:rFonts w:ascii="Lucida Bright" w:hAnsi="Lucida Bright" w:cs="Calibri"/>
                <w:sz w:val="14"/>
                <w:szCs w:val="14"/>
                <w:lang w:val="es-ES"/>
              </w:rPr>
            </w:pPr>
            <w:r w:rsidRPr="004172A5">
              <w:rPr>
                <w:rFonts w:ascii="Lucida Bright" w:hAnsi="Lucida Bright" w:cs="Calibri"/>
                <w:sz w:val="14"/>
                <w:szCs w:val="14"/>
                <w:lang w:val="es-ES"/>
              </w:rPr>
              <w:t xml:space="preserve">51.876,25 </w:t>
            </w:r>
          </w:p>
        </w:tc>
      </w:tr>
    </w:tbl>
    <w:p w:rsidR="00C84DA4" w:rsidRDefault="00C84DA4" w:rsidP="003930DB">
      <w:pPr>
        <w:tabs>
          <w:tab w:val="right" w:pos="8364"/>
        </w:tabs>
        <w:jc w:val="both"/>
        <w:rPr>
          <w:sz w:val="24"/>
        </w:rPr>
      </w:pPr>
    </w:p>
    <w:p w:rsidR="00C84DA4" w:rsidRDefault="00C84DA4" w:rsidP="003930DB">
      <w:pPr>
        <w:tabs>
          <w:tab w:val="right" w:pos="8364"/>
        </w:tabs>
        <w:jc w:val="both"/>
        <w:rPr>
          <w:sz w:val="24"/>
        </w:rPr>
      </w:pPr>
    </w:p>
    <w:p w:rsidR="00456615" w:rsidRDefault="00456615" w:rsidP="003930DB">
      <w:pPr>
        <w:tabs>
          <w:tab w:val="right" w:pos="8364"/>
        </w:tabs>
        <w:jc w:val="both"/>
        <w:rPr>
          <w:sz w:val="24"/>
        </w:rPr>
      </w:pPr>
    </w:p>
    <w:p w:rsidR="00FF21A0" w:rsidRPr="00E867B3" w:rsidRDefault="00F706A9" w:rsidP="00D85649">
      <w:pPr>
        <w:tabs>
          <w:tab w:val="right" w:pos="8364"/>
        </w:tabs>
        <w:ind w:left="120"/>
        <w:jc w:val="both"/>
        <w:rPr>
          <w:rFonts w:ascii="NewBaskerville" w:hAnsi="NewBaskerville"/>
        </w:rPr>
      </w:pPr>
      <w:r w:rsidRPr="00E867B3">
        <w:rPr>
          <w:rFonts w:ascii="NewBaskerville" w:hAnsi="NewBaskerville"/>
        </w:rPr>
        <w:t>9</w:t>
      </w:r>
      <w:r w:rsidR="00F348FE" w:rsidRPr="00E867B3">
        <w:rPr>
          <w:rFonts w:ascii="NewBaskerville" w:hAnsi="NewBaskerville"/>
        </w:rPr>
        <w:t xml:space="preserve">.2 </w:t>
      </w:r>
      <w:r w:rsidR="00FF21A0" w:rsidRPr="00E867B3">
        <w:rPr>
          <w:rFonts w:ascii="NewBaskerville" w:hAnsi="NewBaskerville"/>
        </w:rPr>
        <w:t xml:space="preserve">Pasivos financieros </w:t>
      </w:r>
    </w:p>
    <w:p w:rsidR="00D41560" w:rsidRPr="00E867B3" w:rsidRDefault="00D41560" w:rsidP="00D41560">
      <w:pPr>
        <w:ind w:left="360"/>
        <w:jc w:val="both"/>
        <w:rPr>
          <w:rFonts w:ascii="NewBaskerville" w:hAnsi="NewBaskerville"/>
        </w:rPr>
      </w:pPr>
    </w:p>
    <w:p w:rsidR="00FF21A0" w:rsidRPr="00E867B3" w:rsidRDefault="00FF21A0" w:rsidP="00FF21A0">
      <w:pPr>
        <w:pStyle w:val="Ttulo5"/>
        <w:rPr>
          <w:rFonts w:ascii="NewBaskerville" w:hAnsi="NewBaskerville"/>
          <w:sz w:val="20"/>
        </w:rPr>
      </w:pPr>
      <w:r w:rsidRPr="00E867B3">
        <w:rPr>
          <w:rFonts w:ascii="NewBaskerville" w:hAnsi="NewBaskerville"/>
          <w:sz w:val="20"/>
        </w:rPr>
        <w:t xml:space="preserve">Los instrumentos financieros a </w:t>
      </w:r>
      <w:r w:rsidRPr="00E867B3">
        <w:rPr>
          <w:rFonts w:ascii="NewBaskerville" w:hAnsi="NewBaskerville"/>
          <w:b/>
          <w:sz w:val="20"/>
        </w:rPr>
        <w:t>largo plazo</w:t>
      </w:r>
      <w:r w:rsidRPr="00E867B3">
        <w:rPr>
          <w:rFonts w:ascii="NewBaskerville" w:hAnsi="NewBaskerville"/>
          <w:sz w:val="20"/>
        </w:rPr>
        <w:t xml:space="preserve"> corresponden a fianzas y depósitos recibidos como consecuencia de </w:t>
      </w:r>
      <w:r w:rsidR="00E867B3">
        <w:rPr>
          <w:rFonts w:ascii="NewBaskerville" w:hAnsi="NewBaskerville"/>
          <w:sz w:val="20"/>
        </w:rPr>
        <w:t>las concesiones,</w:t>
      </w:r>
      <w:r w:rsidR="009C5EF6" w:rsidRPr="00E867B3">
        <w:rPr>
          <w:rFonts w:ascii="NewBaskerville" w:hAnsi="NewBaskerville"/>
          <w:sz w:val="20"/>
        </w:rPr>
        <w:t xml:space="preserve"> </w:t>
      </w:r>
      <w:r w:rsidR="00E867B3">
        <w:rPr>
          <w:rFonts w:ascii="NewBaskerville" w:hAnsi="NewBaskerville"/>
          <w:sz w:val="20"/>
        </w:rPr>
        <w:t>a</w:t>
      </w:r>
      <w:r w:rsidR="009C5EF6" w:rsidRPr="00E867B3">
        <w:rPr>
          <w:rFonts w:ascii="NewBaskerville" w:hAnsi="NewBaskerville"/>
          <w:sz w:val="20"/>
        </w:rPr>
        <w:t>utorizaciones temporales, contratos</w:t>
      </w:r>
      <w:r w:rsidR="00223769" w:rsidRPr="00E867B3">
        <w:rPr>
          <w:rFonts w:ascii="NewBaskerville" w:hAnsi="NewBaskerville"/>
          <w:sz w:val="20"/>
        </w:rPr>
        <w:t xml:space="preserve"> formalizados por la Entidad</w:t>
      </w:r>
      <w:r w:rsidR="009C5EF6" w:rsidRPr="00E867B3">
        <w:rPr>
          <w:rFonts w:ascii="NewBaskerville" w:hAnsi="NewBaskerville"/>
          <w:sz w:val="20"/>
        </w:rPr>
        <w:t xml:space="preserve"> y por otras prestaciones realizadas; no se actualizan </w:t>
      </w:r>
      <w:r w:rsidR="008155BC" w:rsidRPr="00E867B3">
        <w:rPr>
          <w:rFonts w:ascii="NewBaskerville" w:hAnsi="NewBaskerville"/>
          <w:sz w:val="20"/>
        </w:rPr>
        <w:t>financieramente</w:t>
      </w:r>
      <w:r w:rsidR="009C5EF6" w:rsidRPr="00E867B3">
        <w:rPr>
          <w:rFonts w:ascii="NewBaskerville" w:hAnsi="NewBaskerville"/>
          <w:sz w:val="20"/>
        </w:rPr>
        <w:t xml:space="preserve"> debido</w:t>
      </w:r>
      <w:r w:rsidR="001A0434" w:rsidRPr="00E867B3">
        <w:rPr>
          <w:rFonts w:ascii="NewBaskerville" w:hAnsi="NewBaskerville"/>
          <w:sz w:val="20"/>
        </w:rPr>
        <w:t xml:space="preserve"> a que</w:t>
      </w:r>
      <w:r w:rsidRPr="00E867B3">
        <w:rPr>
          <w:rFonts w:ascii="NewBaskerville" w:hAnsi="NewBaskerville"/>
          <w:sz w:val="20"/>
        </w:rPr>
        <w:t xml:space="preserve"> el efecto de no actualizar los flujos de efectivo no es significativo. Durante el ejercicio </w:t>
      </w:r>
      <w:r w:rsidR="00446E23" w:rsidRPr="00E867B3">
        <w:rPr>
          <w:rFonts w:ascii="NewBaskerville" w:hAnsi="NewBaskerville"/>
          <w:sz w:val="20"/>
        </w:rPr>
        <w:t>202</w:t>
      </w:r>
      <w:r w:rsidR="0082306C">
        <w:rPr>
          <w:rFonts w:ascii="NewBaskerville" w:hAnsi="NewBaskerville"/>
          <w:sz w:val="20"/>
        </w:rPr>
        <w:t>3</w:t>
      </w:r>
      <w:r w:rsidRPr="00E867B3">
        <w:rPr>
          <w:rFonts w:ascii="NewBaskerville" w:hAnsi="NewBaskerville"/>
          <w:sz w:val="20"/>
        </w:rPr>
        <w:t xml:space="preserve"> se han recibido en concepto depósitos y fianzas un total de </w:t>
      </w:r>
      <w:r w:rsidR="00E867B3">
        <w:rPr>
          <w:rFonts w:ascii="NewBaskerville" w:hAnsi="NewBaskerville"/>
          <w:sz w:val="20"/>
        </w:rPr>
        <w:t>3.</w:t>
      </w:r>
      <w:r w:rsidR="0082306C">
        <w:rPr>
          <w:rFonts w:ascii="NewBaskerville" w:hAnsi="NewBaskerville"/>
          <w:sz w:val="20"/>
        </w:rPr>
        <w:t>501</w:t>
      </w:r>
      <w:r w:rsidR="00E867B3">
        <w:rPr>
          <w:rFonts w:ascii="NewBaskerville" w:hAnsi="NewBaskerville"/>
          <w:sz w:val="20"/>
        </w:rPr>
        <w:t>.</w:t>
      </w:r>
      <w:r w:rsidR="0082306C">
        <w:rPr>
          <w:rFonts w:ascii="NewBaskerville" w:hAnsi="NewBaskerville"/>
          <w:sz w:val="20"/>
        </w:rPr>
        <w:t>199</w:t>
      </w:r>
      <w:r w:rsidR="00E867B3">
        <w:rPr>
          <w:rFonts w:ascii="NewBaskerville" w:hAnsi="NewBaskerville"/>
          <w:sz w:val="20"/>
        </w:rPr>
        <w:t>,</w:t>
      </w:r>
      <w:r w:rsidR="0082306C">
        <w:rPr>
          <w:rFonts w:ascii="NewBaskerville" w:hAnsi="NewBaskerville"/>
          <w:sz w:val="20"/>
        </w:rPr>
        <w:t>48</w:t>
      </w:r>
      <w:r w:rsidRPr="00E867B3">
        <w:rPr>
          <w:rFonts w:ascii="NewBaskerville" w:hAnsi="NewBaskerville"/>
          <w:sz w:val="20"/>
        </w:rPr>
        <w:t xml:space="preserve"> euros y se han cancelado por este mismo concepto un total de </w:t>
      </w:r>
      <w:r w:rsidR="0082306C">
        <w:rPr>
          <w:rFonts w:ascii="NewBaskerville" w:hAnsi="NewBaskerville"/>
          <w:sz w:val="20"/>
        </w:rPr>
        <w:t>2.014.173</w:t>
      </w:r>
      <w:r w:rsidR="00E867B3">
        <w:rPr>
          <w:rFonts w:ascii="NewBaskerville" w:hAnsi="NewBaskerville"/>
          <w:sz w:val="20"/>
        </w:rPr>
        <w:t>,</w:t>
      </w:r>
      <w:r w:rsidR="0082306C">
        <w:rPr>
          <w:rFonts w:ascii="NewBaskerville" w:hAnsi="NewBaskerville"/>
          <w:sz w:val="20"/>
        </w:rPr>
        <w:t>36</w:t>
      </w:r>
      <w:r w:rsidR="007064F8" w:rsidRPr="00E867B3">
        <w:rPr>
          <w:rFonts w:ascii="NewBaskerville" w:hAnsi="NewBaskerville"/>
          <w:sz w:val="20"/>
        </w:rPr>
        <w:t xml:space="preserve"> </w:t>
      </w:r>
      <w:r w:rsidR="00446E23" w:rsidRPr="00E867B3">
        <w:rPr>
          <w:rFonts w:ascii="NewBaskerville" w:hAnsi="NewBaskerville"/>
          <w:sz w:val="20"/>
        </w:rPr>
        <w:t>euros. Durante el ejercicio 202</w:t>
      </w:r>
      <w:r w:rsidR="0082306C">
        <w:rPr>
          <w:rFonts w:ascii="NewBaskerville" w:hAnsi="NewBaskerville"/>
          <w:sz w:val="20"/>
        </w:rPr>
        <w:t>2</w:t>
      </w:r>
      <w:r w:rsidRPr="00E867B3">
        <w:rPr>
          <w:rFonts w:ascii="NewBaskerville" w:hAnsi="NewBaskerville"/>
          <w:sz w:val="20"/>
        </w:rPr>
        <w:t xml:space="preserve"> se constituyeron en concepto de depósitos y fianzas un total de </w:t>
      </w:r>
      <w:r w:rsidR="0082306C">
        <w:rPr>
          <w:rFonts w:ascii="NewBaskerville" w:hAnsi="NewBaskerville"/>
          <w:sz w:val="20"/>
        </w:rPr>
        <w:t>3.674.896,87</w:t>
      </w:r>
      <w:r w:rsidR="007064F8" w:rsidRPr="00E867B3">
        <w:rPr>
          <w:rFonts w:ascii="NewBaskerville" w:hAnsi="NewBaskerville"/>
          <w:sz w:val="20"/>
        </w:rPr>
        <w:t xml:space="preserve"> </w:t>
      </w:r>
      <w:r w:rsidRPr="00E867B3">
        <w:rPr>
          <w:rFonts w:ascii="NewBaskerville" w:hAnsi="NewBaskerville"/>
          <w:sz w:val="20"/>
        </w:rPr>
        <w:t xml:space="preserve">euros mientras que en ese mismo ejercicio se cancelaron depósitos y fianzas por importe de </w:t>
      </w:r>
      <w:r w:rsidR="0082306C">
        <w:rPr>
          <w:rFonts w:ascii="NewBaskerville" w:hAnsi="NewBaskerville"/>
          <w:sz w:val="20"/>
        </w:rPr>
        <w:t>1.657.910,22</w:t>
      </w:r>
      <w:r w:rsidR="00446E23" w:rsidRPr="00E867B3">
        <w:rPr>
          <w:rFonts w:ascii="NewBaskerville" w:hAnsi="NewBaskerville"/>
          <w:sz w:val="20"/>
        </w:rPr>
        <w:t xml:space="preserve"> </w:t>
      </w:r>
      <w:r w:rsidRPr="00E867B3">
        <w:rPr>
          <w:rFonts w:ascii="NewBaskerville" w:hAnsi="NewBaskerville"/>
          <w:sz w:val="20"/>
        </w:rPr>
        <w:t>euros.</w:t>
      </w:r>
    </w:p>
    <w:p w:rsidR="00FF21A0" w:rsidRPr="00CF32FF" w:rsidRDefault="00FF21A0" w:rsidP="00FF21A0">
      <w:pPr>
        <w:tabs>
          <w:tab w:val="right" w:pos="8364"/>
        </w:tabs>
        <w:ind w:left="120" w:firstLine="420"/>
        <w:jc w:val="both"/>
      </w:pPr>
    </w:p>
    <w:p w:rsidR="00E90A55" w:rsidRDefault="00FF21A0" w:rsidP="00E90A55">
      <w:pPr>
        <w:pStyle w:val="Sangra2detindependiente"/>
        <w:tabs>
          <w:tab w:val="right" w:pos="8364"/>
        </w:tabs>
        <w:rPr>
          <w:rFonts w:ascii="NewBaskerville" w:hAnsi="NewBaskerville"/>
          <w:sz w:val="20"/>
        </w:rPr>
      </w:pPr>
      <w:r w:rsidRPr="00E867B3">
        <w:rPr>
          <w:rFonts w:ascii="NewBaskerville" w:hAnsi="NewBaskerville"/>
          <w:sz w:val="20"/>
        </w:rPr>
        <w:t xml:space="preserve">Los instrumentos financieros a </w:t>
      </w:r>
      <w:r w:rsidRPr="00E867B3">
        <w:rPr>
          <w:rFonts w:ascii="NewBaskerville" w:hAnsi="NewBaskerville"/>
          <w:b/>
          <w:sz w:val="20"/>
        </w:rPr>
        <w:t>corto plazo</w:t>
      </w:r>
      <w:r w:rsidRPr="00E867B3">
        <w:rPr>
          <w:rFonts w:ascii="NewBaskerville" w:hAnsi="NewBaskerville"/>
          <w:sz w:val="20"/>
        </w:rPr>
        <w:t xml:space="preserve"> corresponden a acreedores comerciales</w:t>
      </w:r>
      <w:r w:rsidR="00E867B3">
        <w:rPr>
          <w:rFonts w:ascii="NewBaskerville" w:hAnsi="NewBaskerville"/>
          <w:sz w:val="20"/>
        </w:rPr>
        <w:t xml:space="preserve"> y no comerciales</w:t>
      </w:r>
      <w:r w:rsidRPr="00E867B3">
        <w:rPr>
          <w:rFonts w:ascii="NewBaskerville" w:hAnsi="NewBaskerville"/>
          <w:sz w:val="20"/>
        </w:rPr>
        <w:t>, a proveedores de inmovilizado, a fianzas y depósitos recibidos a corto plazo.</w:t>
      </w:r>
      <w:r w:rsidR="00E90A55" w:rsidRPr="00E867B3">
        <w:rPr>
          <w:rFonts w:ascii="NewBaskerville" w:hAnsi="NewBaskerville"/>
          <w:sz w:val="20"/>
        </w:rPr>
        <w:t xml:space="preserve"> No hay ningún tipo de deuda con vencimiento superior a cinco años n</w:t>
      </w:r>
      <w:r w:rsidR="00484FB9" w:rsidRPr="00E867B3">
        <w:rPr>
          <w:rFonts w:ascii="NewBaskerville" w:hAnsi="NewBaskerville"/>
          <w:sz w:val="20"/>
        </w:rPr>
        <w:t>i avalada con garantías reales.</w:t>
      </w:r>
    </w:p>
    <w:p w:rsidR="00456615" w:rsidRDefault="00456615" w:rsidP="00E90A55">
      <w:pPr>
        <w:pStyle w:val="Sangra2detindependiente"/>
        <w:tabs>
          <w:tab w:val="right" w:pos="8364"/>
        </w:tabs>
        <w:rPr>
          <w:rFonts w:ascii="NewBaskerville" w:hAnsi="NewBaskerville"/>
          <w:sz w:val="20"/>
        </w:rPr>
      </w:pPr>
    </w:p>
    <w:p w:rsidR="00456615" w:rsidRPr="00E867B3" w:rsidRDefault="002E0773" w:rsidP="00E90A55">
      <w:pPr>
        <w:pStyle w:val="Sangra2detindependiente"/>
        <w:tabs>
          <w:tab w:val="right" w:pos="8364"/>
        </w:tabs>
        <w:rPr>
          <w:rFonts w:ascii="NewBaskerville" w:hAnsi="NewBaskerville"/>
          <w:sz w:val="20"/>
        </w:rPr>
      </w:pPr>
      <w:r>
        <w:rPr>
          <w:rFonts w:ascii="NewBaskerville" w:hAnsi="NewBaskerville"/>
          <w:sz w:val="20"/>
        </w:rPr>
        <w:t>Seguidamente se relacionan por epígrafes los pasivos financieros a corto plazo registrados:</w:t>
      </w:r>
    </w:p>
    <w:tbl>
      <w:tblPr>
        <w:tblW w:w="6120" w:type="dxa"/>
        <w:tblInd w:w="70" w:type="dxa"/>
        <w:tblCellMar>
          <w:left w:w="70" w:type="dxa"/>
          <w:right w:w="70" w:type="dxa"/>
        </w:tblCellMar>
        <w:tblLook w:val="04A0" w:firstRow="1" w:lastRow="0" w:firstColumn="1" w:lastColumn="0" w:noHBand="0" w:noVBand="1"/>
      </w:tblPr>
      <w:tblGrid>
        <w:gridCol w:w="4111"/>
        <w:gridCol w:w="1038"/>
        <w:gridCol w:w="1280"/>
      </w:tblGrid>
      <w:tr w:rsidR="009845D8" w:rsidRPr="009845D8" w:rsidTr="009845D8">
        <w:trPr>
          <w:trHeight w:val="300"/>
        </w:trPr>
        <w:tc>
          <w:tcPr>
            <w:tcW w:w="4111" w:type="dxa"/>
            <w:tcBorders>
              <w:top w:val="nil"/>
              <w:left w:val="nil"/>
              <w:bottom w:val="nil"/>
              <w:right w:val="nil"/>
            </w:tcBorders>
            <w:shd w:val="clear" w:color="auto" w:fill="auto"/>
            <w:noWrap/>
            <w:vAlign w:val="bottom"/>
            <w:hideMark/>
          </w:tcPr>
          <w:p w:rsidR="009845D8" w:rsidRPr="009845D8" w:rsidRDefault="009845D8" w:rsidP="009845D8">
            <w:pPr>
              <w:rPr>
                <w:rFonts w:ascii="Calibri" w:hAnsi="Calibri" w:cs="Calibri"/>
                <w:color w:val="000000"/>
                <w:sz w:val="22"/>
                <w:szCs w:val="22"/>
                <w:lang w:val="es-ES"/>
              </w:rPr>
            </w:pPr>
          </w:p>
        </w:tc>
        <w:tc>
          <w:tcPr>
            <w:tcW w:w="729"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9845D8" w:rsidRPr="009845D8" w:rsidRDefault="009845D8" w:rsidP="009845D8">
            <w:pPr>
              <w:jc w:val="center"/>
              <w:rPr>
                <w:rFonts w:ascii="Lucida Bright" w:hAnsi="Lucida Bright" w:cs="Calibri"/>
                <w:b/>
                <w:bCs/>
                <w:color w:val="000000"/>
                <w:sz w:val="14"/>
                <w:szCs w:val="14"/>
                <w:lang w:val="es-ES"/>
              </w:rPr>
            </w:pPr>
            <w:r w:rsidRPr="009845D8">
              <w:rPr>
                <w:rFonts w:ascii="Lucida Bright" w:hAnsi="Lucida Bright" w:cs="Calibri"/>
                <w:b/>
                <w:bCs/>
                <w:color w:val="000000"/>
                <w:sz w:val="14"/>
                <w:szCs w:val="14"/>
                <w:lang w:val="es-ES"/>
              </w:rPr>
              <w:t>2023</w:t>
            </w:r>
          </w:p>
        </w:tc>
        <w:tc>
          <w:tcPr>
            <w:tcW w:w="1280" w:type="dxa"/>
            <w:tcBorders>
              <w:top w:val="single" w:sz="4" w:space="0" w:color="auto"/>
              <w:left w:val="nil"/>
              <w:bottom w:val="single" w:sz="4" w:space="0" w:color="auto"/>
              <w:right w:val="single" w:sz="4" w:space="0" w:color="auto"/>
            </w:tcBorders>
            <w:shd w:val="clear" w:color="000000" w:fill="CCFFCC"/>
            <w:noWrap/>
            <w:vAlign w:val="center"/>
            <w:hideMark/>
          </w:tcPr>
          <w:p w:rsidR="009845D8" w:rsidRPr="009845D8" w:rsidRDefault="009845D8" w:rsidP="009845D8">
            <w:pPr>
              <w:jc w:val="center"/>
              <w:rPr>
                <w:rFonts w:ascii="Lucida Bright" w:hAnsi="Lucida Bright" w:cs="Calibri"/>
                <w:b/>
                <w:bCs/>
                <w:color w:val="000000"/>
                <w:sz w:val="14"/>
                <w:szCs w:val="14"/>
                <w:lang w:val="es-ES"/>
              </w:rPr>
            </w:pPr>
            <w:r w:rsidRPr="009845D8">
              <w:rPr>
                <w:rFonts w:ascii="Lucida Bright" w:hAnsi="Lucida Bright" w:cs="Calibri"/>
                <w:b/>
                <w:bCs/>
                <w:color w:val="000000"/>
                <w:sz w:val="14"/>
                <w:szCs w:val="14"/>
                <w:lang w:val="es-ES"/>
              </w:rPr>
              <w:t>2022</w:t>
            </w:r>
          </w:p>
        </w:tc>
      </w:tr>
      <w:tr w:rsidR="009845D8" w:rsidRPr="009845D8" w:rsidTr="009845D8">
        <w:trPr>
          <w:trHeight w:val="300"/>
        </w:trPr>
        <w:tc>
          <w:tcPr>
            <w:tcW w:w="4111"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9845D8" w:rsidRPr="009845D8" w:rsidRDefault="009845D8" w:rsidP="009845D8">
            <w:pPr>
              <w:rPr>
                <w:rFonts w:ascii="Lucida Bright" w:hAnsi="Lucida Bright" w:cs="Calibri"/>
                <w:b/>
                <w:bCs/>
                <w:sz w:val="14"/>
                <w:szCs w:val="14"/>
                <w:lang w:val="es-ES"/>
              </w:rPr>
            </w:pPr>
            <w:r w:rsidRPr="009845D8">
              <w:rPr>
                <w:rFonts w:ascii="Lucida Bright" w:hAnsi="Lucida Bright" w:cs="Calibri"/>
                <w:b/>
                <w:bCs/>
                <w:sz w:val="14"/>
                <w:szCs w:val="14"/>
                <w:lang w:val="es-ES"/>
              </w:rPr>
              <w:t>III. Deudas a corto plazo</w:t>
            </w:r>
          </w:p>
        </w:tc>
        <w:tc>
          <w:tcPr>
            <w:tcW w:w="729" w:type="dxa"/>
            <w:tcBorders>
              <w:top w:val="nil"/>
              <w:left w:val="nil"/>
              <w:bottom w:val="single" w:sz="4" w:space="0" w:color="auto"/>
              <w:right w:val="single" w:sz="4" w:space="0" w:color="auto"/>
            </w:tcBorders>
            <w:shd w:val="clear" w:color="000000" w:fill="CCFFCC"/>
            <w:noWrap/>
            <w:vAlign w:val="bottom"/>
            <w:hideMark/>
          </w:tcPr>
          <w:p w:rsidR="009845D8" w:rsidRPr="009845D8" w:rsidRDefault="009845D8" w:rsidP="009845D8">
            <w:pPr>
              <w:jc w:val="right"/>
              <w:rPr>
                <w:rFonts w:ascii="Lucida Bright" w:hAnsi="Lucida Bright" w:cs="Calibri"/>
                <w:b/>
                <w:bCs/>
                <w:sz w:val="14"/>
                <w:szCs w:val="14"/>
                <w:lang w:val="es-ES"/>
              </w:rPr>
            </w:pPr>
            <w:r w:rsidRPr="009845D8">
              <w:rPr>
                <w:rFonts w:ascii="Lucida Bright" w:hAnsi="Lucida Bright" w:cs="Calibri"/>
                <w:b/>
                <w:bCs/>
                <w:sz w:val="14"/>
                <w:szCs w:val="14"/>
                <w:lang w:val="es-ES"/>
              </w:rPr>
              <w:t xml:space="preserve">1.935.929,40 </w:t>
            </w:r>
          </w:p>
        </w:tc>
        <w:tc>
          <w:tcPr>
            <w:tcW w:w="1280" w:type="dxa"/>
            <w:tcBorders>
              <w:top w:val="nil"/>
              <w:left w:val="nil"/>
              <w:bottom w:val="single" w:sz="4" w:space="0" w:color="auto"/>
              <w:right w:val="single" w:sz="4" w:space="0" w:color="auto"/>
            </w:tcBorders>
            <w:shd w:val="clear" w:color="000000" w:fill="CCFFCC"/>
            <w:noWrap/>
            <w:vAlign w:val="bottom"/>
            <w:hideMark/>
          </w:tcPr>
          <w:p w:rsidR="009845D8" w:rsidRPr="009845D8" w:rsidRDefault="009845D8" w:rsidP="009845D8">
            <w:pPr>
              <w:jc w:val="right"/>
              <w:rPr>
                <w:rFonts w:ascii="Lucida Bright" w:hAnsi="Lucida Bright" w:cs="Calibri"/>
                <w:b/>
                <w:bCs/>
                <w:sz w:val="14"/>
                <w:szCs w:val="14"/>
                <w:lang w:val="es-ES"/>
              </w:rPr>
            </w:pPr>
            <w:r w:rsidRPr="009845D8">
              <w:rPr>
                <w:rFonts w:ascii="Lucida Bright" w:hAnsi="Lucida Bright" w:cs="Calibri"/>
                <w:b/>
                <w:bCs/>
                <w:sz w:val="14"/>
                <w:szCs w:val="14"/>
                <w:lang w:val="es-ES"/>
              </w:rPr>
              <w:t xml:space="preserve">3.705.167,21 </w:t>
            </w:r>
          </w:p>
        </w:tc>
      </w:tr>
      <w:tr w:rsidR="009845D8" w:rsidRPr="009845D8" w:rsidTr="009845D8">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center"/>
            <w:hideMark/>
          </w:tcPr>
          <w:p w:rsidR="009845D8" w:rsidRPr="009845D8" w:rsidRDefault="009845D8" w:rsidP="009845D8">
            <w:pPr>
              <w:rPr>
                <w:rFonts w:ascii="Lucida Bright" w:hAnsi="Lucida Bright" w:cs="Calibri"/>
                <w:b/>
                <w:bCs/>
                <w:sz w:val="14"/>
                <w:szCs w:val="14"/>
                <w:lang w:val="es-ES"/>
              </w:rPr>
            </w:pPr>
            <w:r w:rsidRPr="009845D8">
              <w:rPr>
                <w:rFonts w:ascii="Lucida Bright" w:hAnsi="Lucida Bright" w:cs="Calibri"/>
                <w:b/>
                <w:bCs/>
                <w:sz w:val="14"/>
                <w:szCs w:val="14"/>
                <w:lang w:val="es-ES"/>
              </w:rPr>
              <w:t>2. Proveedores de inmovilizado a corto plazo</w:t>
            </w:r>
          </w:p>
        </w:tc>
        <w:tc>
          <w:tcPr>
            <w:tcW w:w="729" w:type="dxa"/>
            <w:tcBorders>
              <w:top w:val="nil"/>
              <w:left w:val="nil"/>
              <w:bottom w:val="single" w:sz="4" w:space="0" w:color="auto"/>
              <w:right w:val="single" w:sz="4" w:space="0" w:color="auto"/>
            </w:tcBorders>
            <w:shd w:val="clear" w:color="auto" w:fill="auto"/>
            <w:noWrap/>
            <w:vAlign w:val="bottom"/>
            <w:hideMark/>
          </w:tcPr>
          <w:p w:rsidR="009845D8" w:rsidRPr="009845D8" w:rsidRDefault="009845D8" w:rsidP="009845D8">
            <w:pPr>
              <w:jc w:val="right"/>
              <w:rPr>
                <w:rFonts w:ascii="Lucida Bright" w:hAnsi="Lucida Bright" w:cs="Calibri"/>
                <w:b/>
                <w:bCs/>
                <w:sz w:val="14"/>
                <w:szCs w:val="14"/>
                <w:lang w:val="es-ES"/>
              </w:rPr>
            </w:pPr>
            <w:r w:rsidRPr="009845D8">
              <w:rPr>
                <w:rFonts w:ascii="Lucida Bright" w:hAnsi="Lucida Bright" w:cs="Calibri"/>
                <w:b/>
                <w:bCs/>
                <w:sz w:val="14"/>
                <w:szCs w:val="14"/>
                <w:lang w:val="es-ES"/>
              </w:rPr>
              <w:t xml:space="preserve">1.682.570,57 </w:t>
            </w:r>
          </w:p>
        </w:tc>
        <w:tc>
          <w:tcPr>
            <w:tcW w:w="1280" w:type="dxa"/>
            <w:tcBorders>
              <w:top w:val="nil"/>
              <w:left w:val="nil"/>
              <w:bottom w:val="single" w:sz="4" w:space="0" w:color="auto"/>
              <w:right w:val="single" w:sz="4" w:space="0" w:color="auto"/>
            </w:tcBorders>
            <w:shd w:val="clear" w:color="auto" w:fill="auto"/>
            <w:noWrap/>
            <w:vAlign w:val="bottom"/>
            <w:hideMark/>
          </w:tcPr>
          <w:p w:rsidR="009845D8" w:rsidRPr="009845D8" w:rsidRDefault="009845D8" w:rsidP="009845D8">
            <w:pPr>
              <w:jc w:val="right"/>
              <w:rPr>
                <w:rFonts w:ascii="Lucida Bright" w:hAnsi="Lucida Bright" w:cs="Calibri"/>
                <w:b/>
                <w:bCs/>
                <w:sz w:val="14"/>
                <w:szCs w:val="14"/>
                <w:lang w:val="es-ES"/>
              </w:rPr>
            </w:pPr>
            <w:r w:rsidRPr="009845D8">
              <w:rPr>
                <w:rFonts w:ascii="Lucida Bright" w:hAnsi="Lucida Bright" w:cs="Calibri"/>
                <w:b/>
                <w:bCs/>
                <w:sz w:val="14"/>
                <w:szCs w:val="14"/>
                <w:lang w:val="es-ES"/>
              </w:rPr>
              <w:t xml:space="preserve">3.536.876,51 </w:t>
            </w:r>
          </w:p>
        </w:tc>
      </w:tr>
      <w:tr w:rsidR="009845D8" w:rsidRPr="009845D8" w:rsidTr="009845D8">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9845D8" w:rsidRPr="009845D8" w:rsidRDefault="009845D8" w:rsidP="009845D8">
            <w:pPr>
              <w:rPr>
                <w:rFonts w:ascii="Lucida Bright" w:hAnsi="Lucida Bright" w:cs="Calibri"/>
                <w:sz w:val="14"/>
                <w:szCs w:val="14"/>
                <w:lang w:val="es-ES"/>
              </w:rPr>
            </w:pPr>
            <w:r w:rsidRPr="009845D8">
              <w:rPr>
                <w:rFonts w:ascii="Lucida Bright" w:hAnsi="Lucida Bright" w:cs="Calibri"/>
                <w:sz w:val="14"/>
                <w:szCs w:val="14"/>
                <w:lang w:val="es-ES"/>
              </w:rPr>
              <w:t xml:space="preserve">Proveedores de inmovilizado a </w:t>
            </w:r>
            <w:proofErr w:type="spellStart"/>
            <w:r w:rsidRPr="009845D8">
              <w:rPr>
                <w:rFonts w:ascii="Lucida Bright" w:hAnsi="Lucida Bright" w:cs="Calibri"/>
                <w:sz w:val="14"/>
                <w:szCs w:val="14"/>
                <w:lang w:val="es-ES"/>
              </w:rPr>
              <w:t>c.p.</w:t>
            </w:r>
            <w:proofErr w:type="spellEnd"/>
          </w:p>
        </w:tc>
        <w:tc>
          <w:tcPr>
            <w:tcW w:w="729" w:type="dxa"/>
            <w:tcBorders>
              <w:top w:val="nil"/>
              <w:left w:val="nil"/>
              <w:bottom w:val="single" w:sz="4" w:space="0" w:color="auto"/>
              <w:right w:val="single" w:sz="4" w:space="0" w:color="auto"/>
            </w:tcBorders>
            <w:shd w:val="clear" w:color="auto" w:fill="auto"/>
            <w:noWrap/>
            <w:vAlign w:val="bottom"/>
            <w:hideMark/>
          </w:tcPr>
          <w:p w:rsidR="009845D8" w:rsidRPr="009845D8" w:rsidRDefault="009845D8" w:rsidP="009845D8">
            <w:pPr>
              <w:jc w:val="right"/>
              <w:rPr>
                <w:rFonts w:ascii="Lucida Bright" w:hAnsi="Lucida Bright" w:cs="Calibri"/>
                <w:sz w:val="14"/>
                <w:szCs w:val="14"/>
                <w:lang w:val="es-ES"/>
              </w:rPr>
            </w:pPr>
            <w:r w:rsidRPr="009845D8">
              <w:rPr>
                <w:rFonts w:ascii="Lucida Bright" w:hAnsi="Lucida Bright" w:cs="Calibri"/>
                <w:sz w:val="14"/>
                <w:szCs w:val="14"/>
                <w:lang w:val="es-ES"/>
              </w:rPr>
              <w:t xml:space="preserve">1.682.570,57 </w:t>
            </w:r>
          </w:p>
        </w:tc>
        <w:tc>
          <w:tcPr>
            <w:tcW w:w="1280" w:type="dxa"/>
            <w:tcBorders>
              <w:top w:val="nil"/>
              <w:left w:val="nil"/>
              <w:bottom w:val="single" w:sz="4" w:space="0" w:color="auto"/>
              <w:right w:val="single" w:sz="4" w:space="0" w:color="auto"/>
            </w:tcBorders>
            <w:shd w:val="clear" w:color="auto" w:fill="auto"/>
            <w:noWrap/>
            <w:vAlign w:val="bottom"/>
            <w:hideMark/>
          </w:tcPr>
          <w:p w:rsidR="009845D8" w:rsidRPr="009845D8" w:rsidRDefault="009845D8" w:rsidP="009845D8">
            <w:pPr>
              <w:jc w:val="right"/>
              <w:rPr>
                <w:rFonts w:ascii="Lucida Bright" w:hAnsi="Lucida Bright" w:cs="Calibri"/>
                <w:sz w:val="14"/>
                <w:szCs w:val="14"/>
                <w:lang w:val="es-ES"/>
              </w:rPr>
            </w:pPr>
            <w:r w:rsidRPr="009845D8">
              <w:rPr>
                <w:rFonts w:ascii="Lucida Bright" w:hAnsi="Lucida Bright" w:cs="Calibri"/>
                <w:sz w:val="14"/>
                <w:szCs w:val="14"/>
                <w:lang w:val="es-ES"/>
              </w:rPr>
              <w:t xml:space="preserve">3.536.876,51 </w:t>
            </w:r>
          </w:p>
        </w:tc>
      </w:tr>
      <w:tr w:rsidR="009845D8" w:rsidRPr="009845D8" w:rsidTr="009845D8">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center"/>
            <w:hideMark/>
          </w:tcPr>
          <w:p w:rsidR="009845D8" w:rsidRPr="009845D8" w:rsidRDefault="009845D8" w:rsidP="009845D8">
            <w:pPr>
              <w:rPr>
                <w:rFonts w:ascii="Lucida Bright" w:hAnsi="Lucida Bright" w:cs="Calibri"/>
                <w:b/>
                <w:bCs/>
                <w:sz w:val="14"/>
                <w:szCs w:val="14"/>
                <w:lang w:val="es-ES"/>
              </w:rPr>
            </w:pPr>
            <w:r w:rsidRPr="009845D8">
              <w:rPr>
                <w:rFonts w:ascii="Lucida Bright" w:hAnsi="Lucida Bright" w:cs="Calibri"/>
                <w:b/>
                <w:bCs/>
                <w:sz w:val="14"/>
                <w:szCs w:val="14"/>
                <w:lang w:val="es-ES"/>
              </w:rPr>
              <w:t>3. Otros pasivos financieros</w:t>
            </w:r>
          </w:p>
        </w:tc>
        <w:tc>
          <w:tcPr>
            <w:tcW w:w="729" w:type="dxa"/>
            <w:tcBorders>
              <w:top w:val="nil"/>
              <w:left w:val="nil"/>
              <w:bottom w:val="single" w:sz="4" w:space="0" w:color="auto"/>
              <w:right w:val="single" w:sz="4" w:space="0" w:color="auto"/>
            </w:tcBorders>
            <w:shd w:val="clear" w:color="auto" w:fill="auto"/>
            <w:noWrap/>
            <w:vAlign w:val="bottom"/>
            <w:hideMark/>
          </w:tcPr>
          <w:p w:rsidR="009845D8" w:rsidRPr="009845D8" w:rsidRDefault="009845D8" w:rsidP="009845D8">
            <w:pPr>
              <w:jc w:val="right"/>
              <w:rPr>
                <w:rFonts w:ascii="Lucida Bright" w:hAnsi="Lucida Bright" w:cs="Calibri"/>
                <w:b/>
                <w:bCs/>
                <w:sz w:val="14"/>
                <w:szCs w:val="14"/>
                <w:lang w:val="es-ES"/>
              </w:rPr>
            </w:pPr>
            <w:r w:rsidRPr="009845D8">
              <w:rPr>
                <w:rFonts w:ascii="Lucida Bright" w:hAnsi="Lucida Bright" w:cs="Calibri"/>
                <w:b/>
                <w:bCs/>
                <w:sz w:val="14"/>
                <w:szCs w:val="14"/>
                <w:lang w:val="es-ES"/>
              </w:rPr>
              <w:t xml:space="preserve">253.358,83 </w:t>
            </w:r>
          </w:p>
        </w:tc>
        <w:tc>
          <w:tcPr>
            <w:tcW w:w="1280" w:type="dxa"/>
            <w:tcBorders>
              <w:top w:val="nil"/>
              <w:left w:val="nil"/>
              <w:bottom w:val="single" w:sz="4" w:space="0" w:color="auto"/>
              <w:right w:val="single" w:sz="4" w:space="0" w:color="auto"/>
            </w:tcBorders>
            <w:shd w:val="clear" w:color="auto" w:fill="auto"/>
            <w:noWrap/>
            <w:vAlign w:val="bottom"/>
            <w:hideMark/>
          </w:tcPr>
          <w:p w:rsidR="009845D8" w:rsidRPr="009845D8" w:rsidRDefault="009845D8" w:rsidP="009845D8">
            <w:pPr>
              <w:jc w:val="right"/>
              <w:rPr>
                <w:rFonts w:ascii="Lucida Bright" w:hAnsi="Lucida Bright" w:cs="Calibri"/>
                <w:b/>
                <w:bCs/>
                <w:sz w:val="14"/>
                <w:szCs w:val="14"/>
                <w:lang w:val="es-ES"/>
              </w:rPr>
            </w:pPr>
            <w:r w:rsidRPr="009845D8">
              <w:rPr>
                <w:rFonts w:ascii="Lucida Bright" w:hAnsi="Lucida Bright" w:cs="Calibri"/>
                <w:b/>
                <w:bCs/>
                <w:sz w:val="14"/>
                <w:szCs w:val="14"/>
                <w:lang w:val="es-ES"/>
              </w:rPr>
              <w:t xml:space="preserve">168.290,70 </w:t>
            </w:r>
          </w:p>
        </w:tc>
      </w:tr>
      <w:tr w:rsidR="009845D8" w:rsidRPr="009845D8" w:rsidTr="009845D8">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9845D8" w:rsidRPr="009845D8" w:rsidRDefault="009845D8" w:rsidP="009845D8">
            <w:pPr>
              <w:rPr>
                <w:rFonts w:ascii="Lucida Bright" w:hAnsi="Lucida Bright" w:cs="Calibri"/>
                <w:sz w:val="14"/>
                <w:szCs w:val="14"/>
                <w:lang w:val="es-ES"/>
              </w:rPr>
            </w:pPr>
            <w:r w:rsidRPr="009845D8">
              <w:rPr>
                <w:rFonts w:ascii="Lucida Bright" w:hAnsi="Lucida Bright" w:cs="Calibri"/>
                <w:sz w:val="14"/>
                <w:szCs w:val="14"/>
                <w:lang w:val="es-ES"/>
              </w:rPr>
              <w:t>Deudas a corto plazo</w:t>
            </w:r>
          </w:p>
        </w:tc>
        <w:tc>
          <w:tcPr>
            <w:tcW w:w="729" w:type="dxa"/>
            <w:tcBorders>
              <w:top w:val="nil"/>
              <w:left w:val="nil"/>
              <w:bottom w:val="single" w:sz="4" w:space="0" w:color="auto"/>
              <w:right w:val="single" w:sz="4" w:space="0" w:color="auto"/>
            </w:tcBorders>
            <w:shd w:val="clear" w:color="000000" w:fill="FFFFFF"/>
            <w:noWrap/>
            <w:vAlign w:val="bottom"/>
            <w:hideMark/>
          </w:tcPr>
          <w:p w:rsidR="009845D8" w:rsidRPr="009845D8" w:rsidRDefault="009845D8" w:rsidP="009845D8">
            <w:pPr>
              <w:jc w:val="right"/>
              <w:rPr>
                <w:rFonts w:ascii="Lucida Bright" w:hAnsi="Lucida Bright" w:cs="Calibri"/>
                <w:sz w:val="14"/>
                <w:szCs w:val="14"/>
                <w:lang w:val="es-ES"/>
              </w:rPr>
            </w:pPr>
            <w:r w:rsidRPr="009845D8">
              <w:rPr>
                <w:rFonts w:ascii="Lucida Bright" w:hAnsi="Lucida Bright" w:cs="Calibri"/>
                <w:sz w:val="14"/>
                <w:szCs w:val="14"/>
                <w:lang w:val="es-ES"/>
              </w:rPr>
              <w:t xml:space="preserve">212.517,70 </w:t>
            </w:r>
          </w:p>
        </w:tc>
        <w:tc>
          <w:tcPr>
            <w:tcW w:w="1280" w:type="dxa"/>
            <w:tcBorders>
              <w:top w:val="nil"/>
              <w:left w:val="nil"/>
              <w:bottom w:val="single" w:sz="4" w:space="0" w:color="auto"/>
              <w:right w:val="single" w:sz="4" w:space="0" w:color="auto"/>
            </w:tcBorders>
            <w:shd w:val="clear" w:color="000000" w:fill="FFFFFF"/>
            <w:noWrap/>
            <w:vAlign w:val="bottom"/>
            <w:hideMark/>
          </w:tcPr>
          <w:p w:rsidR="009845D8" w:rsidRPr="009845D8" w:rsidRDefault="009845D8" w:rsidP="009845D8">
            <w:pPr>
              <w:jc w:val="right"/>
              <w:rPr>
                <w:rFonts w:ascii="Lucida Bright" w:hAnsi="Lucida Bright" w:cs="Calibri"/>
                <w:sz w:val="14"/>
                <w:szCs w:val="14"/>
                <w:lang w:val="es-ES"/>
              </w:rPr>
            </w:pPr>
            <w:r w:rsidRPr="009845D8">
              <w:rPr>
                <w:rFonts w:ascii="Lucida Bright" w:hAnsi="Lucida Bright" w:cs="Calibri"/>
                <w:sz w:val="14"/>
                <w:szCs w:val="14"/>
                <w:lang w:val="es-ES"/>
              </w:rPr>
              <w:t xml:space="preserve">93.861,47 </w:t>
            </w:r>
          </w:p>
        </w:tc>
      </w:tr>
      <w:tr w:rsidR="009845D8" w:rsidRPr="009845D8" w:rsidTr="009845D8">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9845D8" w:rsidRPr="009845D8" w:rsidRDefault="009845D8" w:rsidP="009845D8">
            <w:pPr>
              <w:rPr>
                <w:rFonts w:ascii="Lucida Bright" w:hAnsi="Lucida Bright" w:cs="Calibri"/>
                <w:sz w:val="14"/>
                <w:szCs w:val="14"/>
                <w:lang w:val="es-ES"/>
              </w:rPr>
            </w:pPr>
            <w:r w:rsidRPr="009845D8">
              <w:rPr>
                <w:rFonts w:ascii="Lucida Bright" w:hAnsi="Lucida Bright" w:cs="Calibri"/>
                <w:sz w:val="14"/>
                <w:szCs w:val="14"/>
                <w:lang w:val="es-ES"/>
              </w:rPr>
              <w:t xml:space="preserve">Fianzas y depósitos recibidos a </w:t>
            </w:r>
            <w:proofErr w:type="spellStart"/>
            <w:r w:rsidRPr="009845D8">
              <w:rPr>
                <w:rFonts w:ascii="Lucida Bright" w:hAnsi="Lucida Bright" w:cs="Calibri"/>
                <w:sz w:val="14"/>
                <w:szCs w:val="14"/>
                <w:lang w:val="es-ES"/>
              </w:rPr>
              <w:t>c.p.</w:t>
            </w:r>
            <w:proofErr w:type="spellEnd"/>
          </w:p>
        </w:tc>
        <w:tc>
          <w:tcPr>
            <w:tcW w:w="729" w:type="dxa"/>
            <w:tcBorders>
              <w:top w:val="nil"/>
              <w:left w:val="nil"/>
              <w:bottom w:val="single" w:sz="4" w:space="0" w:color="auto"/>
              <w:right w:val="single" w:sz="4" w:space="0" w:color="auto"/>
            </w:tcBorders>
            <w:shd w:val="clear" w:color="000000" w:fill="FFFFFF"/>
            <w:noWrap/>
            <w:vAlign w:val="bottom"/>
            <w:hideMark/>
          </w:tcPr>
          <w:p w:rsidR="009845D8" w:rsidRPr="009845D8" w:rsidRDefault="009845D8" w:rsidP="009845D8">
            <w:pPr>
              <w:jc w:val="right"/>
              <w:rPr>
                <w:rFonts w:ascii="Lucida Bright" w:hAnsi="Lucida Bright" w:cs="Calibri"/>
                <w:sz w:val="14"/>
                <w:szCs w:val="14"/>
                <w:lang w:val="es-ES"/>
              </w:rPr>
            </w:pPr>
            <w:r w:rsidRPr="009845D8">
              <w:rPr>
                <w:rFonts w:ascii="Lucida Bright" w:hAnsi="Lucida Bright" w:cs="Calibri"/>
                <w:sz w:val="14"/>
                <w:szCs w:val="14"/>
                <w:lang w:val="es-ES"/>
              </w:rPr>
              <w:t xml:space="preserve">40.841,13 </w:t>
            </w:r>
          </w:p>
        </w:tc>
        <w:tc>
          <w:tcPr>
            <w:tcW w:w="1280" w:type="dxa"/>
            <w:tcBorders>
              <w:top w:val="nil"/>
              <w:left w:val="nil"/>
              <w:bottom w:val="single" w:sz="4" w:space="0" w:color="auto"/>
              <w:right w:val="single" w:sz="4" w:space="0" w:color="auto"/>
            </w:tcBorders>
            <w:shd w:val="clear" w:color="000000" w:fill="FFFFFF"/>
            <w:noWrap/>
            <w:vAlign w:val="bottom"/>
            <w:hideMark/>
          </w:tcPr>
          <w:p w:rsidR="009845D8" w:rsidRPr="009845D8" w:rsidRDefault="009845D8" w:rsidP="009845D8">
            <w:pPr>
              <w:jc w:val="right"/>
              <w:rPr>
                <w:rFonts w:ascii="Lucida Bright" w:hAnsi="Lucida Bright" w:cs="Calibri"/>
                <w:sz w:val="14"/>
                <w:szCs w:val="14"/>
                <w:lang w:val="es-ES"/>
              </w:rPr>
            </w:pPr>
            <w:r w:rsidRPr="009845D8">
              <w:rPr>
                <w:rFonts w:ascii="Lucida Bright" w:hAnsi="Lucida Bright" w:cs="Calibri"/>
                <w:sz w:val="14"/>
                <w:szCs w:val="14"/>
                <w:lang w:val="es-ES"/>
              </w:rPr>
              <w:t xml:space="preserve">74.429,23 </w:t>
            </w:r>
          </w:p>
        </w:tc>
      </w:tr>
    </w:tbl>
    <w:p w:rsidR="00FF6455" w:rsidRDefault="00FF6455" w:rsidP="00BF22FE">
      <w:pPr>
        <w:pStyle w:val="Sangra2detindependiente"/>
        <w:tabs>
          <w:tab w:val="right" w:pos="8364"/>
        </w:tabs>
        <w:ind w:firstLine="142"/>
      </w:pPr>
    </w:p>
    <w:tbl>
      <w:tblPr>
        <w:tblW w:w="6521" w:type="dxa"/>
        <w:tblInd w:w="70" w:type="dxa"/>
        <w:tblCellMar>
          <w:left w:w="70" w:type="dxa"/>
          <w:right w:w="70" w:type="dxa"/>
        </w:tblCellMar>
        <w:tblLook w:val="04A0" w:firstRow="1" w:lastRow="0" w:firstColumn="1" w:lastColumn="0" w:noHBand="0" w:noVBand="1"/>
      </w:tblPr>
      <w:tblGrid>
        <w:gridCol w:w="4060"/>
        <w:gridCol w:w="1280"/>
        <w:gridCol w:w="1181"/>
      </w:tblGrid>
      <w:tr w:rsidR="009845D8" w:rsidRPr="009845D8" w:rsidTr="00746AD3">
        <w:trPr>
          <w:trHeight w:val="300"/>
        </w:trPr>
        <w:tc>
          <w:tcPr>
            <w:tcW w:w="4060" w:type="dxa"/>
            <w:tcBorders>
              <w:top w:val="nil"/>
              <w:left w:val="nil"/>
              <w:bottom w:val="nil"/>
              <w:right w:val="nil"/>
            </w:tcBorders>
            <w:shd w:val="clear" w:color="auto" w:fill="auto"/>
            <w:noWrap/>
            <w:vAlign w:val="bottom"/>
            <w:hideMark/>
          </w:tcPr>
          <w:p w:rsidR="009845D8" w:rsidRPr="009845D8" w:rsidRDefault="009845D8" w:rsidP="009845D8">
            <w:pPr>
              <w:rPr>
                <w:rFonts w:ascii="Calibri" w:hAnsi="Calibri" w:cs="Calibri"/>
                <w:color w:val="000000"/>
                <w:sz w:val="22"/>
                <w:szCs w:val="22"/>
                <w:lang w:val="es-ES"/>
              </w:rPr>
            </w:pPr>
          </w:p>
        </w:tc>
        <w:tc>
          <w:tcPr>
            <w:tcW w:w="128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9845D8" w:rsidRPr="009845D8" w:rsidRDefault="009845D8" w:rsidP="009845D8">
            <w:pPr>
              <w:jc w:val="center"/>
              <w:rPr>
                <w:rFonts w:ascii="Lucida Bright" w:hAnsi="Lucida Bright" w:cs="Calibri"/>
                <w:b/>
                <w:bCs/>
                <w:color w:val="000000"/>
                <w:sz w:val="14"/>
                <w:szCs w:val="14"/>
                <w:lang w:val="es-ES"/>
              </w:rPr>
            </w:pPr>
            <w:r w:rsidRPr="009845D8">
              <w:rPr>
                <w:rFonts w:ascii="Lucida Bright" w:hAnsi="Lucida Bright" w:cs="Calibri"/>
                <w:b/>
                <w:bCs/>
                <w:color w:val="000000"/>
                <w:sz w:val="14"/>
                <w:szCs w:val="14"/>
                <w:lang w:val="es-ES"/>
              </w:rPr>
              <w:t>2023</w:t>
            </w:r>
          </w:p>
        </w:tc>
        <w:tc>
          <w:tcPr>
            <w:tcW w:w="1181" w:type="dxa"/>
            <w:tcBorders>
              <w:top w:val="single" w:sz="4" w:space="0" w:color="auto"/>
              <w:left w:val="nil"/>
              <w:bottom w:val="single" w:sz="4" w:space="0" w:color="auto"/>
              <w:right w:val="single" w:sz="4" w:space="0" w:color="auto"/>
            </w:tcBorders>
            <w:shd w:val="clear" w:color="000000" w:fill="CCFFCC"/>
            <w:noWrap/>
            <w:vAlign w:val="center"/>
            <w:hideMark/>
          </w:tcPr>
          <w:p w:rsidR="009845D8" w:rsidRPr="009845D8" w:rsidRDefault="009845D8" w:rsidP="009845D8">
            <w:pPr>
              <w:jc w:val="center"/>
              <w:rPr>
                <w:rFonts w:ascii="Lucida Bright" w:hAnsi="Lucida Bright" w:cs="Calibri"/>
                <w:b/>
                <w:bCs/>
                <w:color w:val="000000"/>
                <w:sz w:val="14"/>
                <w:szCs w:val="14"/>
                <w:lang w:val="es-ES"/>
              </w:rPr>
            </w:pPr>
            <w:r w:rsidRPr="009845D8">
              <w:rPr>
                <w:rFonts w:ascii="Lucida Bright" w:hAnsi="Lucida Bright" w:cs="Calibri"/>
                <w:b/>
                <w:bCs/>
                <w:color w:val="000000"/>
                <w:sz w:val="14"/>
                <w:szCs w:val="14"/>
                <w:lang w:val="es-ES"/>
              </w:rPr>
              <w:t>2022</w:t>
            </w:r>
          </w:p>
        </w:tc>
      </w:tr>
      <w:tr w:rsidR="009845D8" w:rsidRPr="009845D8" w:rsidTr="00746AD3">
        <w:trPr>
          <w:trHeight w:val="300"/>
        </w:trPr>
        <w:tc>
          <w:tcPr>
            <w:tcW w:w="406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9845D8" w:rsidRPr="009845D8" w:rsidRDefault="009845D8" w:rsidP="009845D8">
            <w:pPr>
              <w:rPr>
                <w:rFonts w:ascii="Lucida Bright" w:hAnsi="Lucida Bright" w:cs="Calibri"/>
                <w:b/>
                <w:bCs/>
                <w:sz w:val="14"/>
                <w:szCs w:val="14"/>
                <w:lang w:val="es-ES"/>
              </w:rPr>
            </w:pPr>
            <w:r w:rsidRPr="009845D8">
              <w:rPr>
                <w:rFonts w:ascii="Lucida Bright" w:hAnsi="Lucida Bright" w:cs="Calibri"/>
                <w:b/>
                <w:bCs/>
                <w:sz w:val="14"/>
                <w:szCs w:val="14"/>
                <w:lang w:val="es-ES"/>
              </w:rPr>
              <w:t>V. Acreedores comerciales y otras cuentas a pagar</w:t>
            </w:r>
          </w:p>
        </w:tc>
        <w:tc>
          <w:tcPr>
            <w:tcW w:w="1280" w:type="dxa"/>
            <w:tcBorders>
              <w:top w:val="nil"/>
              <w:left w:val="nil"/>
              <w:bottom w:val="single" w:sz="4" w:space="0" w:color="auto"/>
              <w:right w:val="single" w:sz="4" w:space="0" w:color="auto"/>
            </w:tcBorders>
            <w:shd w:val="clear" w:color="000000" w:fill="CCFFCC"/>
            <w:noWrap/>
            <w:vAlign w:val="bottom"/>
            <w:hideMark/>
          </w:tcPr>
          <w:p w:rsidR="009845D8" w:rsidRPr="009845D8" w:rsidRDefault="009845D8" w:rsidP="009845D8">
            <w:pPr>
              <w:jc w:val="right"/>
              <w:rPr>
                <w:rFonts w:ascii="Lucida Bright" w:hAnsi="Lucida Bright" w:cs="Calibri"/>
                <w:b/>
                <w:bCs/>
                <w:sz w:val="14"/>
                <w:szCs w:val="14"/>
                <w:lang w:val="es-ES"/>
              </w:rPr>
            </w:pPr>
            <w:r w:rsidRPr="009845D8">
              <w:rPr>
                <w:rFonts w:ascii="Lucida Bright" w:hAnsi="Lucida Bright" w:cs="Calibri"/>
                <w:b/>
                <w:bCs/>
                <w:sz w:val="14"/>
                <w:szCs w:val="14"/>
                <w:lang w:val="es-ES"/>
              </w:rPr>
              <w:t xml:space="preserve">6.902.688,72 </w:t>
            </w:r>
          </w:p>
        </w:tc>
        <w:tc>
          <w:tcPr>
            <w:tcW w:w="1181" w:type="dxa"/>
            <w:tcBorders>
              <w:top w:val="nil"/>
              <w:left w:val="nil"/>
              <w:bottom w:val="single" w:sz="4" w:space="0" w:color="auto"/>
              <w:right w:val="single" w:sz="4" w:space="0" w:color="auto"/>
            </w:tcBorders>
            <w:shd w:val="clear" w:color="000000" w:fill="CCFFCC"/>
            <w:noWrap/>
            <w:vAlign w:val="bottom"/>
            <w:hideMark/>
          </w:tcPr>
          <w:p w:rsidR="009845D8" w:rsidRPr="009845D8" w:rsidRDefault="009845D8" w:rsidP="009845D8">
            <w:pPr>
              <w:jc w:val="right"/>
              <w:rPr>
                <w:rFonts w:ascii="Lucida Bright" w:hAnsi="Lucida Bright" w:cs="Calibri"/>
                <w:b/>
                <w:bCs/>
                <w:sz w:val="14"/>
                <w:szCs w:val="14"/>
                <w:lang w:val="es-ES"/>
              </w:rPr>
            </w:pPr>
            <w:r w:rsidRPr="009845D8">
              <w:rPr>
                <w:rFonts w:ascii="Lucida Bright" w:hAnsi="Lucida Bright" w:cs="Calibri"/>
                <w:b/>
                <w:bCs/>
                <w:sz w:val="14"/>
                <w:szCs w:val="14"/>
                <w:lang w:val="es-ES"/>
              </w:rPr>
              <w:t xml:space="preserve">5.978.882,32 </w:t>
            </w:r>
          </w:p>
        </w:tc>
      </w:tr>
      <w:tr w:rsidR="009845D8" w:rsidRPr="009845D8" w:rsidTr="00746AD3">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center"/>
            <w:hideMark/>
          </w:tcPr>
          <w:p w:rsidR="009845D8" w:rsidRPr="009845D8" w:rsidRDefault="009845D8" w:rsidP="009845D8">
            <w:pPr>
              <w:rPr>
                <w:rFonts w:ascii="Lucida Bright" w:hAnsi="Lucida Bright" w:cs="Calibri"/>
                <w:b/>
                <w:bCs/>
                <w:sz w:val="14"/>
                <w:szCs w:val="14"/>
                <w:lang w:val="es-ES"/>
              </w:rPr>
            </w:pPr>
            <w:r w:rsidRPr="009845D8">
              <w:rPr>
                <w:rFonts w:ascii="Lucida Bright" w:hAnsi="Lucida Bright" w:cs="Calibri"/>
                <w:b/>
                <w:bCs/>
                <w:sz w:val="14"/>
                <w:szCs w:val="14"/>
                <w:lang w:val="es-ES"/>
              </w:rPr>
              <w:t>1. Acreedores y otras cuentas a pagar</w:t>
            </w:r>
          </w:p>
        </w:tc>
        <w:tc>
          <w:tcPr>
            <w:tcW w:w="1280" w:type="dxa"/>
            <w:tcBorders>
              <w:top w:val="nil"/>
              <w:left w:val="nil"/>
              <w:bottom w:val="single" w:sz="4" w:space="0" w:color="auto"/>
              <w:right w:val="single" w:sz="4" w:space="0" w:color="auto"/>
            </w:tcBorders>
            <w:shd w:val="clear" w:color="auto" w:fill="auto"/>
            <w:noWrap/>
            <w:vAlign w:val="bottom"/>
            <w:hideMark/>
          </w:tcPr>
          <w:p w:rsidR="009845D8" w:rsidRPr="009845D8" w:rsidRDefault="009845D8" w:rsidP="009845D8">
            <w:pPr>
              <w:jc w:val="right"/>
              <w:rPr>
                <w:rFonts w:ascii="Lucida Bright" w:hAnsi="Lucida Bright" w:cs="Calibri"/>
                <w:b/>
                <w:bCs/>
                <w:sz w:val="14"/>
                <w:szCs w:val="14"/>
                <w:lang w:val="es-ES"/>
              </w:rPr>
            </w:pPr>
            <w:r w:rsidRPr="009845D8">
              <w:rPr>
                <w:rFonts w:ascii="Lucida Bright" w:hAnsi="Lucida Bright" w:cs="Calibri"/>
                <w:b/>
                <w:bCs/>
                <w:sz w:val="14"/>
                <w:szCs w:val="14"/>
                <w:lang w:val="es-ES"/>
              </w:rPr>
              <w:t xml:space="preserve">6.902.688,72 </w:t>
            </w:r>
          </w:p>
        </w:tc>
        <w:tc>
          <w:tcPr>
            <w:tcW w:w="1181" w:type="dxa"/>
            <w:tcBorders>
              <w:top w:val="nil"/>
              <w:left w:val="nil"/>
              <w:bottom w:val="single" w:sz="4" w:space="0" w:color="auto"/>
              <w:right w:val="single" w:sz="4" w:space="0" w:color="auto"/>
            </w:tcBorders>
            <w:shd w:val="clear" w:color="auto" w:fill="auto"/>
            <w:noWrap/>
            <w:vAlign w:val="bottom"/>
            <w:hideMark/>
          </w:tcPr>
          <w:p w:rsidR="009845D8" w:rsidRPr="009845D8" w:rsidRDefault="009845D8" w:rsidP="009845D8">
            <w:pPr>
              <w:jc w:val="right"/>
              <w:rPr>
                <w:rFonts w:ascii="Lucida Bright" w:hAnsi="Lucida Bright" w:cs="Calibri"/>
                <w:b/>
                <w:bCs/>
                <w:sz w:val="14"/>
                <w:szCs w:val="14"/>
                <w:lang w:val="es-ES"/>
              </w:rPr>
            </w:pPr>
            <w:r w:rsidRPr="009845D8">
              <w:rPr>
                <w:rFonts w:ascii="Lucida Bright" w:hAnsi="Lucida Bright" w:cs="Calibri"/>
                <w:b/>
                <w:bCs/>
                <w:sz w:val="14"/>
                <w:szCs w:val="14"/>
                <w:lang w:val="es-ES"/>
              </w:rPr>
              <w:t xml:space="preserve">5.978.882,32 </w:t>
            </w:r>
          </w:p>
        </w:tc>
      </w:tr>
      <w:tr w:rsidR="009845D8" w:rsidRPr="009845D8" w:rsidTr="00746AD3">
        <w:trPr>
          <w:trHeight w:val="300"/>
        </w:trPr>
        <w:tc>
          <w:tcPr>
            <w:tcW w:w="4060" w:type="dxa"/>
            <w:tcBorders>
              <w:top w:val="nil"/>
              <w:left w:val="single" w:sz="4" w:space="0" w:color="auto"/>
              <w:bottom w:val="single" w:sz="4" w:space="0" w:color="auto"/>
              <w:right w:val="single" w:sz="4" w:space="0" w:color="auto"/>
            </w:tcBorders>
            <w:shd w:val="clear" w:color="000000" w:fill="FFFFFF"/>
            <w:noWrap/>
            <w:vAlign w:val="bottom"/>
            <w:hideMark/>
          </w:tcPr>
          <w:p w:rsidR="009845D8" w:rsidRPr="009845D8" w:rsidRDefault="009845D8" w:rsidP="009845D8">
            <w:pPr>
              <w:rPr>
                <w:rFonts w:ascii="Lucida Bright" w:hAnsi="Lucida Bright" w:cs="Calibri"/>
                <w:sz w:val="14"/>
                <w:szCs w:val="14"/>
                <w:lang w:val="es-ES"/>
              </w:rPr>
            </w:pPr>
            <w:r w:rsidRPr="009845D8">
              <w:rPr>
                <w:rFonts w:ascii="Lucida Bright" w:hAnsi="Lucida Bright" w:cs="Calibri"/>
                <w:sz w:val="14"/>
                <w:szCs w:val="14"/>
                <w:lang w:val="es-ES"/>
              </w:rPr>
              <w:t>Acreedores por prestaciones de servicios</w:t>
            </w:r>
          </w:p>
        </w:tc>
        <w:tc>
          <w:tcPr>
            <w:tcW w:w="1280" w:type="dxa"/>
            <w:tcBorders>
              <w:top w:val="nil"/>
              <w:left w:val="nil"/>
              <w:bottom w:val="single" w:sz="4" w:space="0" w:color="auto"/>
              <w:right w:val="single" w:sz="4" w:space="0" w:color="auto"/>
            </w:tcBorders>
            <w:shd w:val="clear" w:color="000000" w:fill="FFFFFF"/>
            <w:noWrap/>
            <w:vAlign w:val="bottom"/>
            <w:hideMark/>
          </w:tcPr>
          <w:p w:rsidR="009845D8" w:rsidRPr="009845D8" w:rsidRDefault="009845D8" w:rsidP="009845D8">
            <w:pPr>
              <w:jc w:val="right"/>
              <w:rPr>
                <w:rFonts w:ascii="Lucida Bright" w:hAnsi="Lucida Bright" w:cs="Calibri"/>
                <w:sz w:val="14"/>
                <w:szCs w:val="14"/>
                <w:lang w:val="es-ES"/>
              </w:rPr>
            </w:pPr>
            <w:r w:rsidRPr="009845D8">
              <w:rPr>
                <w:rFonts w:ascii="Lucida Bright" w:hAnsi="Lucida Bright" w:cs="Calibri"/>
                <w:sz w:val="14"/>
                <w:szCs w:val="14"/>
                <w:lang w:val="es-ES"/>
              </w:rPr>
              <w:t xml:space="preserve">6.756.217,29 </w:t>
            </w:r>
          </w:p>
        </w:tc>
        <w:tc>
          <w:tcPr>
            <w:tcW w:w="1181" w:type="dxa"/>
            <w:tcBorders>
              <w:top w:val="nil"/>
              <w:left w:val="nil"/>
              <w:bottom w:val="single" w:sz="4" w:space="0" w:color="auto"/>
              <w:right w:val="single" w:sz="4" w:space="0" w:color="auto"/>
            </w:tcBorders>
            <w:shd w:val="clear" w:color="000000" w:fill="FFFFFF"/>
            <w:noWrap/>
            <w:vAlign w:val="bottom"/>
            <w:hideMark/>
          </w:tcPr>
          <w:p w:rsidR="009845D8" w:rsidRPr="009845D8" w:rsidRDefault="009845D8" w:rsidP="009845D8">
            <w:pPr>
              <w:jc w:val="right"/>
              <w:rPr>
                <w:rFonts w:ascii="Lucida Bright" w:hAnsi="Lucida Bright" w:cs="Calibri"/>
                <w:sz w:val="14"/>
                <w:szCs w:val="14"/>
                <w:lang w:val="es-ES"/>
              </w:rPr>
            </w:pPr>
            <w:r w:rsidRPr="009845D8">
              <w:rPr>
                <w:rFonts w:ascii="Lucida Bright" w:hAnsi="Lucida Bright" w:cs="Calibri"/>
                <w:sz w:val="14"/>
                <w:szCs w:val="14"/>
                <w:lang w:val="es-ES"/>
              </w:rPr>
              <w:t xml:space="preserve">5.836.706,63 </w:t>
            </w:r>
          </w:p>
        </w:tc>
      </w:tr>
      <w:tr w:rsidR="009845D8" w:rsidRPr="009845D8" w:rsidTr="00746AD3">
        <w:trPr>
          <w:trHeight w:val="300"/>
        </w:trPr>
        <w:tc>
          <w:tcPr>
            <w:tcW w:w="4060" w:type="dxa"/>
            <w:tcBorders>
              <w:top w:val="nil"/>
              <w:left w:val="single" w:sz="4" w:space="0" w:color="auto"/>
              <w:bottom w:val="single" w:sz="4" w:space="0" w:color="auto"/>
              <w:right w:val="single" w:sz="4" w:space="0" w:color="auto"/>
            </w:tcBorders>
            <w:shd w:val="clear" w:color="auto" w:fill="auto"/>
            <w:noWrap/>
            <w:vAlign w:val="bottom"/>
            <w:hideMark/>
          </w:tcPr>
          <w:p w:rsidR="009845D8" w:rsidRPr="009845D8" w:rsidRDefault="009845D8" w:rsidP="009845D8">
            <w:pPr>
              <w:rPr>
                <w:rFonts w:ascii="Lucida Bright" w:hAnsi="Lucida Bright" w:cs="Calibri"/>
                <w:sz w:val="14"/>
                <w:szCs w:val="14"/>
                <w:lang w:val="es-ES"/>
              </w:rPr>
            </w:pPr>
            <w:r w:rsidRPr="009845D8">
              <w:rPr>
                <w:rFonts w:ascii="Lucida Bright" w:hAnsi="Lucida Bright" w:cs="Calibri"/>
                <w:sz w:val="14"/>
                <w:szCs w:val="14"/>
                <w:lang w:val="es-ES"/>
              </w:rPr>
              <w:t>Acreedores por sentencias firmes</w:t>
            </w:r>
          </w:p>
        </w:tc>
        <w:tc>
          <w:tcPr>
            <w:tcW w:w="1280" w:type="dxa"/>
            <w:tcBorders>
              <w:top w:val="nil"/>
              <w:left w:val="nil"/>
              <w:bottom w:val="single" w:sz="4" w:space="0" w:color="auto"/>
              <w:right w:val="single" w:sz="4" w:space="0" w:color="auto"/>
            </w:tcBorders>
            <w:shd w:val="clear" w:color="000000" w:fill="FFFFFF"/>
            <w:noWrap/>
            <w:vAlign w:val="bottom"/>
            <w:hideMark/>
          </w:tcPr>
          <w:p w:rsidR="009845D8" w:rsidRPr="009845D8" w:rsidRDefault="009845D8" w:rsidP="009845D8">
            <w:pPr>
              <w:jc w:val="right"/>
              <w:rPr>
                <w:rFonts w:ascii="Lucida Bright" w:hAnsi="Lucida Bright" w:cs="Calibri"/>
                <w:sz w:val="14"/>
                <w:szCs w:val="14"/>
                <w:lang w:val="es-ES"/>
              </w:rPr>
            </w:pPr>
            <w:r w:rsidRPr="009845D8">
              <w:rPr>
                <w:rFonts w:ascii="Lucida Bright" w:hAnsi="Lucida Bright" w:cs="Calibri"/>
                <w:sz w:val="14"/>
                <w:szCs w:val="14"/>
                <w:lang w:val="es-ES"/>
              </w:rPr>
              <w:t xml:space="preserve">146.471,43 </w:t>
            </w:r>
          </w:p>
        </w:tc>
        <w:tc>
          <w:tcPr>
            <w:tcW w:w="1181" w:type="dxa"/>
            <w:tcBorders>
              <w:top w:val="nil"/>
              <w:left w:val="nil"/>
              <w:bottom w:val="single" w:sz="4" w:space="0" w:color="auto"/>
              <w:right w:val="single" w:sz="4" w:space="0" w:color="auto"/>
            </w:tcBorders>
            <w:shd w:val="clear" w:color="000000" w:fill="FFFFFF"/>
            <w:noWrap/>
            <w:vAlign w:val="bottom"/>
            <w:hideMark/>
          </w:tcPr>
          <w:p w:rsidR="009845D8" w:rsidRPr="009845D8" w:rsidRDefault="009845D8" w:rsidP="009845D8">
            <w:pPr>
              <w:jc w:val="right"/>
              <w:rPr>
                <w:rFonts w:ascii="Lucida Bright" w:hAnsi="Lucida Bright" w:cs="Calibri"/>
                <w:sz w:val="14"/>
                <w:szCs w:val="14"/>
                <w:lang w:val="es-ES"/>
              </w:rPr>
            </w:pPr>
            <w:r w:rsidRPr="009845D8">
              <w:rPr>
                <w:rFonts w:ascii="Lucida Bright" w:hAnsi="Lucida Bright" w:cs="Calibri"/>
                <w:sz w:val="14"/>
                <w:szCs w:val="14"/>
                <w:lang w:val="es-ES"/>
              </w:rPr>
              <w:t xml:space="preserve">142.175,69 </w:t>
            </w:r>
          </w:p>
        </w:tc>
      </w:tr>
    </w:tbl>
    <w:p w:rsidR="009845D8" w:rsidRDefault="009845D8" w:rsidP="00BF22FE">
      <w:pPr>
        <w:pStyle w:val="Sangra2detindependiente"/>
        <w:tabs>
          <w:tab w:val="right" w:pos="8364"/>
        </w:tabs>
        <w:ind w:firstLine="142"/>
      </w:pPr>
    </w:p>
    <w:p w:rsidR="00456615" w:rsidRDefault="00456615" w:rsidP="00BF22FE">
      <w:pPr>
        <w:pStyle w:val="Sangra2detindependiente"/>
        <w:tabs>
          <w:tab w:val="right" w:pos="8364"/>
        </w:tabs>
        <w:ind w:firstLine="142"/>
      </w:pPr>
    </w:p>
    <w:p w:rsidR="0075305A" w:rsidRPr="008053F9" w:rsidRDefault="00F706A9" w:rsidP="00F348FE">
      <w:pPr>
        <w:tabs>
          <w:tab w:val="right" w:pos="8364"/>
        </w:tabs>
        <w:ind w:left="120"/>
        <w:jc w:val="both"/>
        <w:rPr>
          <w:rFonts w:ascii="NewBaskerville" w:hAnsi="NewBaskerville"/>
        </w:rPr>
      </w:pPr>
      <w:r w:rsidRPr="008053F9">
        <w:rPr>
          <w:rFonts w:ascii="NewBaskerville" w:hAnsi="NewBaskerville"/>
        </w:rPr>
        <w:t>9</w:t>
      </w:r>
      <w:r w:rsidR="007B1941" w:rsidRPr="008053F9">
        <w:rPr>
          <w:rFonts w:ascii="NewBaskerville" w:hAnsi="NewBaskerville"/>
        </w:rPr>
        <w:t>.3</w:t>
      </w:r>
      <w:r w:rsidR="00F348FE" w:rsidRPr="008053F9">
        <w:rPr>
          <w:rFonts w:ascii="NewBaskerville" w:hAnsi="NewBaskerville"/>
        </w:rPr>
        <w:t xml:space="preserve"> </w:t>
      </w:r>
      <w:r w:rsidR="0075305A" w:rsidRPr="008053F9">
        <w:rPr>
          <w:rFonts w:ascii="NewBaskerville" w:hAnsi="NewBaskerville"/>
        </w:rPr>
        <w:t>Deudores / acreedores con empresas del grupo</w:t>
      </w:r>
    </w:p>
    <w:p w:rsidR="007661D9" w:rsidRPr="007661D9" w:rsidRDefault="007661D9" w:rsidP="0075305A">
      <w:pPr>
        <w:pStyle w:val="Sangra2detindependiente"/>
        <w:tabs>
          <w:tab w:val="right" w:pos="8364"/>
        </w:tabs>
        <w:ind w:firstLine="0"/>
        <w:rPr>
          <w:szCs w:val="24"/>
        </w:rPr>
      </w:pPr>
    </w:p>
    <w:tbl>
      <w:tblPr>
        <w:tblW w:w="6493" w:type="dxa"/>
        <w:tblInd w:w="70" w:type="dxa"/>
        <w:tblCellMar>
          <w:left w:w="70" w:type="dxa"/>
          <w:right w:w="70" w:type="dxa"/>
        </w:tblCellMar>
        <w:tblLook w:val="04A0" w:firstRow="1" w:lastRow="0" w:firstColumn="1" w:lastColumn="0" w:noHBand="0" w:noVBand="1"/>
      </w:tblPr>
      <w:tblGrid>
        <w:gridCol w:w="4093"/>
        <w:gridCol w:w="1200"/>
        <w:gridCol w:w="1200"/>
      </w:tblGrid>
      <w:tr w:rsidR="009845D8" w:rsidRPr="009845D8" w:rsidTr="009845D8">
        <w:trPr>
          <w:trHeight w:val="300"/>
        </w:trPr>
        <w:tc>
          <w:tcPr>
            <w:tcW w:w="4093" w:type="dxa"/>
            <w:tcBorders>
              <w:top w:val="nil"/>
              <w:left w:val="nil"/>
              <w:bottom w:val="nil"/>
              <w:right w:val="nil"/>
            </w:tcBorders>
            <w:shd w:val="clear" w:color="auto" w:fill="auto"/>
            <w:noWrap/>
            <w:vAlign w:val="bottom"/>
            <w:hideMark/>
          </w:tcPr>
          <w:p w:rsidR="009845D8" w:rsidRPr="009845D8" w:rsidRDefault="009845D8" w:rsidP="009845D8">
            <w:pPr>
              <w:rPr>
                <w:rFonts w:ascii="Calibri" w:hAnsi="Calibri" w:cs="Calibri"/>
                <w:color w:val="000000"/>
                <w:sz w:val="22"/>
                <w:szCs w:val="22"/>
                <w:lang w:val="es-ES"/>
              </w:rPr>
            </w:pPr>
          </w:p>
        </w:tc>
        <w:tc>
          <w:tcPr>
            <w:tcW w:w="1200"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9845D8" w:rsidRPr="009845D8" w:rsidRDefault="009845D8" w:rsidP="009845D8">
            <w:pPr>
              <w:jc w:val="center"/>
              <w:rPr>
                <w:rFonts w:ascii="Lucida Bright" w:hAnsi="Lucida Bright" w:cs="Calibri"/>
                <w:b/>
                <w:bCs/>
                <w:color w:val="000000"/>
                <w:sz w:val="14"/>
                <w:szCs w:val="14"/>
                <w:lang w:val="es-ES"/>
              </w:rPr>
            </w:pPr>
            <w:r w:rsidRPr="009845D8">
              <w:rPr>
                <w:rFonts w:ascii="Lucida Bright" w:hAnsi="Lucida Bright" w:cs="Calibri"/>
                <w:b/>
                <w:bCs/>
                <w:color w:val="000000"/>
                <w:sz w:val="14"/>
                <w:szCs w:val="14"/>
                <w:lang w:val="es-ES"/>
              </w:rPr>
              <w:t>2023</w:t>
            </w:r>
          </w:p>
        </w:tc>
        <w:tc>
          <w:tcPr>
            <w:tcW w:w="1200" w:type="dxa"/>
            <w:tcBorders>
              <w:top w:val="single" w:sz="4" w:space="0" w:color="auto"/>
              <w:left w:val="nil"/>
              <w:bottom w:val="single" w:sz="4" w:space="0" w:color="auto"/>
              <w:right w:val="single" w:sz="4" w:space="0" w:color="auto"/>
            </w:tcBorders>
            <w:shd w:val="clear" w:color="000000" w:fill="CCFFCC"/>
            <w:noWrap/>
            <w:vAlign w:val="center"/>
            <w:hideMark/>
          </w:tcPr>
          <w:p w:rsidR="009845D8" w:rsidRPr="009845D8" w:rsidRDefault="009845D8" w:rsidP="009845D8">
            <w:pPr>
              <w:jc w:val="center"/>
              <w:rPr>
                <w:rFonts w:ascii="Lucida Bright" w:hAnsi="Lucida Bright" w:cs="Calibri"/>
                <w:b/>
                <w:bCs/>
                <w:color w:val="000000"/>
                <w:sz w:val="14"/>
                <w:szCs w:val="14"/>
                <w:lang w:val="es-ES"/>
              </w:rPr>
            </w:pPr>
            <w:r w:rsidRPr="009845D8">
              <w:rPr>
                <w:rFonts w:ascii="Lucida Bright" w:hAnsi="Lucida Bright" w:cs="Calibri"/>
                <w:b/>
                <w:bCs/>
                <w:color w:val="000000"/>
                <w:sz w:val="14"/>
                <w:szCs w:val="14"/>
                <w:lang w:val="es-ES"/>
              </w:rPr>
              <w:t>2022</w:t>
            </w:r>
          </w:p>
        </w:tc>
      </w:tr>
      <w:tr w:rsidR="009845D8" w:rsidRPr="009845D8" w:rsidTr="009845D8">
        <w:trPr>
          <w:trHeight w:val="300"/>
        </w:trPr>
        <w:tc>
          <w:tcPr>
            <w:tcW w:w="4093"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9845D8" w:rsidRPr="009845D8" w:rsidRDefault="009845D8" w:rsidP="009845D8">
            <w:pPr>
              <w:rPr>
                <w:rFonts w:ascii="Lucida Bright" w:hAnsi="Lucida Bright" w:cs="Calibri"/>
                <w:b/>
                <w:bCs/>
                <w:sz w:val="14"/>
                <w:szCs w:val="14"/>
                <w:lang w:val="es-ES"/>
              </w:rPr>
            </w:pPr>
            <w:r w:rsidRPr="009845D8">
              <w:rPr>
                <w:rFonts w:ascii="Lucida Bright" w:hAnsi="Lucida Bright" w:cs="Calibri"/>
                <w:b/>
                <w:bCs/>
                <w:sz w:val="14"/>
                <w:szCs w:val="14"/>
                <w:lang w:val="es-ES"/>
              </w:rPr>
              <w:t xml:space="preserve">IV. Deudas con </w:t>
            </w:r>
            <w:proofErr w:type="spellStart"/>
            <w:r w:rsidRPr="009845D8">
              <w:rPr>
                <w:rFonts w:ascii="Lucida Bright" w:hAnsi="Lucida Bright" w:cs="Calibri"/>
                <w:b/>
                <w:bCs/>
                <w:sz w:val="14"/>
                <w:szCs w:val="14"/>
                <w:lang w:val="es-ES"/>
              </w:rPr>
              <w:t>empr</w:t>
            </w:r>
            <w:proofErr w:type="spellEnd"/>
            <w:r w:rsidRPr="009845D8">
              <w:rPr>
                <w:rFonts w:ascii="Lucida Bright" w:hAnsi="Lucida Bright" w:cs="Calibri"/>
                <w:b/>
                <w:bCs/>
                <w:sz w:val="14"/>
                <w:szCs w:val="14"/>
                <w:lang w:val="es-ES"/>
              </w:rPr>
              <w:t xml:space="preserve">. del grupo y asociadas a </w:t>
            </w:r>
            <w:proofErr w:type="spellStart"/>
            <w:r w:rsidRPr="009845D8">
              <w:rPr>
                <w:rFonts w:ascii="Lucida Bright" w:hAnsi="Lucida Bright" w:cs="Calibri"/>
                <w:b/>
                <w:bCs/>
                <w:sz w:val="14"/>
                <w:szCs w:val="14"/>
                <w:lang w:val="es-ES"/>
              </w:rPr>
              <w:t>c.p.</w:t>
            </w:r>
            <w:proofErr w:type="spellEnd"/>
          </w:p>
        </w:tc>
        <w:tc>
          <w:tcPr>
            <w:tcW w:w="1200" w:type="dxa"/>
            <w:tcBorders>
              <w:top w:val="nil"/>
              <w:left w:val="nil"/>
              <w:bottom w:val="single" w:sz="4" w:space="0" w:color="auto"/>
              <w:right w:val="single" w:sz="4" w:space="0" w:color="auto"/>
            </w:tcBorders>
            <w:shd w:val="clear" w:color="000000" w:fill="CCFFCC"/>
            <w:noWrap/>
            <w:vAlign w:val="bottom"/>
            <w:hideMark/>
          </w:tcPr>
          <w:p w:rsidR="009845D8" w:rsidRPr="009845D8" w:rsidRDefault="009845D8" w:rsidP="009845D8">
            <w:pPr>
              <w:jc w:val="right"/>
              <w:rPr>
                <w:rFonts w:ascii="Lucida Bright" w:hAnsi="Lucida Bright" w:cs="Calibri"/>
                <w:b/>
                <w:bCs/>
                <w:sz w:val="14"/>
                <w:szCs w:val="14"/>
                <w:lang w:val="es-ES"/>
              </w:rPr>
            </w:pPr>
            <w:r w:rsidRPr="009845D8">
              <w:rPr>
                <w:rFonts w:ascii="Lucida Bright" w:hAnsi="Lucida Bright" w:cs="Calibri"/>
                <w:b/>
                <w:bCs/>
                <w:sz w:val="14"/>
                <w:szCs w:val="14"/>
                <w:lang w:val="es-ES"/>
              </w:rPr>
              <w:t xml:space="preserve">11.556,64 </w:t>
            </w:r>
          </w:p>
        </w:tc>
        <w:tc>
          <w:tcPr>
            <w:tcW w:w="1200" w:type="dxa"/>
            <w:tcBorders>
              <w:top w:val="nil"/>
              <w:left w:val="nil"/>
              <w:bottom w:val="single" w:sz="4" w:space="0" w:color="auto"/>
              <w:right w:val="single" w:sz="4" w:space="0" w:color="auto"/>
            </w:tcBorders>
            <w:shd w:val="clear" w:color="000000" w:fill="CCFFCC"/>
            <w:noWrap/>
            <w:vAlign w:val="bottom"/>
            <w:hideMark/>
          </w:tcPr>
          <w:p w:rsidR="009845D8" w:rsidRPr="009845D8" w:rsidRDefault="009845D8" w:rsidP="009845D8">
            <w:pPr>
              <w:jc w:val="right"/>
              <w:rPr>
                <w:rFonts w:ascii="Lucida Bright" w:hAnsi="Lucida Bright" w:cs="Calibri"/>
                <w:b/>
                <w:bCs/>
                <w:sz w:val="14"/>
                <w:szCs w:val="14"/>
                <w:lang w:val="es-ES"/>
              </w:rPr>
            </w:pPr>
            <w:r w:rsidRPr="009845D8">
              <w:rPr>
                <w:rFonts w:ascii="Lucida Bright" w:hAnsi="Lucida Bright" w:cs="Calibri"/>
                <w:b/>
                <w:bCs/>
                <w:sz w:val="14"/>
                <w:szCs w:val="14"/>
                <w:lang w:val="es-ES"/>
              </w:rPr>
              <w:t xml:space="preserve">173.205,21 </w:t>
            </w:r>
          </w:p>
        </w:tc>
      </w:tr>
      <w:tr w:rsidR="009845D8" w:rsidRPr="009845D8" w:rsidTr="009845D8">
        <w:trPr>
          <w:trHeight w:val="300"/>
        </w:trPr>
        <w:tc>
          <w:tcPr>
            <w:tcW w:w="4093" w:type="dxa"/>
            <w:tcBorders>
              <w:top w:val="nil"/>
              <w:left w:val="single" w:sz="4" w:space="0" w:color="auto"/>
              <w:bottom w:val="single" w:sz="4" w:space="0" w:color="auto"/>
              <w:right w:val="single" w:sz="4" w:space="0" w:color="auto"/>
            </w:tcBorders>
            <w:shd w:val="clear" w:color="auto" w:fill="auto"/>
            <w:noWrap/>
            <w:vAlign w:val="bottom"/>
            <w:hideMark/>
          </w:tcPr>
          <w:p w:rsidR="009845D8" w:rsidRPr="009845D8" w:rsidRDefault="009845D8" w:rsidP="009845D8">
            <w:pPr>
              <w:rPr>
                <w:rFonts w:ascii="Lucida Bright" w:hAnsi="Lucida Bright" w:cs="Calibri"/>
                <w:sz w:val="14"/>
                <w:szCs w:val="14"/>
                <w:lang w:val="es-ES"/>
              </w:rPr>
            </w:pPr>
            <w:r w:rsidRPr="009845D8">
              <w:rPr>
                <w:rFonts w:ascii="Lucida Bright" w:hAnsi="Lucida Bright" w:cs="Calibri"/>
                <w:sz w:val="14"/>
                <w:szCs w:val="14"/>
                <w:lang w:val="es-ES"/>
              </w:rPr>
              <w:t xml:space="preserve">OPPE, </w:t>
            </w:r>
            <w:proofErr w:type="gramStart"/>
            <w:r w:rsidRPr="009845D8">
              <w:rPr>
                <w:rFonts w:ascii="Lucida Bright" w:hAnsi="Lucida Bright" w:cs="Calibri"/>
                <w:sz w:val="14"/>
                <w:szCs w:val="14"/>
                <w:lang w:val="es-ES"/>
              </w:rPr>
              <w:t>acreedor principales</w:t>
            </w:r>
            <w:proofErr w:type="gramEnd"/>
            <w:r w:rsidRPr="009845D8">
              <w:rPr>
                <w:rFonts w:ascii="Lucida Bright" w:hAnsi="Lucida Bright" w:cs="Calibri"/>
                <w:sz w:val="14"/>
                <w:szCs w:val="14"/>
                <w:lang w:val="es-ES"/>
              </w:rPr>
              <w:t xml:space="preserve"> e inter. </w:t>
            </w:r>
            <w:proofErr w:type="spellStart"/>
            <w:proofErr w:type="gramStart"/>
            <w:r w:rsidRPr="009845D8">
              <w:rPr>
                <w:rFonts w:ascii="Lucida Bright" w:hAnsi="Lucida Bright" w:cs="Calibri"/>
                <w:sz w:val="14"/>
                <w:szCs w:val="14"/>
                <w:lang w:val="es-ES"/>
              </w:rPr>
              <w:t>litig</w:t>
            </w:r>
            <w:proofErr w:type="spellEnd"/>
            <w:proofErr w:type="gramEnd"/>
            <w:r w:rsidRPr="009845D8">
              <w:rPr>
                <w:rFonts w:ascii="Lucida Bright" w:hAnsi="Lucida Bright" w:cs="Calibri"/>
                <w:sz w:val="14"/>
                <w:szCs w:val="14"/>
                <w:lang w:val="es-ES"/>
              </w:rPr>
              <w:t xml:space="preserve">. </w:t>
            </w:r>
            <w:proofErr w:type="spellStart"/>
            <w:proofErr w:type="gramStart"/>
            <w:r w:rsidRPr="009845D8">
              <w:rPr>
                <w:rFonts w:ascii="Lucida Bright" w:hAnsi="Lucida Bright" w:cs="Calibri"/>
                <w:sz w:val="14"/>
                <w:szCs w:val="14"/>
                <w:lang w:val="es-ES"/>
              </w:rPr>
              <w:t>tarif</w:t>
            </w:r>
            <w:proofErr w:type="spellEnd"/>
            <w:proofErr w:type="gramEnd"/>
            <w:r w:rsidRPr="009845D8">
              <w:rPr>
                <w:rFonts w:ascii="Lucida Bright" w:hAnsi="Lucida Bright" w:cs="Calibri"/>
                <w:sz w:val="14"/>
                <w:szCs w:val="14"/>
                <w:lang w:val="es-ES"/>
              </w:rPr>
              <w:t xml:space="preserve">. (anticipos, </w:t>
            </w:r>
            <w:proofErr w:type="spellStart"/>
            <w:r w:rsidRPr="009845D8">
              <w:rPr>
                <w:rFonts w:ascii="Lucida Bright" w:hAnsi="Lucida Bright" w:cs="Calibri"/>
                <w:sz w:val="14"/>
                <w:szCs w:val="14"/>
                <w:lang w:val="es-ES"/>
              </w:rPr>
              <w:t>etc</w:t>
            </w:r>
            <w:proofErr w:type="spellEnd"/>
            <w:r w:rsidRPr="009845D8">
              <w:rPr>
                <w:rFonts w:ascii="Lucida Bright" w:hAnsi="Lucida Bright" w:cs="Calibri"/>
                <w:sz w:val="14"/>
                <w:szCs w:val="14"/>
                <w:lang w:val="es-ES"/>
              </w:rPr>
              <w:t>)</w:t>
            </w:r>
          </w:p>
        </w:tc>
        <w:tc>
          <w:tcPr>
            <w:tcW w:w="1200" w:type="dxa"/>
            <w:tcBorders>
              <w:top w:val="nil"/>
              <w:left w:val="nil"/>
              <w:bottom w:val="single" w:sz="4" w:space="0" w:color="auto"/>
              <w:right w:val="single" w:sz="4" w:space="0" w:color="auto"/>
            </w:tcBorders>
            <w:shd w:val="clear" w:color="000000" w:fill="FFFFFF"/>
            <w:noWrap/>
            <w:vAlign w:val="bottom"/>
            <w:hideMark/>
          </w:tcPr>
          <w:p w:rsidR="009845D8" w:rsidRPr="009845D8" w:rsidRDefault="009845D8" w:rsidP="009845D8">
            <w:pPr>
              <w:rPr>
                <w:rFonts w:ascii="Lucida Bright" w:hAnsi="Lucida Bright" w:cs="Calibri"/>
                <w:sz w:val="14"/>
                <w:szCs w:val="14"/>
                <w:lang w:val="es-ES"/>
              </w:rPr>
            </w:pPr>
            <w:r w:rsidRPr="009845D8">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9845D8" w:rsidRPr="009845D8" w:rsidRDefault="009845D8" w:rsidP="009845D8">
            <w:pPr>
              <w:jc w:val="right"/>
              <w:rPr>
                <w:rFonts w:ascii="Lucida Bright" w:hAnsi="Lucida Bright" w:cs="Calibri"/>
                <w:sz w:val="14"/>
                <w:szCs w:val="14"/>
                <w:lang w:val="es-ES"/>
              </w:rPr>
            </w:pPr>
            <w:r w:rsidRPr="009845D8">
              <w:rPr>
                <w:rFonts w:ascii="Lucida Bright" w:hAnsi="Lucida Bright" w:cs="Calibri"/>
                <w:sz w:val="14"/>
                <w:szCs w:val="14"/>
                <w:lang w:val="es-ES"/>
              </w:rPr>
              <w:t xml:space="preserve">160.971,60 </w:t>
            </w:r>
          </w:p>
        </w:tc>
      </w:tr>
      <w:tr w:rsidR="009845D8" w:rsidRPr="009845D8" w:rsidTr="009845D8">
        <w:trPr>
          <w:trHeight w:val="300"/>
        </w:trPr>
        <w:tc>
          <w:tcPr>
            <w:tcW w:w="4093" w:type="dxa"/>
            <w:tcBorders>
              <w:top w:val="nil"/>
              <w:left w:val="single" w:sz="4" w:space="0" w:color="auto"/>
              <w:bottom w:val="single" w:sz="4" w:space="0" w:color="auto"/>
              <w:right w:val="single" w:sz="4" w:space="0" w:color="auto"/>
            </w:tcBorders>
            <w:shd w:val="clear" w:color="auto" w:fill="auto"/>
            <w:noWrap/>
            <w:vAlign w:val="bottom"/>
            <w:hideMark/>
          </w:tcPr>
          <w:p w:rsidR="009845D8" w:rsidRPr="009845D8" w:rsidRDefault="009845D8" w:rsidP="009845D8">
            <w:pPr>
              <w:rPr>
                <w:rFonts w:ascii="Lucida Bright" w:hAnsi="Lucida Bright" w:cs="Calibri"/>
                <w:sz w:val="14"/>
                <w:szCs w:val="14"/>
                <w:lang w:val="es-ES"/>
              </w:rPr>
            </w:pPr>
            <w:r w:rsidRPr="009845D8">
              <w:rPr>
                <w:rFonts w:ascii="Lucida Bright" w:hAnsi="Lucida Bright" w:cs="Calibri"/>
                <w:sz w:val="14"/>
                <w:szCs w:val="14"/>
                <w:lang w:val="es-ES"/>
              </w:rPr>
              <w:t>FFATP acreedor</w:t>
            </w:r>
          </w:p>
        </w:tc>
        <w:tc>
          <w:tcPr>
            <w:tcW w:w="1200" w:type="dxa"/>
            <w:tcBorders>
              <w:top w:val="nil"/>
              <w:left w:val="nil"/>
              <w:bottom w:val="single" w:sz="4" w:space="0" w:color="auto"/>
              <w:right w:val="single" w:sz="4" w:space="0" w:color="auto"/>
            </w:tcBorders>
            <w:shd w:val="clear" w:color="000000" w:fill="FFFFFF"/>
            <w:noWrap/>
            <w:vAlign w:val="bottom"/>
            <w:hideMark/>
          </w:tcPr>
          <w:p w:rsidR="009845D8" w:rsidRPr="009845D8" w:rsidRDefault="009845D8" w:rsidP="009845D8">
            <w:pPr>
              <w:jc w:val="right"/>
              <w:rPr>
                <w:rFonts w:ascii="Lucida Bright" w:hAnsi="Lucida Bright" w:cs="Calibri"/>
                <w:sz w:val="14"/>
                <w:szCs w:val="14"/>
                <w:lang w:val="es-ES"/>
              </w:rPr>
            </w:pPr>
            <w:r w:rsidRPr="009845D8">
              <w:rPr>
                <w:rFonts w:ascii="Lucida Bright" w:hAnsi="Lucida Bright" w:cs="Calibri"/>
                <w:sz w:val="14"/>
                <w:szCs w:val="14"/>
                <w:lang w:val="es-ES"/>
              </w:rPr>
              <w:t xml:space="preserve">11.556,64 </w:t>
            </w:r>
          </w:p>
        </w:tc>
        <w:tc>
          <w:tcPr>
            <w:tcW w:w="1200" w:type="dxa"/>
            <w:tcBorders>
              <w:top w:val="nil"/>
              <w:left w:val="nil"/>
              <w:bottom w:val="single" w:sz="4" w:space="0" w:color="auto"/>
              <w:right w:val="single" w:sz="4" w:space="0" w:color="auto"/>
            </w:tcBorders>
            <w:shd w:val="clear" w:color="000000" w:fill="FFFFFF"/>
            <w:noWrap/>
            <w:vAlign w:val="bottom"/>
            <w:hideMark/>
          </w:tcPr>
          <w:p w:rsidR="009845D8" w:rsidRPr="009845D8" w:rsidRDefault="009845D8" w:rsidP="009845D8">
            <w:pPr>
              <w:jc w:val="right"/>
              <w:rPr>
                <w:rFonts w:ascii="Lucida Bright" w:hAnsi="Lucida Bright" w:cs="Calibri"/>
                <w:sz w:val="14"/>
                <w:szCs w:val="14"/>
                <w:lang w:val="es-ES"/>
              </w:rPr>
            </w:pPr>
            <w:r w:rsidRPr="009845D8">
              <w:rPr>
                <w:rFonts w:ascii="Lucida Bright" w:hAnsi="Lucida Bright" w:cs="Calibri"/>
                <w:sz w:val="14"/>
                <w:szCs w:val="14"/>
                <w:lang w:val="es-ES"/>
              </w:rPr>
              <w:t xml:space="preserve">3.094,33 </w:t>
            </w:r>
          </w:p>
        </w:tc>
      </w:tr>
      <w:tr w:rsidR="009845D8" w:rsidRPr="009845D8" w:rsidTr="009845D8">
        <w:trPr>
          <w:trHeight w:val="300"/>
        </w:trPr>
        <w:tc>
          <w:tcPr>
            <w:tcW w:w="4093" w:type="dxa"/>
            <w:tcBorders>
              <w:top w:val="nil"/>
              <w:left w:val="single" w:sz="4" w:space="0" w:color="auto"/>
              <w:bottom w:val="single" w:sz="4" w:space="0" w:color="auto"/>
              <w:right w:val="single" w:sz="4" w:space="0" w:color="auto"/>
            </w:tcBorders>
            <w:shd w:val="clear" w:color="000000" w:fill="FFFFFF"/>
            <w:noWrap/>
            <w:vAlign w:val="bottom"/>
            <w:hideMark/>
          </w:tcPr>
          <w:p w:rsidR="009845D8" w:rsidRPr="009845D8" w:rsidRDefault="009845D8" w:rsidP="009845D8">
            <w:pPr>
              <w:rPr>
                <w:rFonts w:ascii="Lucida Bright" w:hAnsi="Lucida Bright" w:cs="Calibri"/>
                <w:sz w:val="14"/>
                <w:szCs w:val="14"/>
                <w:lang w:val="es-ES"/>
              </w:rPr>
            </w:pPr>
            <w:r w:rsidRPr="009845D8">
              <w:rPr>
                <w:rFonts w:ascii="Lucida Bright" w:hAnsi="Lucida Bright" w:cs="Calibri"/>
                <w:sz w:val="14"/>
                <w:szCs w:val="14"/>
                <w:lang w:val="es-ES"/>
              </w:rPr>
              <w:t>O P PUERTOS DEL ESTADO</w:t>
            </w:r>
          </w:p>
        </w:tc>
        <w:tc>
          <w:tcPr>
            <w:tcW w:w="1200" w:type="dxa"/>
            <w:tcBorders>
              <w:top w:val="nil"/>
              <w:left w:val="nil"/>
              <w:bottom w:val="single" w:sz="4" w:space="0" w:color="auto"/>
              <w:right w:val="single" w:sz="4" w:space="0" w:color="auto"/>
            </w:tcBorders>
            <w:shd w:val="clear" w:color="000000" w:fill="FFFFFF"/>
            <w:noWrap/>
            <w:vAlign w:val="bottom"/>
            <w:hideMark/>
          </w:tcPr>
          <w:p w:rsidR="009845D8" w:rsidRPr="009845D8" w:rsidRDefault="009845D8" w:rsidP="009845D8">
            <w:pPr>
              <w:rPr>
                <w:rFonts w:ascii="Lucida Bright" w:hAnsi="Lucida Bright" w:cs="Calibri"/>
                <w:sz w:val="14"/>
                <w:szCs w:val="14"/>
                <w:lang w:val="es-ES"/>
              </w:rPr>
            </w:pPr>
            <w:r w:rsidRPr="009845D8">
              <w:rPr>
                <w:rFonts w:ascii="Lucida Bright" w:hAnsi="Lucida Bright" w:cs="Calibri"/>
                <w:sz w:val="14"/>
                <w:szCs w:val="14"/>
                <w:lang w:val="es-ES"/>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9845D8" w:rsidRPr="009845D8" w:rsidRDefault="009845D8" w:rsidP="009845D8">
            <w:pPr>
              <w:jc w:val="right"/>
              <w:rPr>
                <w:rFonts w:ascii="Lucida Bright" w:hAnsi="Lucida Bright" w:cs="Calibri"/>
                <w:sz w:val="14"/>
                <w:szCs w:val="14"/>
                <w:lang w:val="es-ES"/>
              </w:rPr>
            </w:pPr>
            <w:r w:rsidRPr="009845D8">
              <w:rPr>
                <w:rFonts w:ascii="Lucida Bright" w:hAnsi="Lucida Bright" w:cs="Calibri"/>
                <w:sz w:val="14"/>
                <w:szCs w:val="14"/>
                <w:lang w:val="es-ES"/>
              </w:rPr>
              <w:t xml:space="preserve">9.139,28 </w:t>
            </w:r>
          </w:p>
        </w:tc>
      </w:tr>
    </w:tbl>
    <w:p w:rsidR="008053F9" w:rsidRDefault="008053F9" w:rsidP="00C82D5D">
      <w:pPr>
        <w:tabs>
          <w:tab w:val="right" w:pos="8364"/>
        </w:tabs>
        <w:ind w:left="142" w:firstLine="420"/>
        <w:jc w:val="both"/>
        <w:rPr>
          <w:sz w:val="24"/>
        </w:rPr>
      </w:pPr>
    </w:p>
    <w:p w:rsidR="005C5D72" w:rsidRDefault="005C5D72" w:rsidP="00C82D5D">
      <w:pPr>
        <w:tabs>
          <w:tab w:val="right" w:pos="8364"/>
        </w:tabs>
        <w:ind w:left="142" w:firstLine="420"/>
        <w:jc w:val="both"/>
        <w:rPr>
          <w:sz w:val="24"/>
        </w:rPr>
      </w:pPr>
    </w:p>
    <w:p w:rsidR="002C4355" w:rsidRPr="008053F9" w:rsidRDefault="00F706A9" w:rsidP="00F348FE">
      <w:pPr>
        <w:tabs>
          <w:tab w:val="right" w:pos="8364"/>
        </w:tabs>
        <w:ind w:left="120"/>
        <w:jc w:val="both"/>
        <w:rPr>
          <w:rFonts w:ascii="NewBaskerville" w:hAnsi="NewBaskerville"/>
          <w:bCs/>
        </w:rPr>
      </w:pPr>
      <w:r w:rsidRPr="008053F9">
        <w:rPr>
          <w:rFonts w:ascii="NewBaskerville" w:hAnsi="NewBaskerville"/>
        </w:rPr>
        <w:t>9</w:t>
      </w:r>
      <w:r w:rsidR="007B1941" w:rsidRPr="008053F9">
        <w:rPr>
          <w:rFonts w:ascii="NewBaskerville" w:hAnsi="NewBaskerville"/>
        </w:rPr>
        <w:t>.4</w:t>
      </w:r>
      <w:r w:rsidR="00F348FE" w:rsidRPr="008053F9">
        <w:rPr>
          <w:rFonts w:ascii="NewBaskerville" w:hAnsi="NewBaskerville"/>
        </w:rPr>
        <w:t xml:space="preserve"> </w:t>
      </w:r>
      <w:r w:rsidR="002C4355" w:rsidRPr="008053F9">
        <w:rPr>
          <w:rFonts w:ascii="NewBaskerville" w:hAnsi="NewBaskerville"/>
        </w:rPr>
        <w:t>Fondos propios</w:t>
      </w:r>
    </w:p>
    <w:p w:rsidR="002C4355" w:rsidRPr="008053F9" w:rsidRDefault="002C4355">
      <w:pPr>
        <w:pStyle w:val="Sangradetextonormal"/>
        <w:tabs>
          <w:tab w:val="clear" w:pos="8364"/>
          <w:tab w:val="left" w:pos="6369"/>
          <w:tab w:val="right" w:pos="8460"/>
        </w:tabs>
        <w:ind w:firstLine="0"/>
        <w:rPr>
          <w:rFonts w:ascii="NewBaskerville" w:hAnsi="NewBaskerville"/>
          <w:sz w:val="20"/>
        </w:rPr>
      </w:pPr>
    </w:p>
    <w:p w:rsidR="002C4355" w:rsidRDefault="002C4355">
      <w:pPr>
        <w:pStyle w:val="Sangradetextonormal"/>
        <w:tabs>
          <w:tab w:val="clear" w:pos="8364"/>
          <w:tab w:val="left" w:pos="6369"/>
          <w:tab w:val="right" w:pos="8460"/>
        </w:tabs>
        <w:rPr>
          <w:rFonts w:ascii="NewBaskerville" w:hAnsi="NewBaskerville"/>
          <w:sz w:val="20"/>
        </w:rPr>
      </w:pPr>
      <w:r w:rsidRPr="008053F9">
        <w:rPr>
          <w:rFonts w:ascii="NewBaskerville" w:hAnsi="NewBaskerville"/>
          <w:sz w:val="20"/>
        </w:rPr>
        <w:t>El importe registrado en el epígrafe de “Patrimonio” del balance de situación de esta Auto</w:t>
      </w:r>
      <w:r w:rsidR="005046B2" w:rsidRPr="008053F9">
        <w:rPr>
          <w:rFonts w:ascii="NewBaskerville" w:hAnsi="NewBaskerville"/>
          <w:sz w:val="20"/>
        </w:rPr>
        <w:t>r</w:t>
      </w:r>
      <w:r w:rsidR="006D5036" w:rsidRPr="008053F9">
        <w:rPr>
          <w:rFonts w:ascii="NewBaskerville" w:hAnsi="NewBaskerville"/>
          <w:sz w:val="20"/>
        </w:rPr>
        <w:t xml:space="preserve">idad Portuaria a </w:t>
      </w:r>
      <w:r w:rsidR="008053F9">
        <w:rPr>
          <w:rFonts w:ascii="NewBaskerville" w:hAnsi="NewBaskerville"/>
          <w:sz w:val="20"/>
        </w:rPr>
        <w:t>01/01/</w:t>
      </w:r>
      <w:r w:rsidR="006D5036" w:rsidRPr="008053F9">
        <w:rPr>
          <w:rFonts w:ascii="NewBaskerville" w:hAnsi="NewBaskerville"/>
          <w:sz w:val="20"/>
        </w:rPr>
        <w:t>202</w:t>
      </w:r>
      <w:r w:rsidR="00746AD3">
        <w:rPr>
          <w:rFonts w:ascii="NewBaskerville" w:hAnsi="NewBaskerville"/>
          <w:sz w:val="20"/>
        </w:rPr>
        <w:t>3</w:t>
      </w:r>
      <w:r w:rsidR="003976DD" w:rsidRPr="008053F9">
        <w:rPr>
          <w:rFonts w:ascii="NewBaskerville" w:hAnsi="NewBaskerville"/>
          <w:sz w:val="20"/>
        </w:rPr>
        <w:t xml:space="preserve"> </w:t>
      </w:r>
      <w:r w:rsidRPr="008053F9">
        <w:rPr>
          <w:rFonts w:ascii="NewBaskerville" w:hAnsi="NewBaskerville"/>
          <w:sz w:val="20"/>
        </w:rPr>
        <w:t xml:space="preserve">era de 212.383.193,39 euros. </w:t>
      </w:r>
      <w:r w:rsidR="003A63E2">
        <w:rPr>
          <w:rFonts w:ascii="NewBaskerville" w:hAnsi="NewBaskerville"/>
          <w:sz w:val="20"/>
        </w:rPr>
        <w:t>Este</w:t>
      </w:r>
      <w:r w:rsidRPr="008053F9">
        <w:rPr>
          <w:rFonts w:ascii="NewBaskerville" w:hAnsi="NewBaskerville"/>
          <w:sz w:val="20"/>
        </w:rPr>
        <w:t xml:space="preserve"> importe del patrimonio</w:t>
      </w:r>
      <w:r w:rsidR="003A63E2">
        <w:rPr>
          <w:rFonts w:ascii="NewBaskerville" w:hAnsi="NewBaskerville"/>
          <w:sz w:val="20"/>
        </w:rPr>
        <w:t>, a inicio del ejercicio,</w:t>
      </w:r>
      <w:r w:rsidRPr="008053F9">
        <w:rPr>
          <w:rFonts w:ascii="NewBaskerville" w:hAnsi="NewBaskerville"/>
          <w:sz w:val="20"/>
        </w:rPr>
        <w:t xml:space="preserve"> es la suma del valor de los bienes de activo fijo aportados a 1 de enero de 1993 y de la diferencia entre los restantes activos y pasivos también aportados en la citada fecha.</w:t>
      </w:r>
    </w:p>
    <w:p w:rsidR="00746AD3" w:rsidRDefault="00746AD3">
      <w:pPr>
        <w:pStyle w:val="Sangradetextonormal"/>
        <w:tabs>
          <w:tab w:val="clear" w:pos="8364"/>
          <w:tab w:val="left" w:pos="6369"/>
          <w:tab w:val="right" w:pos="8460"/>
        </w:tabs>
        <w:rPr>
          <w:rFonts w:ascii="NewBaskerville" w:hAnsi="NewBaskerville"/>
          <w:sz w:val="20"/>
        </w:rPr>
      </w:pPr>
    </w:p>
    <w:p w:rsidR="00C761AE" w:rsidRDefault="003A63E2">
      <w:pPr>
        <w:pStyle w:val="Sangradetextonormal"/>
        <w:tabs>
          <w:tab w:val="clear" w:pos="8364"/>
          <w:tab w:val="left" w:pos="6369"/>
          <w:tab w:val="right" w:pos="8460"/>
        </w:tabs>
        <w:rPr>
          <w:rFonts w:ascii="NewBaskerville" w:hAnsi="NewBaskerville"/>
          <w:sz w:val="20"/>
        </w:rPr>
      </w:pPr>
      <w:r>
        <w:rPr>
          <w:rFonts w:ascii="NewBaskerville" w:hAnsi="NewBaskerville"/>
          <w:sz w:val="20"/>
        </w:rPr>
        <w:t xml:space="preserve">Durante el ejercicio 2023, mediante mutación </w:t>
      </w:r>
      <w:proofErr w:type="spellStart"/>
      <w:r>
        <w:rPr>
          <w:rFonts w:ascii="NewBaskerville" w:hAnsi="NewBaskerville"/>
          <w:sz w:val="20"/>
        </w:rPr>
        <w:t>demanial</w:t>
      </w:r>
      <w:proofErr w:type="spellEnd"/>
      <w:r>
        <w:rPr>
          <w:rFonts w:ascii="NewBaskerville" w:hAnsi="NewBaskerville"/>
          <w:sz w:val="20"/>
        </w:rPr>
        <w:t xml:space="preserve">, se han afectado los terrenos correspondientes al Convenio entre la APB y el Ayuntamiento de </w:t>
      </w:r>
      <w:proofErr w:type="spellStart"/>
      <w:r>
        <w:rPr>
          <w:rFonts w:ascii="NewBaskerville" w:hAnsi="NewBaskerville"/>
          <w:sz w:val="20"/>
        </w:rPr>
        <w:t>Maó</w:t>
      </w:r>
      <w:proofErr w:type="spellEnd"/>
      <w:r>
        <w:rPr>
          <w:rFonts w:ascii="NewBaskerville" w:hAnsi="NewBaskerville"/>
          <w:sz w:val="20"/>
        </w:rPr>
        <w:t xml:space="preserve"> para la ejecución del proyecto de mejora de accesos en la Costa de </w:t>
      </w:r>
      <w:proofErr w:type="spellStart"/>
      <w:r>
        <w:rPr>
          <w:rFonts w:ascii="NewBaskerville" w:hAnsi="NewBaskerville"/>
          <w:sz w:val="20"/>
        </w:rPr>
        <w:t>Ses</w:t>
      </w:r>
      <w:proofErr w:type="spellEnd"/>
      <w:r>
        <w:rPr>
          <w:rFonts w:ascii="NewBaskerville" w:hAnsi="NewBaskerville"/>
          <w:sz w:val="20"/>
        </w:rPr>
        <w:t xml:space="preserve"> </w:t>
      </w:r>
      <w:proofErr w:type="spellStart"/>
      <w:r>
        <w:rPr>
          <w:rFonts w:ascii="NewBaskerville" w:hAnsi="NewBaskerville"/>
          <w:sz w:val="20"/>
        </w:rPr>
        <w:t>Voltes</w:t>
      </w:r>
      <w:proofErr w:type="spellEnd"/>
      <w:r>
        <w:rPr>
          <w:rFonts w:ascii="NewBaskerville" w:hAnsi="NewBaskerville"/>
          <w:sz w:val="20"/>
        </w:rPr>
        <w:t xml:space="preserve"> (</w:t>
      </w:r>
      <w:proofErr w:type="spellStart"/>
      <w:r>
        <w:rPr>
          <w:rFonts w:ascii="NewBaskerville" w:hAnsi="NewBaskerville"/>
          <w:sz w:val="20"/>
        </w:rPr>
        <w:t>Maó</w:t>
      </w:r>
      <w:proofErr w:type="spellEnd"/>
      <w:r>
        <w:rPr>
          <w:rFonts w:ascii="NewBaskerville" w:hAnsi="NewBaskerville"/>
          <w:sz w:val="20"/>
        </w:rPr>
        <w:t xml:space="preserve"> – Mahón). Dicha afectación ha incrementado el “Patrimonio” en la cantidad de 14.401,08 euros</w:t>
      </w:r>
      <w:r w:rsidR="00C761AE">
        <w:rPr>
          <w:rFonts w:ascii="NewBaskerville" w:hAnsi="NewBaskerville"/>
          <w:sz w:val="20"/>
        </w:rPr>
        <w:t>,</w:t>
      </w:r>
      <w:r>
        <w:rPr>
          <w:rFonts w:ascii="NewBaskerville" w:hAnsi="NewBaskerville"/>
          <w:sz w:val="20"/>
        </w:rPr>
        <w:t xml:space="preserve"> correspondiéndose con el </w:t>
      </w:r>
      <w:r w:rsidR="00C761AE">
        <w:rPr>
          <w:rFonts w:ascii="NewBaskerville" w:hAnsi="NewBaskerville"/>
          <w:sz w:val="20"/>
        </w:rPr>
        <w:t>valor razonable reconocido de tales terrenos.</w:t>
      </w:r>
    </w:p>
    <w:p w:rsidR="00C761AE" w:rsidRDefault="00C761AE">
      <w:pPr>
        <w:pStyle w:val="Sangradetextonormal"/>
        <w:tabs>
          <w:tab w:val="clear" w:pos="8364"/>
          <w:tab w:val="left" w:pos="6369"/>
          <w:tab w:val="right" w:pos="8460"/>
        </w:tabs>
        <w:rPr>
          <w:rFonts w:ascii="NewBaskerville" w:hAnsi="NewBaskerville"/>
          <w:sz w:val="20"/>
        </w:rPr>
      </w:pPr>
    </w:p>
    <w:p w:rsidR="003A63E2" w:rsidRDefault="00C761AE">
      <w:pPr>
        <w:pStyle w:val="Sangradetextonormal"/>
        <w:tabs>
          <w:tab w:val="clear" w:pos="8364"/>
          <w:tab w:val="left" w:pos="6369"/>
          <w:tab w:val="right" w:pos="8460"/>
        </w:tabs>
        <w:rPr>
          <w:rFonts w:ascii="NewBaskerville" w:hAnsi="NewBaskerville"/>
          <w:sz w:val="20"/>
        </w:rPr>
      </w:pPr>
      <w:r>
        <w:rPr>
          <w:rFonts w:ascii="NewBaskerville" w:hAnsi="NewBaskerville"/>
          <w:sz w:val="20"/>
        </w:rPr>
        <w:t>El importe registrado en el epígrafe de “Patrimonio” del balance de situación a 31/12/2023 es de 212.397.594,47 euros.</w:t>
      </w:r>
      <w:r w:rsidR="003A63E2">
        <w:rPr>
          <w:rFonts w:ascii="NewBaskerville" w:hAnsi="NewBaskerville"/>
          <w:sz w:val="20"/>
        </w:rPr>
        <w:t xml:space="preserve"> </w:t>
      </w:r>
    </w:p>
    <w:p w:rsidR="000C0E35" w:rsidRPr="008053F9" w:rsidRDefault="000C0E35">
      <w:pPr>
        <w:pStyle w:val="Sangradetextonormal"/>
        <w:tabs>
          <w:tab w:val="clear" w:pos="8364"/>
          <w:tab w:val="left" w:pos="6369"/>
          <w:tab w:val="right" w:pos="8460"/>
        </w:tabs>
        <w:rPr>
          <w:rFonts w:ascii="NewBaskerville" w:hAnsi="NewBaskerville"/>
          <w:sz w:val="20"/>
        </w:rPr>
      </w:pPr>
    </w:p>
    <w:p w:rsidR="002C4355" w:rsidRPr="00192C0A" w:rsidRDefault="002C4355">
      <w:pPr>
        <w:tabs>
          <w:tab w:val="right" w:pos="8364"/>
        </w:tabs>
        <w:ind w:firstLine="567"/>
        <w:jc w:val="both"/>
        <w:rPr>
          <w:rFonts w:ascii="NewBaskerville" w:hAnsi="NewBaskerville"/>
        </w:rPr>
      </w:pPr>
    </w:p>
    <w:p w:rsidR="002C4355" w:rsidRPr="00192C0A" w:rsidRDefault="00F706A9" w:rsidP="00F348FE">
      <w:pPr>
        <w:tabs>
          <w:tab w:val="right" w:pos="8364"/>
        </w:tabs>
        <w:ind w:left="120"/>
        <w:jc w:val="both"/>
        <w:rPr>
          <w:rFonts w:ascii="NewBaskerville" w:hAnsi="NewBaskerville"/>
        </w:rPr>
      </w:pPr>
      <w:r w:rsidRPr="00192C0A">
        <w:rPr>
          <w:rFonts w:ascii="NewBaskerville" w:hAnsi="NewBaskerville"/>
        </w:rPr>
        <w:t>9</w:t>
      </w:r>
      <w:r w:rsidR="007B1941" w:rsidRPr="00192C0A">
        <w:rPr>
          <w:rFonts w:ascii="NewBaskerville" w:hAnsi="NewBaskerville"/>
        </w:rPr>
        <w:t>.5</w:t>
      </w:r>
      <w:r w:rsidR="002C4355" w:rsidRPr="00192C0A">
        <w:rPr>
          <w:rFonts w:ascii="NewBaskerville" w:hAnsi="NewBaskerville"/>
        </w:rPr>
        <w:t xml:space="preserve"> Política y Gestión de Riesgos</w:t>
      </w:r>
    </w:p>
    <w:p w:rsidR="002C4355" w:rsidRPr="00192C0A" w:rsidRDefault="002C4355">
      <w:pPr>
        <w:tabs>
          <w:tab w:val="right" w:pos="8364"/>
        </w:tabs>
        <w:ind w:left="480"/>
        <w:jc w:val="both"/>
        <w:rPr>
          <w:rFonts w:ascii="NewBaskerville" w:hAnsi="NewBaskerville"/>
          <w:bCs/>
        </w:rPr>
      </w:pPr>
    </w:p>
    <w:p w:rsidR="004C1F29" w:rsidRPr="00192C0A" w:rsidRDefault="002C4355" w:rsidP="004C1F29">
      <w:pPr>
        <w:tabs>
          <w:tab w:val="right" w:pos="8364"/>
        </w:tabs>
        <w:ind w:firstLine="567"/>
        <w:jc w:val="both"/>
        <w:rPr>
          <w:rFonts w:ascii="NewBaskerville" w:hAnsi="NewBaskerville"/>
        </w:rPr>
      </w:pPr>
      <w:r w:rsidRPr="00192C0A">
        <w:rPr>
          <w:rFonts w:ascii="NewBaskerville" w:hAnsi="NewBaskerville"/>
          <w:b/>
        </w:rPr>
        <w:t>Riesgo de crédito</w:t>
      </w:r>
      <w:r w:rsidR="005F2715" w:rsidRPr="00192C0A">
        <w:rPr>
          <w:rFonts w:ascii="NewBaskerville" w:hAnsi="NewBaskerville"/>
        </w:rPr>
        <w:t>: se produce por la posible pérdida causada por el incumplimiento de las obligaciones contractuales de las contrapartes de la Entidad, es decir, por la posibilidad de no recuperar los activos financieros por el importe contabilizado y en el plazo establecido</w:t>
      </w:r>
      <w:r w:rsidR="004C1F29" w:rsidRPr="00192C0A">
        <w:rPr>
          <w:rFonts w:ascii="NewBaskerville" w:hAnsi="NewBaskerville"/>
        </w:rPr>
        <w:t>. La Entidad no tiene concentraciones significativas de riesgo de crédito.</w:t>
      </w:r>
    </w:p>
    <w:p w:rsidR="002C4355" w:rsidRPr="00192C0A" w:rsidRDefault="002C4355" w:rsidP="004C1F29">
      <w:pPr>
        <w:tabs>
          <w:tab w:val="right" w:pos="8364"/>
        </w:tabs>
        <w:jc w:val="both"/>
        <w:rPr>
          <w:rFonts w:ascii="NewBaskerville" w:hAnsi="NewBaskerville"/>
        </w:rPr>
      </w:pPr>
    </w:p>
    <w:p w:rsidR="002C4355" w:rsidRPr="00192C0A" w:rsidRDefault="002C4355" w:rsidP="004C1F29">
      <w:pPr>
        <w:tabs>
          <w:tab w:val="right" w:pos="8364"/>
        </w:tabs>
        <w:ind w:firstLine="567"/>
        <w:jc w:val="both"/>
        <w:rPr>
          <w:rFonts w:ascii="NewBaskerville" w:hAnsi="NewBaskerville"/>
        </w:rPr>
      </w:pPr>
      <w:r w:rsidRPr="00192C0A">
        <w:rPr>
          <w:rFonts w:ascii="NewBaskerville" w:hAnsi="NewBaskerville"/>
          <w:b/>
        </w:rPr>
        <w:t>Riesgo de liquidez</w:t>
      </w:r>
      <w:r w:rsidR="004C1F29" w:rsidRPr="00192C0A">
        <w:rPr>
          <w:rFonts w:ascii="NewBaskerville" w:hAnsi="NewBaskerville"/>
        </w:rPr>
        <w:t xml:space="preserve">: se produce por la posibilidad de que la Entidad no pueda disponer de fondos líquidos, o acceder a ellos, en la cuantía suficiente y al coste adecuado, para hacer frente en todo momento a sus obligaciones de pago. El objetivo de la Entidad es </w:t>
      </w:r>
      <w:r w:rsidR="0052640F" w:rsidRPr="00192C0A">
        <w:rPr>
          <w:rFonts w:ascii="NewBaskerville" w:hAnsi="NewBaskerville"/>
        </w:rPr>
        <w:t>mantener las disponibilidades lí</w:t>
      </w:r>
      <w:r w:rsidR="004C1F29" w:rsidRPr="00192C0A">
        <w:rPr>
          <w:rFonts w:ascii="NewBaskerville" w:hAnsi="NewBaskerville"/>
        </w:rPr>
        <w:t>quidas necesarias.</w:t>
      </w:r>
    </w:p>
    <w:p w:rsidR="002C4355" w:rsidRDefault="002C4355">
      <w:pPr>
        <w:tabs>
          <w:tab w:val="right" w:pos="8364"/>
        </w:tabs>
        <w:jc w:val="both"/>
        <w:rPr>
          <w:b/>
          <w:u w:val="single"/>
        </w:rPr>
      </w:pPr>
    </w:p>
    <w:p w:rsidR="00C82D5D" w:rsidRDefault="00C82D5D">
      <w:pPr>
        <w:tabs>
          <w:tab w:val="right" w:pos="8364"/>
        </w:tabs>
        <w:jc w:val="both"/>
        <w:rPr>
          <w:b/>
          <w:u w:val="single"/>
        </w:rPr>
      </w:pPr>
    </w:p>
    <w:p w:rsidR="00187A36" w:rsidRDefault="00187A36">
      <w:pPr>
        <w:tabs>
          <w:tab w:val="right" w:pos="8364"/>
        </w:tabs>
        <w:jc w:val="both"/>
        <w:rPr>
          <w:b/>
          <w:u w:val="single"/>
        </w:rPr>
      </w:pPr>
    </w:p>
    <w:p w:rsidR="002C4355" w:rsidRPr="00192C0A" w:rsidRDefault="00F706A9" w:rsidP="001307F8">
      <w:pPr>
        <w:tabs>
          <w:tab w:val="right" w:pos="8364"/>
        </w:tabs>
        <w:jc w:val="both"/>
        <w:rPr>
          <w:rFonts w:ascii="NewBaskerville" w:hAnsi="NewBaskerville"/>
          <w:b/>
          <w:bCs/>
        </w:rPr>
      </w:pPr>
      <w:r w:rsidRPr="00192C0A">
        <w:rPr>
          <w:rFonts w:ascii="NewBaskerville" w:hAnsi="NewBaskerville"/>
          <w:b/>
          <w:bCs/>
          <w:sz w:val="24"/>
          <w:szCs w:val="24"/>
        </w:rPr>
        <w:t>10</w:t>
      </w:r>
      <w:r w:rsidR="001307F8" w:rsidRPr="00192C0A">
        <w:rPr>
          <w:rFonts w:ascii="NewBaskerville" w:hAnsi="NewBaskerville"/>
          <w:b/>
          <w:bCs/>
          <w:sz w:val="24"/>
          <w:szCs w:val="24"/>
        </w:rPr>
        <w:t xml:space="preserve">. </w:t>
      </w:r>
      <w:r w:rsidR="002C4355" w:rsidRPr="00192C0A">
        <w:rPr>
          <w:rFonts w:ascii="NewBaskerville" w:hAnsi="NewBaskerville"/>
          <w:b/>
          <w:bCs/>
          <w:sz w:val="24"/>
          <w:szCs w:val="24"/>
        </w:rPr>
        <w:t>Provisión  y contingencias</w:t>
      </w:r>
      <w:bookmarkStart w:id="0" w:name="_Hlk4433322"/>
    </w:p>
    <w:p w:rsidR="002C4355" w:rsidRDefault="002C4355">
      <w:pPr>
        <w:tabs>
          <w:tab w:val="right" w:pos="8364"/>
        </w:tabs>
        <w:jc w:val="both"/>
      </w:pPr>
    </w:p>
    <w:p w:rsidR="00A73B7B" w:rsidRDefault="00A73B7B" w:rsidP="00A1261C">
      <w:pPr>
        <w:tabs>
          <w:tab w:val="right" w:pos="8364"/>
        </w:tabs>
        <w:ind w:firstLine="567"/>
        <w:jc w:val="both"/>
        <w:rPr>
          <w:rFonts w:ascii="NewBaskerville" w:hAnsi="NewBaskerville"/>
        </w:rPr>
      </w:pPr>
      <w:r>
        <w:rPr>
          <w:rFonts w:ascii="NewBaskerville" w:hAnsi="NewBaskerville"/>
        </w:rPr>
        <w:t xml:space="preserve">El  movimiento durante los </w:t>
      </w:r>
      <w:r w:rsidR="003F24D6">
        <w:rPr>
          <w:rFonts w:ascii="NewBaskerville" w:hAnsi="NewBaskerville"/>
        </w:rPr>
        <w:t>ejercicios</w:t>
      </w:r>
      <w:r>
        <w:rPr>
          <w:rFonts w:ascii="NewBaskerville" w:hAnsi="NewBaskerville"/>
        </w:rPr>
        <w:t xml:space="preserve"> 202</w:t>
      </w:r>
      <w:r w:rsidR="00C761AE">
        <w:rPr>
          <w:rFonts w:ascii="NewBaskerville" w:hAnsi="NewBaskerville"/>
        </w:rPr>
        <w:t>3</w:t>
      </w:r>
      <w:r>
        <w:rPr>
          <w:rFonts w:ascii="NewBaskerville" w:hAnsi="NewBaskerville"/>
        </w:rPr>
        <w:t xml:space="preserve"> y 202</w:t>
      </w:r>
      <w:r w:rsidR="00C761AE">
        <w:rPr>
          <w:rFonts w:ascii="NewBaskerville" w:hAnsi="NewBaskerville"/>
        </w:rPr>
        <w:t>2</w:t>
      </w:r>
      <w:r>
        <w:rPr>
          <w:rFonts w:ascii="NewBaskerville" w:hAnsi="NewBaskerville"/>
        </w:rPr>
        <w:t xml:space="preserve"> es el siguiente:</w:t>
      </w:r>
    </w:p>
    <w:p w:rsidR="00E07B62" w:rsidRPr="00A73B7B" w:rsidRDefault="00E07B62" w:rsidP="00A1261C">
      <w:pPr>
        <w:tabs>
          <w:tab w:val="right" w:pos="8364"/>
        </w:tabs>
        <w:ind w:firstLine="567"/>
        <w:jc w:val="both"/>
        <w:rPr>
          <w:rFonts w:ascii="NewBaskerville" w:hAnsi="NewBaskerville"/>
        </w:rPr>
      </w:pPr>
    </w:p>
    <w:p w:rsidR="00A73B7B" w:rsidRDefault="00A73B7B">
      <w:pPr>
        <w:tabs>
          <w:tab w:val="right" w:pos="8364"/>
        </w:tabs>
        <w:jc w:val="both"/>
      </w:pPr>
    </w:p>
    <w:p w:rsidR="002C4355" w:rsidRPr="00266597" w:rsidRDefault="002C4355" w:rsidP="005D0B44">
      <w:pPr>
        <w:numPr>
          <w:ilvl w:val="0"/>
          <w:numId w:val="2"/>
        </w:numPr>
        <w:tabs>
          <w:tab w:val="right" w:pos="8364"/>
        </w:tabs>
        <w:ind w:hanging="219"/>
        <w:jc w:val="both"/>
        <w:rPr>
          <w:rFonts w:ascii="NewBaskerville" w:hAnsi="NewBaskerville"/>
          <w:u w:val="single"/>
        </w:rPr>
      </w:pPr>
      <w:r w:rsidRPr="00266597">
        <w:rPr>
          <w:rFonts w:ascii="NewBaskerville" w:hAnsi="NewBaskerville"/>
          <w:u w:val="single"/>
        </w:rPr>
        <w:t>Provisión por impuestos</w:t>
      </w:r>
    </w:p>
    <w:bookmarkEnd w:id="0"/>
    <w:p w:rsidR="002C4355" w:rsidRPr="00BE7AB1" w:rsidRDefault="002C4355">
      <w:pPr>
        <w:tabs>
          <w:tab w:val="right" w:pos="8364"/>
        </w:tabs>
        <w:jc w:val="both"/>
      </w:pPr>
    </w:p>
    <w:tbl>
      <w:tblPr>
        <w:tblW w:w="5712" w:type="dxa"/>
        <w:tblInd w:w="664" w:type="dxa"/>
        <w:tblCellMar>
          <w:left w:w="70" w:type="dxa"/>
          <w:right w:w="70" w:type="dxa"/>
        </w:tblCellMar>
        <w:tblLook w:val="04A0" w:firstRow="1" w:lastRow="0" w:firstColumn="1" w:lastColumn="0" w:noHBand="0" w:noVBand="1"/>
      </w:tblPr>
      <w:tblGrid>
        <w:gridCol w:w="3990"/>
        <w:gridCol w:w="146"/>
        <w:gridCol w:w="1576"/>
      </w:tblGrid>
      <w:tr w:rsidR="00044B64" w:rsidRPr="00044B64" w:rsidTr="00044B64">
        <w:trPr>
          <w:trHeight w:val="300"/>
        </w:trPr>
        <w:tc>
          <w:tcPr>
            <w:tcW w:w="4136" w:type="dxa"/>
            <w:gridSpan w:val="2"/>
            <w:tcBorders>
              <w:top w:val="nil"/>
              <w:left w:val="nil"/>
              <w:bottom w:val="nil"/>
              <w:right w:val="nil"/>
            </w:tcBorders>
            <w:shd w:val="clear" w:color="auto" w:fill="auto"/>
            <w:noWrap/>
            <w:vAlign w:val="bottom"/>
            <w:hideMark/>
          </w:tcPr>
          <w:p w:rsidR="00044B64" w:rsidRPr="00044B64" w:rsidRDefault="00044B64" w:rsidP="00044B64">
            <w:pPr>
              <w:rPr>
                <w:rFonts w:ascii="Lucida Bright" w:hAnsi="Lucida Bright" w:cs="Calibri"/>
                <w:b/>
                <w:bCs/>
                <w:color w:val="000000"/>
                <w:sz w:val="18"/>
                <w:szCs w:val="18"/>
                <w:lang w:val="es-ES"/>
              </w:rPr>
            </w:pPr>
            <w:r w:rsidRPr="00044B64">
              <w:rPr>
                <w:rFonts w:ascii="Lucida Bright" w:hAnsi="Lucida Bright" w:cs="Calibri"/>
                <w:b/>
                <w:bCs/>
                <w:color w:val="000000"/>
                <w:sz w:val="18"/>
                <w:szCs w:val="18"/>
                <w:lang w:val="es-ES"/>
              </w:rPr>
              <w:t>Saldo a 31/12/2022</w:t>
            </w:r>
          </w:p>
        </w:tc>
        <w:tc>
          <w:tcPr>
            <w:tcW w:w="1576" w:type="dxa"/>
            <w:tcBorders>
              <w:top w:val="nil"/>
              <w:left w:val="nil"/>
              <w:bottom w:val="nil"/>
              <w:right w:val="nil"/>
            </w:tcBorders>
            <w:shd w:val="clear" w:color="auto" w:fill="auto"/>
            <w:noWrap/>
            <w:vAlign w:val="bottom"/>
            <w:hideMark/>
          </w:tcPr>
          <w:p w:rsidR="00044B64" w:rsidRPr="00044B64" w:rsidRDefault="00044B64" w:rsidP="00044B64">
            <w:pPr>
              <w:jc w:val="right"/>
              <w:rPr>
                <w:rFonts w:ascii="Lucida Bright" w:hAnsi="Lucida Bright" w:cs="Calibri"/>
                <w:b/>
                <w:bCs/>
                <w:color w:val="000000"/>
                <w:sz w:val="18"/>
                <w:szCs w:val="18"/>
                <w:lang w:val="es-ES"/>
              </w:rPr>
            </w:pPr>
            <w:r w:rsidRPr="00044B64">
              <w:rPr>
                <w:rFonts w:ascii="Lucida Bright" w:hAnsi="Lucida Bright" w:cs="Calibri"/>
                <w:b/>
                <w:bCs/>
                <w:color w:val="000000"/>
                <w:sz w:val="18"/>
                <w:szCs w:val="18"/>
                <w:lang w:val="es-ES"/>
              </w:rPr>
              <w:t xml:space="preserve">-  </w:t>
            </w:r>
          </w:p>
        </w:tc>
      </w:tr>
      <w:tr w:rsidR="00044B64" w:rsidRPr="00044B64" w:rsidTr="00044B64">
        <w:trPr>
          <w:trHeight w:val="300"/>
        </w:trPr>
        <w:tc>
          <w:tcPr>
            <w:tcW w:w="4136" w:type="dxa"/>
            <w:gridSpan w:val="2"/>
            <w:tcBorders>
              <w:top w:val="nil"/>
              <w:left w:val="nil"/>
              <w:bottom w:val="nil"/>
              <w:right w:val="nil"/>
            </w:tcBorders>
            <w:shd w:val="clear" w:color="auto" w:fill="auto"/>
            <w:noWrap/>
            <w:vAlign w:val="bottom"/>
            <w:hideMark/>
          </w:tcPr>
          <w:p w:rsidR="00044B64" w:rsidRPr="00044B64" w:rsidRDefault="00044B64" w:rsidP="00044B64">
            <w:pPr>
              <w:rPr>
                <w:rFonts w:ascii="Lucida Bright" w:hAnsi="Lucida Bright" w:cs="Calibri"/>
                <w:color w:val="000000"/>
                <w:sz w:val="18"/>
                <w:szCs w:val="18"/>
                <w:lang w:val="es-ES"/>
              </w:rPr>
            </w:pPr>
            <w:r w:rsidRPr="00044B64">
              <w:rPr>
                <w:rFonts w:ascii="Lucida Bright" w:hAnsi="Lucida Bright" w:cs="Calibri"/>
                <w:color w:val="000000"/>
                <w:sz w:val="18"/>
                <w:szCs w:val="18"/>
                <w:lang w:val="es-ES"/>
              </w:rPr>
              <w:t>(+) Dotación del ejercicio</w:t>
            </w:r>
          </w:p>
        </w:tc>
        <w:tc>
          <w:tcPr>
            <w:tcW w:w="1576" w:type="dxa"/>
            <w:tcBorders>
              <w:top w:val="nil"/>
              <w:left w:val="nil"/>
              <w:bottom w:val="nil"/>
              <w:right w:val="nil"/>
            </w:tcBorders>
            <w:shd w:val="clear" w:color="auto" w:fill="auto"/>
            <w:noWrap/>
            <w:vAlign w:val="bottom"/>
            <w:hideMark/>
          </w:tcPr>
          <w:p w:rsidR="00044B64" w:rsidRPr="00044B64" w:rsidRDefault="00044B64" w:rsidP="00044B64">
            <w:pPr>
              <w:jc w:val="right"/>
              <w:rPr>
                <w:rFonts w:ascii="Lucida Bright" w:hAnsi="Lucida Bright" w:cs="Calibri"/>
                <w:color w:val="000000"/>
                <w:sz w:val="18"/>
                <w:szCs w:val="18"/>
                <w:lang w:val="es-ES"/>
              </w:rPr>
            </w:pPr>
            <w:r w:rsidRPr="00044B64">
              <w:rPr>
                <w:rFonts w:ascii="Lucida Bright" w:hAnsi="Lucida Bright" w:cs="Calibri"/>
                <w:color w:val="000000"/>
                <w:sz w:val="18"/>
                <w:szCs w:val="18"/>
                <w:lang w:val="es-ES"/>
              </w:rPr>
              <w:t xml:space="preserve">-  </w:t>
            </w:r>
          </w:p>
        </w:tc>
      </w:tr>
      <w:tr w:rsidR="00044B64" w:rsidRPr="00044B64" w:rsidTr="00044B64">
        <w:trPr>
          <w:trHeight w:val="300"/>
        </w:trPr>
        <w:tc>
          <w:tcPr>
            <w:tcW w:w="4136" w:type="dxa"/>
            <w:gridSpan w:val="2"/>
            <w:tcBorders>
              <w:top w:val="nil"/>
              <w:left w:val="nil"/>
              <w:bottom w:val="nil"/>
              <w:right w:val="nil"/>
            </w:tcBorders>
            <w:shd w:val="clear" w:color="auto" w:fill="auto"/>
            <w:noWrap/>
            <w:vAlign w:val="bottom"/>
            <w:hideMark/>
          </w:tcPr>
          <w:p w:rsidR="00044B64" w:rsidRPr="00044B64" w:rsidRDefault="00044B64" w:rsidP="00044B64">
            <w:pPr>
              <w:rPr>
                <w:rFonts w:ascii="Lucida Bright" w:hAnsi="Lucida Bright" w:cs="Calibri"/>
                <w:color w:val="000000"/>
                <w:sz w:val="18"/>
                <w:szCs w:val="18"/>
                <w:lang w:val="es-ES"/>
              </w:rPr>
            </w:pPr>
            <w:r w:rsidRPr="00044B64">
              <w:rPr>
                <w:rFonts w:ascii="Lucida Bright" w:hAnsi="Lucida Bright" w:cs="Calibri"/>
                <w:color w:val="000000"/>
                <w:sz w:val="18"/>
                <w:szCs w:val="18"/>
                <w:lang w:val="es-ES"/>
              </w:rPr>
              <w:t>(-) Aplicaciones</w:t>
            </w:r>
          </w:p>
        </w:tc>
        <w:tc>
          <w:tcPr>
            <w:tcW w:w="1576" w:type="dxa"/>
            <w:tcBorders>
              <w:top w:val="nil"/>
              <w:left w:val="nil"/>
              <w:bottom w:val="nil"/>
              <w:right w:val="nil"/>
            </w:tcBorders>
            <w:shd w:val="clear" w:color="auto" w:fill="auto"/>
            <w:noWrap/>
            <w:vAlign w:val="bottom"/>
            <w:hideMark/>
          </w:tcPr>
          <w:p w:rsidR="00044B64" w:rsidRPr="00044B64" w:rsidRDefault="00044B64" w:rsidP="00044B64">
            <w:pPr>
              <w:jc w:val="right"/>
              <w:rPr>
                <w:rFonts w:ascii="Lucida Bright" w:hAnsi="Lucida Bright" w:cs="Calibri"/>
                <w:color w:val="000000"/>
                <w:sz w:val="18"/>
                <w:szCs w:val="18"/>
                <w:lang w:val="es-ES"/>
              </w:rPr>
            </w:pPr>
            <w:r w:rsidRPr="00044B64">
              <w:rPr>
                <w:rFonts w:ascii="Lucida Bright" w:hAnsi="Lucida Bright" w:cs="Calibri"/>
                <w:color w:val="000000"/>
                <w:sz w:val="18"/>
                <w:szCs w:val="18"/>
                <w:lang w:val="es-ES"/>
              </w:rPr>
              <w:t xml:space="preserve">-  </w:t>
            </w:r>
          </w:p>
        </w:tc>
      </w:tr>
      <w:tr w:rsidR="00044B64" w:rsidRPr="00044B64" w:rsidTr="00044B64">
        <w:trPr>
          <w:trHeight w:val="300"/>
        </w:trPr>
        <w:tc>
          <w:tcPr>
            <w:tcW w:w="3990" w:type="dxa"/>
            <w:tcBorders>
              <w:top w:val="nil"/>
              <w:left w:val="nil"/>
              <w:bottom w:val="nil"/>
              <w:right w:val="nil"/>
            </w:tcBorders>
            <w:shd w:val="clear" w:color="auto" w:fill="auto"/>
            <w:noWrap/>
            <w:vAlign w:val="bottom"/>
            <w:hideMark/>
          </w:tcPr>
          <w:p w:rsidR="00044B64" w:rsidRPr="00044B64" w:rsidRDefault="00044B64" w:rsidP="00044B64">
            <w:pPr>
              <w:rPr>
                <w:rFonts w:ascii="Lucida Bright" w:hAnsi="Lucida Bright" w:cs="Calibri"/>
                <w:color w:val="000000"/>
                <w:sz w:val="18"/>
                <w:szCs w:val="18"/>
                <w:lang w:val="es-ES"/>
              </w:rPr>
            </w:pPr>
            <w:r w:rsidRPr="00044B64">
              <w:rPr>
                <w:rFonts w:ascii="Lucida Bright" w:hAnsi="Lucida Bright" w:cs="Calibri"/>
                <w:color w:val="000000"/>
                <w:sz w:val="18"/>
                <w:szCs w:val="18"/>
                <w:lang w:val="es-ES"/>
              </w:rPr>
              <w:t>(-) Excesos</w:t>
            </w:r>
          </w:p>
        </w:tc>
        <w:tc>
          <w:tcPr>
            <w:tcW w:w="146" w:type="dxa"/>
            <w:tcBorders>
              <w:top w:val="nil"/>
              <w:left w:val="nil"/>
              <w:bottom w:val="nil"/>
              <w:right w:val="nil"/>
            </w:tcBorders>
            <w:shd w:val="clear" w:color="auto" w:fill="auto"/>
            <w:noWrap/>
            <w:vAlign w:val="bottom"/>
            <w:hideMark/>
          </w:tcPr>
          <w:p w:rsidR="00044B64" w:rsidRPr="00044B64" w:rsidRDefault="00044B64" w:rsidP="00044B64">
            <w:pPr>
              <w:rPr>
                <w:rFonts w:ascii="Calibri" w:hAnsi="Calibri" w:cs="Calibri"/>
                <w:color w:val="000000"/>
                <w:sz w:val="22"/>
                <w:szCs w:val="22"/>
                <w:lang w:val="es-ES"/>
              </w:rPr>
            </w:pPr>
          </w:p>
        </w:tc>
        <w:tc>
          <w:tcPr>
            <w:tcW w:w="1576" w:type="dxa"/>
            <w:tcBorders>
              <w:top w:val="nil"/>
              <w:left w:val="nil"/>
              <w:bottom w:val="nil"/>
              <w:right w:val="nil"/>
            </w:tcBorders>
            <w:shd w:val="clear" w:color="auto" w:fill="auto"/>
            <w:noWrap/>
            <w:vAlign w:val="bottom"/>
            <w:hideMark/>
          </w:tcPr>
          <w:p w:rsidR="00044B64" w:rsidRPr="00044B64" w:rsidRDefault="00044B64" w:rsidP="00044B64">
            <w:pPr>
              <w:jc w:val="right"/>
              <w:rPr>
                <w:rFonts w:ascii="Lucida Bright" w:hAnsi="Lucida Bright" w:cs="Calibri"/>
                <w:color w:val="000000"/>
                <w:sz w:val="18"/>
                <w:szCs w:val="18"/>
                <w:lang w:val="es-ES"/>
              </w:rPr>
            </w:pPr>
            <w:r w:rsidRPr="00044B64">
              <w:rPr>
                <w:rFonts w:ascii="Lucida Bright" w:hAnsi="Lucida Bright" w:cs="Calibri"/>
                <w:color w:val="000000"/>
                <w:sz w:val="18"/>
                <w:szCs w:val="18"/>
                <w:lang w:val="es-ES"/>
              </w:rPr>
              <w:t xml:space="preserve">-  </w:t>
            </w:r>
          </w:p>
        </w:tc>
      </w:tr>
      <w:tr w:rsidR="00044B64" w:rsidRPr="00044B64" w:rsidTr="00044B64">
        <w:trPr>
          <w:trHeight w:val="300"/>
        </w:trPr>
        <w:tc>
          <w:tcPr>
            <w:tcW w:w="4136" w:type="dxa"/>
            <w:gridSpan w:val="2"/>
            <w:tcBorders>
              <w:top w:val="nil"/>
              <w:left w:val="nil"/>
              <w:bottom w:val="nil"/>
              <w:right w:val="nil"/>
            </w:tcBorders>
            <w:shd w:val="clear" w:color="auto" w:fill="auto"/>
            <w:noWrap/>
            <w:vAlign w:val="bottom"/>
            <w:hideMark/>
          </w:tcPr>
          <w:p w:rsidR="00044B64" w:rsidRPr="00044B64" w:rsidRDefault="00044B64" w:rsidP="00044B64">
            <w:pPr>
              <w:rPr>
                <w:rFonts w:ascii="Lucida Bright" w:hAnsi="Lucida Bright" w:cs="Calibri"/>
                <w:b/>
                <w:bCs/>
                <w:color w:val="000000"/>
                <w:sz w:val="18"/>
                <w:szCs w:val="18"/>
                <w:lang w:val="es-ES"/>
              </w:rPr>
            </w:pPr>
            <w:r w:rsidRPr="00044B64">
              <w:rPr>
                <w:rFonts w:ascii="Lucida Bright" w:hAnsi="Lucida Bright" w:cs="Calibri"/>
                <w:b/>
                <w:bCs/>
                <w:color w:val="000000"/>
                <w:sz w:val="18"/>
                <w:szCs w:val="18"/>
                <w:lang w:val="es-ES"/>
              </w:rPr>
              <w:t>Saldo a 31/12/2023</w:t>
            </w:r>
          </w:p>
        </w:tc>
        <w:tc>
          <w:tcPr>
            <w:tcW w:w="1576" w:type="dxa"/>
            <w:tcBorders>
              <w:top w:val="nil"/>
              <w:left w:val="nil"/>
              <w:bottom w:val="nil"/>
              <w:right w:val="nil"/>
            </w:tcBorders>
            <w:shd w:val="clear" w:color="auto" w:fill="auto"/>
            <w:noWrap/>
            <w:vAlign w:val="bottom"/>
            <w:hideMark/>
          </w:tcPr>
          <w:p w:rsidR="00044B64" w:rsidRPr="00044B64" w:rsidRDefault="00044B64" w:rsidP="00044B64">
            <w:pPr>
              <w:jc w:val="right"/>
              <w:rPr>
                <w:rFonts w:ascii="Lucida Bright" w:hAnsi="Lucida Bright" w:cs="Calibri"/>
                <w:b/>
                <w:bCs/>
                <w:color w:val="000000"/>
                <w:sz w:val="18"/>
                <w:szCs w:val="18"/>
                <w:lang w:val="es-ES"/>
              </w:rPr>
            </w:pPr>
            <w:r w:rsidRPr="00044B64">
              <w:rPr>
                <w:rFonts w:ascii="Lucida Bright" w:hAnsi="Lucida Bright" w:cs="Calibri"/>
                <w:b/>
                <w:bCs/>
                <w:color w:val="000000"/>
                <w:sz w:val="18"/>
                <w:szCs w:val="18"/>
                <w:lang w:val="es-ES"/>
              </w:rPr>
              <w:t xml:space="preserve">-  </w:t>
            </w:r>
          </w:p>
        </w:tc>
      </w:tr>
      <w:tr w:rsidR="00044B64" w:rsidRPr="00044B64" w:rsidTr="00044B64">
        <w:trPr>
          <w:trHeight w:val="300"/>
        </w:trPr>
        <w:tc>
          <w:tcPr>
            <w:tcW w:w="3990" w:type="dxa"/>
            <w:tcBorders>
              <w:top w:val="nil"/>
              <w:left w:val="nil"/>
              <w:bottom w:val="nil"/>
              <w:right w:val="nil"/>
            </w:tcBorders>
            <w:shd w:val="clear" w:color="auto" w:fill="auto"/>
            <w:noWrap/>
            <w:vAlign w:val="bottom"/>
            <w:hideMark/>
          </w:tcPr>
          <w:p w:rsidR="00044B64" w:rsidRPr="00044B64" w:rsidRDefault="00044B64" w:rsidP="00044B64">
            <w:pPr>
              <w:rPr>
                <w:rFonts w:ascii="Lucida Bright" w:hAnsi="Lucida Bright" w:cs="Calibri"/>
                <w:color w:val="000000"/>
                <w:sz w:val="18"/>
                <w:szCs w:val="18"/>
                <w:lang w:val="es-ES"/>
              </w:rPr>
            </w:pPr>
          </w:p>
        </w:tc>
        <w:tc>
          <w:tcPr>
            <w:tcW w:w="146" w:type="dxa"/>
            <w:tcBorders>
              <w:top w:val="nil"/>
              <w:left w:val="nil"/>
              <w:bottom w:val="nil"/>
              <w:right w:val="nil"/>
            </w:tcBorders>
            <w:shd w:val="clear" w:color="auto" w:fill="auto"/>
            <w:noWrap/>
            <w:vAlign w:val="bottom"/>
            <w:hideMark/>
          </w:tcPr>
          <w:p w:rsidR="00044B64" w:rsidRPr="00044B64" w:rsidRDefault="00044B64" w:rsidP="00044B64">
            <w:pPr>
              <w:rPr>
                <w:rFonts w:ascii="Calibri" w:hAnsi="Calibri" w:cs="Calibri"/>
                <w:color w:val="000000"/>
                <w:sz w:val="22"/>
                <w:szCs w:val="22"/>
                <w:lang w:val="es-ES"/>
              </w:rPr>
            </w:pPr>
          </w:p>
        </w:tc>
        <w:tc>
          <w:tcPr>
            <w:tcW w:w="1576" w:type="dxa"/>
            <w:tcBorders>
              <w:top w:val="nil"/>
              <w:left w:val="nil"/>
              <w:bottom w:val="nil"/>
              <w:right w:val="nil"/>
            </w:tcBorders>
            <w:shd w:val="clear" w:color="auto" w:fill="auto"/>
            <w:noWrap/>
            <w:vAlign w:val="bottom"/>
            <w:hideMark/>
          </w:tcPr>
          <w:p w:rsidR="00044B64" w:rsidRPr="00044B64" w:rsidRDefault="00044B64" w:rsidP="00044B64">
            <w:pPr>
              <w:rPr>
                <w:rFonts w:ascii="Calibri" w:hAnsi="Calibri" w:cs="Calibri"/>
                <w:color w:val="000000"/>
                <w:sz w:val="22"/>
                <w:szCs w:val="22"/>
                <w:lang w:val="es-ES"/>
              </w:rPr>
            </w:pPr>
          </w:p>
        </w:tc>
      </w:tr>
      <w:tr w:rsidR="00044B64" w:rsidRPr="00044B64" w:rsidTr="00044B64">
        <w:trPr>
          <w:trHeight w:val="300"/>
        </w:trPr>
        <w:tc>
          <w:tcPr>
            <w:tcW w:w="4136" w:type="dxa"/>
            <w:gridSpan w:val="2"/>
            <w:tcBorders>
              <w:top w:val="nil"/>
              <w:left w:val="nil"/>
              <w:bottom w:val="nil"/>
              <w:right w:val="nil"/>
            </w:tcBorders>
            <w:shd w:val="clear" w:color="auto" w:fill="auto"/>
            <w:noWrap/>
            <w:vAlign w:val="bottom"/>
            <w:hideMark/>
          </w:tcPr>
          <w:p w:rsidR="00044B64" w:rsidRPr="00044B64" w:rsidRDefault="00044B64" w:rsidP="00044B64">
            <w:pPr>
              <w:rPr>
                <w:rFonts w:ascii="Lucida Bright" w:hAnsi="Lucida Bright" w:cs="Calibri"/>
                <w:b/>
                <w:bCs/>
                <w:color w:val="000000"/>
                <w:sz w:val="18"/>
                <w:szCs w:val="18"/>
                <w:lang w:val="es-ES"/>
              </w:rPr>
            </w:pPr>
            <w:r w:rsidRPr="00044B64">
              <w:rPr>
                <w:rFonts w:ascii="Lucida Bright" w:hAnsi="Lucida Bright" w:cs="Calibri"/>
                <w:b/>
                <w:bCs/>
                <w:color w:val="000000"/>
                <w:sz w:val="18"/>
                <w:szCs w:val="18"/>
                <w:lang w:val="es-ES"/>
              </w:rPr>
              <w:t>Saldo a 31/12/2021</w:t>
            </w:r>
          </w:p>
        </w:tc>
        <w:tc>
          <w:tcPr>
            <w:tcW w:w="1576" w:type="dxa"/>
            <w:tcBorders>
              <w:top w:val="nil"/>
              <w:left w:val="nil"/>
              <w:bottom w:val="nil"/>
              <w:right w:val="nil"/>
            </w:tcBorders>
            <w:shd w:val="clear" w:color="auto" w:fill="auto"/>
            <w:noWrap/>
            <w:vAlign w:val="bottom"/>
            <w:hideMark/>
          </w:tcPr>
          <w:p w:rsidR="00044B64" w:rsidRPr="00044B64" w:rsidRDefault="00044B64" w:rsidP="00044B64">
            <w:pPr>
              <w:jc w:val="right"/>
              <w:rPr>
                <w:rFonts w:ascii="Lucida Bright" w:hAnsi="Lucida Bright" w:cs="Calibri"/>
                <w:b/>
                <w:bCs/>
                <w:color w:val="000000"/>
                <w:sz w:val="18"/>
                <w:szCs w:val="18"/>
                <w:lang w:val="es-ES"/>
              </w:rPr>
            </w:pPr>
            <w:r w:rsidRPr="00044B64">
              <w:rPr>
                <w:rFonts w:ascii="Lucida Bright" w:hAnsi="Lucida Bright" w:cs="Calibri"/>
                <w:b/>
                <w:bCs/>
                <w:color w:val="000000"/>
                <w:sz w:val="18"/>
                <w:szCs w:val="18"/>
                <w:lang w:val="es-ES"/>
              </w:rPr>
              <w:t xml:space="preserve">462.941,70  </w:t>
            </w:r>
          </w:p>
        </w:tc>
      </w:tr>
      <w:tr w:rsidR="00044B64" w:rsidRPr="00044B64" w:rsidTr="00044B64">
        <w:trPr>
          <w:trHeight w:val="300"/>
        </w:trPr>
        <w:tc>
          <w:tcPr>
            <w:tcW w:w="4136" w:type="dxa"/>
            <w:gridSpan w:val="2"/>
            <w:tcBorders>
              <w:top w:val="nil"/>
              <w:left w:val="nil"/>
              <w:bottom w:val="nil"/>
              <w:right w:val="nil"/>
            </w:tcBorders>
            <w:shd w:val="clear" w:color="auto" w:fill="auto"/>
            <w:noWrap/>
            <w:vAlign w:val="bottom"/>
            <w:hideMark/>
          </w:tcPr>
          <w:p w:rsidR="00044B64" w:rsidRPr="00044B64" w:rsidRDefault="00044B64" w:rsidP="00044B64">
            <w:pPr>
              <w:rPr>
                <w:rFonts w:ascii="Lucida Bright" w:hAnsi="Lucida Bright" w:cs="Calibri"/>
                <w:color w:val="000000"/>
                <w:sz w:val="18"/>
                <w:szCs w:val="18"/>
                <w:lang w:val="es-ES"/>
              </w:rPr>
            </w:pPr>
            <w:r w:rsidRPr="00044B64">
              <w:rPr>
                <w:rFonts w:ascii="Lucida Bright" w:hAnsi="Lucida Bright" w:cs="Calibri"/>
                <w:color w:val="000000"/>
                <w:sz w:val="18"/>
                <w:szCs w:val="18"/>
                <w:lang w:val="es-ES"/>
              </w:rPr>
              <w:t>(+) Dotación del ejercicio</w:t>
            </w:r>
          </w:p>
        </w:tc>
        <w:tc>
          <w:tcPr>
            <w:tcW w:w="1576" w:type="dxa"/>
            <w:tcBorders>
              <w:top w:val="nil"/>
              <w:left w:val="nil"/>
              <w:bottom w:val="nil"/>
              <w:right w:val="nil"/>
            </w:tcBorders>
            <w:shd w:val="clear" w:color="auto" w:fill="auto"/>
            <w:noWrap/>
            <w:vAlign w:val="bottom"/>
            <w:hideMark/>
          </w:tcPr>
          <w:p w:rsidR="00044B64" w:rsidRPr="00044B64" w:rsidRDefault="00044B64" w:rsidP="00044B64">
            <w:pPr>
              <w:jc w:val="right"/>
              <w:rPr>
                <w:rFonts w:ascii="Lucida Bright" w:hAnsi="Lucida Bright" w:cs="Calibri"/>
                <w:color w:val="000000"/>
                <w:sz w:val="18"/>
                <w:szCs w:val="18"/>
                <w:lang w:val="es-ES"/>
              </w:rPr>
            </w:pPr>
            <w:r w:rsidRPr="00044B64">
              <w:rPr>
                <w:rFonts w:ascii="Lucida Bright" w:hAnsi="Lucida Bright" w:cs="Calibri"/>
                <w:color w:val="000000"/>
                <w:sz w:val="18"/>
                <w:szCs w:val="18"/>
                <w:lang w:val="es-ES"/>
              </w:rPr>
              <w:t xml:space="preserve">-  </w:t>
            </w:r>
          </w:p>
        </w:tc>
      </w:tr>
      <w:tr w:rsidR="00044B64" w:rsidRPr="00044B64" w:rsidTr="00044B64">
        <w:trPr>
          <w:trHeight w:val="300"/>
        </w:trPr>
        <w:tc>
          <w:tcPr>
            <w:tcW w:w="4136" w:type="dxa"/>
            <w:gridSpan w:val="2"/>
            <w:tcBorders>
              <w:top w:val="nil"/>
              <w:left w:val="nil"/>
              <w:bottom w:val="nil"/>
              <w:right w:val="nil"/>
            </w:tcBorders>
            <w:shd w:val="clear" w:color="auto" w:fill="auto"/>
            <w:noWrap/>
            <w:vAlign w:val="bottom"/>
            <w:hideMark/>
          </w:tcPr>
          <w:p w:rsidR="00044B64" w:rsidRPr="00044B64" w:rsidRDefault="00044B64" w:rsidP="00044B64">
            <w:pPr>
              <w:rPr>
                <w:rFonts w:ascii="Lucida Bright" w:hAnsi="Lucida Bright" w:cs="Calibri"/>
                <w:color w:val="000000"/>
                <w:sz w:val="18"/>
                <w:szCs w:val="18"/>
                <w:lang w:val="es-ES"/>
              </w:rPr>
            </w:pPr>
            <w:r w:rsidRPr="00044B64">
              <w:rPr>
                <w:rFonts w:ascii="Lucida Bright" w:hAnsi="Lucida Bright" w:cs="Calibri"/>
                <w:color w:val="000000"/>
                <w:sz w:val="18"/>
                <w:szCs w:val="18"/>
                <w:lang w:val="es-ES"/>
              </w:rPr>
              <w:t>(-) Aplicaciones</w:t>
            </w:r>
          </w:p>
        </w:tc>
        <w:tc>
          <w:tcPr>
            <w:tcW w:w="1576" w:type="dxa"/>
            <w:tcBorders>
              <w:top w:val="nil"/>
              <w:left w:val="nil"/>
              <w:bottom w:val="nil"/>
              <w:right w:val="nil"/>
            </w:tcBorders>
            <w:shd w:val="clear" w:color="auto" w:fill="auto"/>
            <w:noWrap/>
            <w:vAlign w:val="bottom"/>
            <w:hideMark/>
          </w:tcPr>
          <w:p w:rsidR="00044B64" w:rsidRPr="00044B64" w:rsidRDefault="00044B64" w:rsidP="00044B64">
            <w:pPr>
              <w:jc w:val="right"/>
              <w:rPr>
                <w:rFonts w:ascii="Lucida Bright" w:hAnsi="Lucida Bright" w:cs="Calibri"/>
                <w:color w:val="000000"/>
                <w:sz w:val="18"/>
                <w:szCs w:val="18"/>
                <w:lang w:val="es-ES"/>
              </w:rPr>
            </w:pPr>
            <w:r w:rsidRPr="00044B64">
              <w:rPr>
                <w:rFonts w:ascii="Lucida Bright" w:hAnsi="Lucida Bright" w:cs="Calibri"/>
                <w:color w:val="000000"/>
                <w:sz w:val="18"/>
                <w:szCs w:val="18"/>
                <w:lang w:val="es-ES"/>
              </w:rPr>
              <w:t xml:space="preserve">-  </w:t>
            </w:r>
          </w:p>
        </w:tc>
      </w:tr>
      <w:tr w:rsidR="00044B64" w:rsidRPr="00044B64" w:rsidTr="00044B64">
        <w:trPr>
          <w:trHeight w:val="300"/>
        </w:trPr>
        <w:tc>
          <w:tcPr>
            <w:tcW w:w="3990" w:type="dxa"/>
            <w:tcBorders>
              <w:top w:val="nil"/>
              <w:left w:val="nil"/>
              <w:bottom w:val="nil"/>
              <w:right w:val="nil"/>
            </w:tcBorders>
            <w:shd w:val="clear" w:color="auto" w:fill="auto"/>
            <w:noWrap/>
            <w:vAlign w:val="bottom"/>
            <w:hideMark/>
          </w:tcPr>
          <w:p w:rsidR="00044B64" w:rsidRPr="00044B64" w:rsidRDefault="00044B64" w:rsidP="00044B64">
            <w:pPr>
              <w:rPr>
                <w:rFonts w:ascii="Lucida Bright" w:hAnsi="Lucida Bright" w:cs="Calibri"/>
                <w:color w:val="000000"/>
                <w:sz w:val="18"/>
                <w:szCs w:val="18"/>
                <w:lang w:val="es-ES"/>
              </w:rPr>
            </w:pPr>
            <w:r w:rsidRPr="00044B64">
              <w:rPr>
                <w:rFonts w:ascii="Lucida Bright" w:hAnsi="Lucida Bright" w:cs="Calibri"/>
                <w:color w:val="000000"/>
                <w:sz w:val="18"/>
                <w:szCs w:val="18"/>
                <w:lang w:val="es-ES"/>
              </w:rPr>
              <w:t>(-) Excesos</w:t>
            </w:r>
          </w:p>
        </w:tc>
        <w:tc>
          <w:tcPr>
            <w:tcW w:w="146" w:type="dxa"/>
            <w:tcBorders>
              <w:top w:val="nil"/>
              <w:left w:val="nil"/>
              <w:bottom w:val="nil"/>
              <w:right w:val="nil"/>
            </w:tcBorders>
            <w:shd w:val="clear" w:color="auto" w:fill="auto"/>
            <w:noWrap/>
            <w:vAlign w:val="bottom"/>
            <w:hideMark/>
          </w:tcPr>
          <w:p w:rsidR="00044B64" w:rsidRPr="00044B64" w:rsidRDefault="00044B64" w:rsidP="00044B64">
            <w:pPr>
              <w:rPr>
                <w:rFonts w:ascii="Calibri" w:hAnsi="Calibri" w:cs="Calibri"/>
                <w:color w:val="000000"/>
                <w:sz w:val="22"/>
                <w:szCs w:val="22"/>
                <w:lang w:val="es-ES"/>
              </w:rPr>
            </w:pPr>
          </w:p>
        </w:tc>
        <w:tc>
          <w:tcPr>
            <w:tcW w:w="1576" w:type="dxa"/>
            <w:tcBorders>
              <w:top w:val="nil"/>
              <w:left w:val="nil"/>
              <w:bottom w:val="nil"/>
              <w:right w:val="nil"/>
            </w:tcBorders>
            <w:shd w:val="clear" w:color="auto" w:fill="auto"/>
            <w:noWrap/>
            <w:vAlign w:val="bottom"/>
            <w:hideMark/>
          </w:tcPr>
          <w:p w:rsidR="00044B64" w:rsidRPr="00044B64" w:rsidRDefault="00044B64" w:rsidP="00044B64">
            <w:pPr>
              <w:jc w:val="right"/>
              <w:rPr>
                <w:rFonts w:ascii="Lucida Bright" w:hAnsi="Lucida Bright" w:cs="Calibri"/>
                <w:color w:val="000000"/>
                <w:sz w:val="18"/>
                <w:szCs w:val="18"/>
                <w:lang w:val="es-ES"/>
              </w:rPr>
            </w:pPr>
            <w:r w:rsidRPr="00044B64">
              <w:rPr>
                <w:rFonts w:ascii="Lucida Bright" w:hAnsi="Lucida Bright" w:cs="Calibri"/>
                <w:color w:val="000000"/>
                <w:sz w:val="18"/>
                <w:szCs w:val="18"/>
                <w:lang w:val="es-ES"/>
              </w:rPr>
              <w:t xml:space="preserve">(462.941,70)  </w:t>
            </w:r>
          </w:p>
        </w:tc>
      </w:tr>
      <w:tr w:rsidR="00044B64" w:rsidRPr="00044B64" w:rsidTr="00044B64">
        <w:trPr>
          <w:trHeight w:val="300"/>
        </w:trPr>
        <w:tc>
          <w:tcPr>
            <w:tcW w:w="4136" w:type="dxa"/>
            <w:gridSpan w:val="2"/>
            <w:tcBorders>
              <w:top w:val="nil"/>
              <w:left w:val="nil"/>
              <w:bottom w:val="nil"/>
              <w:right w:val="nil"/>
            </w:tcBorders>
            <w:shd w:val="clear" w:color="auto" w:fill="auto"/>
            <w:noWrap/>
            <w:vAlign w:val="bottom"/>
            <w:hideMark/>
          </w:tcPr>
          <w:p w:rsidR="00044B64" w:rsidRPr="00044B64" w:rsidRDefault="00044B64" w:rsidP="00044B64">
            <w:pPr>
              <w:rPr>
                <w:rFonts w:ascii="Lucida Bright" w:hAnsi="Lucida Bright" w:cs="Calibri"/>
                <w:b/>
                <w:bCs/>
                <w:color w:val="000000"/>
                <w:sz w:val="18"/>
                <w:szCs w:val="18"/>
                <w:lang w:val="es-ES"/>
              </w:rPr>
            </w:pPr>
            <w:r w:rsidRPr="00044B64">
              <w:rPr>
                <w:rFonts w:ascii="Lucida Bright" w:hAnsi="Lucida Bright" w:cs="Calibri"/>
                <w:b/>
                <w:bCs/>
                <w:color w:val="000000"/>
                <w:sz w:val="18"/>
                <w:szCs w:val="18"/>
                <w:lang w:val="es-ES"/>
              </w:rPr>
              <w:t>Saldo a 31/12/2022</w:t>
            </w:r>
          </w:p>
        </w:tc>
        <w:tc>
          <w:tcPr>
            <w:tcW w:w="1576" w:type="dxa"/>
            <w:tcBorders>
              <w:top w:val="nil"/>
              <w:left w:val="nil"/>
              <w:bottom w:val="nil"/>
              <w:right w:val="nil"/>
            </w:tcBorders>
            <w:shd w:val="clear" w:color="auto" w:fill="auto"/>
            <w:noWrap/>
            <w:vAlign w:val="bottom"/>
            <w:hideMark/>
          </w:tcPr>
          <w:p w:rsidR="00044B64" w:rsidRPr="00044B64" w:rsidRDefault="00044B64" w:rsidP="00044B64">
            <w:pPr>
              <w:jc w:val="right"/>
              <w:rPr>
                <w:rFonts w:ascii="Lucida Bright" w:hAnsi="Lucida Bright" w:cs="Calibri"/>
                <w:b/>
                <w:bCs/>
                <w:color w:val="000000"/>
                <w:sz w:val="18"/>
                <w:szCs w:val="18"/>
                <w:lang w:val="es-ES"/>
              </w:rPr>
            </w:pPr>
            <w:r w:rsidRPr="00044B64">
              <w:rPr>
                <w:rFonts w:ascii="Lucida Bright" w:hAnsi="Lucida Bright" w:cs="Calibri"/>
                <w:b/>
                <w:bCs/>
                <w:color w:val="000000"/>
                <w:sz w:val="18"/>
                <w:szCs w:val="18"/>
                <w:lang w:val="es-ES"/>
              </w:rPr>
              <w:t xml:space="preserve">-  </w:t>
            </w:r>
          </w:p>
        </w:tc>
      </w:tr>
    </w:tbl>
    <w:p w:rsidR="00192EA6" w:rsidRDefault="00192EA6">
      <w:pPr>
        <w:pStyle w:val="Sangra3detindependiente"/>
        <w:tabs>
          <w:tab w:val="clear" w:pos="5671"/>
          <w:tab w:val="clear" w:pos="7797"/>
          <w:tab w:val="right" w:pos="8364"/>
        </w:tabs>
        <w:rPr>
          <w:sz w:val="20"/>
          <w:szCs w:val="20"/>
        </w:rPr>
      </w:pPr>
    </w:p>
    <w:p w:rsidR="00A1261C" w:rsidRDefault="00A1261C">
      <w:pPr>
        <w:pStyle w:val="Sangra3detindependiente"/>
        <w:tabs>
          <w:tab w:val="clear" w:pos="5671"/>
          <w:tab w:val="clear" w:pos="7797"/>
          <w:tab w:val="right" w:pos="8364"/>
        </w:tabs>
        <w:rPr>
          <w:rFonts w:ascii="NewBaskerville" w:hAnsi="NewBaskerville"/>
          <w:sz w:val="20"/>
          <w:szCs w:val="20"/>
        </w:rPr>
      </w:pPr>
    </w:p>
    <w:p w:rsidR="00A73B7B" w:rsidRDefault="00A1261C">
      <w:pPr>
        <w:pStyle w:val="Sangra3detindependiente"/>
        <w:tabs>
          <w:tab w:val="clear" w:pos="5671"/>
          <w:tab w:val="clear" w:pos="7797"/>
          <w:tab w:val="right" w:pos="8364"/>
        </w:tabs>
        <w:rPr>
          <w:rFonts w:ascii="NewBaskerville" w:hAnsi="NewBaskerville"/>
          <w:sz w:val="20"/>
          <w:szCs w:val="20"/>
        </w:rPr>
      </w:pPr>
      <w:r>
        <w:rPr>
          <w:rFonts w:ascii="NewBaskerville" w:hAnsi="NewBaskerville"/>
          <w:sz w:val="20"/>
          <w:szCs w:val="20"/>
        </w:rPr>
        <w:t>En el ejercicio 202</w:t>
      </w:r>
      <w:r w:rsidR="00044B64">
        <w:rPr>
          <w:rFonts w:ascii="NewBaskerville" w:hAnsi="NewBaskerville"/>
          <w:sz w:val="20"/>
          <w:szCs w:val="20"/>
        </w:rPr>
        <w:t>3</w:t>
      </w:r>
      <w:r>
        <w:rPr>
          <w:rFonts w:ascii="NewBaskerville" w:hAnsi="NewBaskerville"/>
          <w:sz w:val="20"/>
          <w:szCs w:val="20"/>
        </w:rPr>
        <w:t xml:space="preserve"> se ha estimado que </w:t>
      </w:r>
      <w:r w:rsidR="00A77D69">
        <w:rPr>
          <w:rFonts w:ascii="NewBaskerville" w:hAnsi="NewBaskerville"/>
          <w:sz w:val="20"/>
          <w:szCs w:val="20"/>
        </w:rPr>
        <w:t>no existiendo procesos administrativo</w:t>
      </w:r>
      <w:r w:rsidR="00E07B62">
        <w:rPr>
          <w:rFonts w:ascii="NewBaskerville" w:hAnsi="NewBaskerville"/>
          <w:sz w:val="20"/>
          <w:szCs w:val="20"/>
        </w:rPr>
        <w:t xml:space="preserve">s ni judiciales sobre impuestos </w:t>
      </w:r>
      <w:r w:rsidR="003D3C0E">
        <w:rPr>
          <w:rFonts w:ascii="NewBaskerville" w:hAnsi="NewBaskerville"/>
          <w:sz w:val="20"/>
          <w:szCs w:val="20"/>
        </w:rPr>
        <w:t>no reconocer provisión por dicha contingencia.</w:t>
      </w:r>
    </w:p>
    <w:p w:rsidR="00A1261C" w:rsidRPr="00A1261C" w:rsidRDefault="00A1261C">
      <w:pPr>
        <w:pStyle w:val="Sangra3detindependiente"/>
        <w:tabs>
          <w:tab w:val="clear" w:pos="5671"/>
          <w:tab w:val="clear" w:pos="7797"/>
          <w:tab w:val="right" w:pos="8364"/>
        </w:tabs>
        <w:rPr>
          <w:rFonts w:ascii="NewBaskerville" w:hAnsi="NewBaskerville"/>
          <w:sz w:val="20"/>
          <w:szCs w:val="20"/>
        </w:rPr>
      </w:pPr>
    </w:p>
    <w:p w:rsidR="00A73B7B" w:rsidRDefault="00A73B7B">
      <w:pPr>
        <w:pStyle w:val="Sangra3detindependiente"/>
        <w:tabs>
          <w:tab w:val="clear" w:pos="5671"/>
          <w:tab w:val="clear" w:pos="7797"/>
          <w:tab w:val="right" w:pos="8364"/>
        </w:tabs>
        <w:rPr>
          <w:sz w:val="20"/>
          <w:szCs w:val="20"/>
        </w:rPr>
      </w:pPr>
    </w:p>
    <w:p w:rsidR="00192EA6" w:rsidRPr="00A73B7B" w:rsidRDefault="00192EA6" w:rsidP="00192EA6">
      <w:pPr>
        <w:numPr>
          <w:ilvl w:val="0"/>
          <w:numId w:val="2"/>
        </w:numPr>
        <w:tabs>
          <w:tab w:val="right" w:pos="8364"/>
        </w:tabs>
        <w:ind w:hanging="219"/>
        <w:jc w:val="both"/>
        <w:rPr>
          <w:rFonts w:ascii="NewBaskerville" w:hAnsi="NewBaskerville"/>
          <w:u w:val="single"/>
        </w:rPr>
      </w:pPr>
      <w:r w:rsidRPr="00A73B7B">
        <w:rPr>
          <w:rFonts w:ascii="NewBaskerville" w:hAnsi="NewBaskerville"/>
          <w:u w:val="single"/>
        </w:rPr>
        <w:t>Provisión para responsabilidades</w:t>
      </w:r>
    </w:p>
    <w:p w:rsidR="00A1261C" w:rsidRDefault="00A1261C" w:rsidP="00A1261C">
      <w:pPr>
        <w:pStyle w:val="ListParagraph1"/>
        <w:ind w:left="0" w:firstLine="709"/>
        <w:rPr>
          <w:rFonts w:ascii="NewBaskerville" w:hAnsi="NewBaskerville"/>
        </w:rPr>
      </w:pPr>
    </w:p>
    <w:tbl>
      <w:tblPr>
        <w:tblW w:w="5712" w:type="dxa"/>
        <w:tblInd w:w="623" w:type="dxa"/>
        <w:tblCellMar>
          <w:left w:w="70" w:type="dxa"/>
          <w:right w:w="70" w:type="dxa"/>
        </w:tblCellMar>
        <w:tblLook w:val="04A0" w:firstRow="1" w:lastRow="0" w:firstColumn="1" w:lastColumn="0" w:noHBand="0" w:noVBand="1"/>
      </w:tblPr>
      <w:tblGrid>
        <w:gridCol w:w="3990"/>
        <w:gridCol w:w="146"/>
        <w:gridCol w:w="1576"/>
      </w:tblGrid>
      <w:tr w:rsidR="00157F37" w:rsidRPr="00157F37" w:rsidTr="00157F37">
        <w:trPr>
          <w:trHeight w:val="300"/>
        </w:trPr>
        <w:tc>
          <w:tcPr>
            <w:tcW w:w="4136" w:type="dxa"/>
            <w:gridSpan w:val="2"/>
            <w:tcBorders>
              <w:top w:val="nil"/>
              <w:left w:val="nil"/>
              <w:bottom w:val="nil"/>
              <w:right w:val="nil"/>
            </w:tcBorders>
            <w:shd w:val="clear" w:color="auto" w:fill="auto"/>
            <w:noWrap/>
            <w:vAlign w:val="bottom"/>
            <w:hideMark/>
          </w:tcPr>
          <w:p w:rsidR="00157F37" w:rsidRPr="00157F37" w:rsidRDefault="00157F37" w:rsidP="00157F37">
            <w:pPr>
              <w:rPr>
                <w:rFonts w:ascii="Lucida Bright" w:hAnsi="Lucida Bright" w:cs="Calibri"/>
                <w:b/>
                <w:bCs/>
                <w:color w:val="000000"/>
                <w:sz w:val="18"/>
                <w:szCs w:val="18"/>
                <w:lang w:val="es-ES"/>
              </w:rPr>
            </w:pPr>
            <w:r w:rsidRPr="00157F37">
              <w:rPr>
                <w:rFonts w:ascii="Lucida Bright" w:hAnsi="Lucida Bright" w:cs="Calibri"/>
                <w:b/>
                <w:bCs/>
                <w:color w:val="000000"/>
                <w:sz w:val="18"/>
                <w:szCs w:val="18"/>
                <w:lang w:val="es-ES"/>
              </w:rPr>
              <w:t>Saldo a 31/12/2022</w:t>
            </w:r>
          </w:p>
        </w:tc>
        <w:tc>
          <w:tcPr>
            <w:tcW w:w="1576" w:type="dxa"/>
            <w:tcBorders>
              <w:top w:val="nil"/>
              <w:left w:val="nil"/>
              <w:bottom w:val="nil"/>
              <w:right w:val="nil"/>
            </w:tcBorders>
            <w:shd w:val="clear" w:color="auto" w:fill="auto"/>
            <w:noWrap/>
            <w:vAlign w:val="bottom"/>
            <w:hideMark/>
          </w:tcPr>
          <w:p w:rsidR="00157F37" w:rsidRPr="00157F37" w:rsidRDefault="00157F37" w:rsidP="00157F37">
            <w:pPr>
              <w:jc w:val="right"/>
              <w:rPr>
                <w:rFonts w:ascii="Lucida Bright" w:hAnsi="Lucida Bright" w:cs="Calibri"/>
                <w:b/>
                <w:bCs/>
                <w:color w:val="000000"/>
                <w:sz w:val="18"/>
                <w:szCs w:val="18"/>
                <w:lang w:val="es-ES"/>
              </w:rPr>
            </w:pPr>
            <w:r w:rsidRPr="00157F37">
              <w:rPr>
                <w:rFonts w:ascii="Lucida Bright" w:hAnsi="Lucida Bright" w:cs="Calibri"/>
                <w:b/>
                <w:bCs/>
                <w:color w:val="000000"/>
                <w:sz w:val="18"/>
                <w:szCs w:val="18"/>
                <w:lang w:val="es-ES"/>
              </w:rPr>
              <w:t xml:space="preserve">12.234.149,15  </w:t>
            </w:r>
          </w:p>
        </w:tc>
      </w:tr>
      <w:tr w:rsidR="00157F37" w:rsidRPr="00157F37" w:rsidTr="00157F37">
        <w:trPr>
          <w:trHeight w:val="300"/>
        </w:trPr>
        <w:tc>
          <w:tcPr>
            <w:tcW w:w="4136" w:type="dxa"/>
            <w:gridSpan w:val="2"/>
            <w:tcBorders>
              <w:top w:val="nil"/>
              <w:left w:val="nil"/>
              <w:bottom w:val="nil"/>
              <w:right w:val="nil"/>
            </w:tcBorders>
            <w:shd w:val="clear" w:color="auto" w:fill="auto"/>
            <w:noWrap/>
            <w:vAlign w:val="bottom"/>
            <w:hideMark/>
          </w:tcPr>
          <w:p w:rsidR="00157F37" w:rsidRPr="00157F37" w:rsidRDefault="00157F37" w:rsidP="00157F37">
            <w:pPr>
              <w:rPr>
                <w:rFonts w:ascii="Lucida Bright" w:hAnsi="Lucida Bright" w:cs="Calibri"/>
                <w:color w:val="000000"/>
                <w:sz w:val="18"/>
                <w:szCs w:val="18"/>
                <w:lang w:val="es-ES"/>
              </w:rPr>
            </w:pPr>
            <w:r w:rsidRPr="00157F37">
              <w:rPr>
                <w:rFonts w:ascii="Lucida Bright" w:hAnsi="Lucida Bright" w:cs="Calibri"/>
                <w:color w:val="000000"/>
                <w:sz w:val="18"/>
                <w:szCs w:val="18"/>
                <w:lang w:val="es-ES"/>
              </w:rPr>
              <w:t>(+) Dotación del ejercicio</w:t>
            </w:r>
          </w:p>
        </w:tc>
        <w:tc>
          <w:tcPr>
            <w:tcW w:w="1576" w:type="dxa"/>
            <w:tcBorders>
              <w:top w:val="nil"/>
              <w:left w:val="nil"/>
              <w:bottom w:val="nil"/>
              <w:right w:val="nil"/>
            </w:tcBorders>
            <w:shd w:val="clear" w:color="auto" w:fill="auto"/>
            <w:noWrap/>
            <w:vAlign w:val="bottom"/>
            <w:hideMark/>
          </w:tcPr>
          <w:p w:rsidR="00157F37" w:rsidRPr="00157F37" w:rsidRDefault="00157F37" w:rsidP="00157F37">
            <w:pPr>
              <w:jc w:val="right"/>
              <w:rPr>
                <w:rFonts w:ascii="Lucida Bright" w:hAnsi="Lucida Bright" w:cs="Calibri"/>
                <w:color w:val="000000"/>
                <w:sz w:val="18"/>
                <w:szCs w:val="18"/>
                <w:lang w:val="es-ES"/>
              </w:rPr>
            </w:pPr>
            <w:r w:rsidRPr="00157F37">
              <w:rPr>
                <w:rFonts w:ascii="Lucida Bright" w:hAnsi="Lucida Bright" w:cs="Calibri"/>
                <w:color w:val="000000"/>
                <w:sz w:val="18"/>
                <w:szCs w:val="18"/>
                <w:lang w:val="es-ES"/>
              </w:rPr>
              <w:t xml:space="preserve">1.830.327,65  </w:t>
            </w:r>
          </w:p>
        </w:tc>
      </w:tr>
      <w:tr w:rsidR="00157F37" w:rsidRPr="00157F37" w:rsidTr="00157F37">
        <w:trPr>
          <w:trHeight w:val="300"/>
        </w:trPr>
        <w:tc>
          <w:tcPr>
            <w:tcW w:w="4136" w:type="dxa"/>
            <w:gridSpan w:val="2"/>
            <w:tcBorders>
              <w:top w:val="nil"/>
              <w:left w:val="nil"/>
              <w:bottom w:val="nil"/>
              <w:right w:val="nil"/>
            </w:tcBorders>
            <w:shd w:val="clear" w:color="auto" w:fill="auto"/>
            <w:noWrap/>
            <w:vAlign w:val="bottom"/>
            <w:hideMark/>
          </w:tcPr>
          <w:p w:rsidR="00157F37" w:rsidRPr="00157F37" w:rsidRDefault="00157F37" w:rsidP="00157F37">
            <w:pPr>
              <w:rPr>
                <w:rFonts w:ascii="Lucida Bright" w:hAnsi="Lucida Bright" w:cs="Calibri"/>
                <w:color w:val="000000"/>
                <w:sz w:val="18"/>
                <w:szCs w:val="18"/>
                <w:lang w:val="es-ES"/>
              </w:rPr>
            </w:pPr>
            <w:r w:rsidRPr="00157F37">
              <w:rPr>
                <w:rFonts w:ascii="Lucida Bright" w:hAnsi="Lucida Bright" w:cs="Calibri"/>
                <w:color w:val="000000"/>
                <w:sz w:val="18"/>
                <w:szCs w:val="18"/>
                <w:lang w:val="es-ES"/>
              </w:rPr>
              <w:t>(-) Aplicaciones</w:t>
            </w:r>
          </w:p>
        </w:tc>
        <w:tc>
          <w:tcPr>
            <w:tcW w:w="1576" w:type="dxa"/>
            <w:tcBorders>
              <w:top w:val="nil"/>
              <w:left w:val="nil"/>
              <w:bottom w:val="nil"/>
              <w:right w:val="nil"/>
            </w:tcBorders>
            <w:shd w:val="clear" w:color="auto" w:fill="auto"/>
            <w:noWrap/>
            <w:vAlign w:val="bottom"/>
            <w:hideMark/>
          </w:tcPr>
          <w:p w:rsidR="00157F37" w:rsidRPr="00157F37" w:rsidRDefault="00157F37" w:rsidP="00157F37">
            <w:pPr>
              <w:jc w:val="right"/>
              <w:rPr>
                <w:rFonts w:ascii="Lucida Bright" w:hAnsi="Lucida Bright" w:cs="Calibri"/>
                <w:color w:val="000000"/>
                <w:sz w:val="18"/>
                <w:szCs w:val="18"/>
                <w:lang w:val="es-ES"/>
              </w:rPr>
            </w:pPr>
            <w:r w:rsidRPr="00157F37">
              <w:rPr>
                <w:rFonts w:ascii="Lucida Bright" w:hAnsi="Lucida Bright" w:cs="Calibri"/>
                <w:color w:val="000000"/>
                <w:sz w:val="18"/>
                <w:szCs w:val="18"/>
                <w:lang w:val="es-ES"/>
              </w:rPr>
              <w:t xml:space="preserve">-  </w:t>
            </w:r>
          </w:p>
        </w:tc>
      </w:tr>
      <w:tr w:rsidR="00157F37" w:rsidRPr="00157F37" w:rsidTr="00157F37">
        <w:trPr>
          <w:trHeight w:val="300"/>
        </w:trPr>
        <w:tc>
          <w:tcPr>
            <w:tcW w:w="3990" w:type="dxa"/>
            <w:tcBorders>
              <w:top w:val="nil"/>
              <w:left w:val="nil"/>
              <w:bottom w:val="nil"/>
              <w:right w:val="nil"/>
            </w:tcBorders>
            <w:shd w:val="clear" w:color="auto" w:fill="auto"/>
            <w:noWrap/>
            <w:vAlign w:val="bottom"/>
            <w:hideMark/>
          </w:tcPr>
          <w:p w:rsidR="00157F37" w:rsidRPr="00157F37" w:rsidRDefault="00157F37" w:rsidP="00157F37">
            <w:pPr>
              <w:rPr>
                <w:rFonts w:ascii="Lucida Bright" w:hAnsi="Lucida Bright" w:cs="Calibri"/>
                <w:color w:val="000000"/>
                <w:sz w:val="18"/>
                <w:szCs w:val="18"/>
                <w:lang w:val="es-ES"/>
              </w:rPr>
            </w:pPr>
            <w:r w:rsidRPr="00157F37">
              <w:rPr>
                <w:rFonts w:ascii="Lucida Bright" w:hAnsi="Lucida Bright" w:cs="Calibri"/>
                <w:color w:val="000000"/>
                <w:sz w:val="18"/>
                <w:szCs w:val="18"/>
                <w:lang w:val="es-ES"/>
              </w:rPr>
              <w:t>(-) Excesos</w:t>
            </w:r>
          </w:p>
        </w:tc>
        <w:tc>
          <w:tcPr>
            <w:tcW w:w="146" w:type="dxa"/>
            <w:tcBorders>
              <w:top w:val="nil"/>
              <w:left w:val="nil"/>
              <w:bottom w:val="nil"/>
              <w:right w:val="nil"/>
            </w:tcBorders>
            <w:shd w:val="clear" w:color="auto" w:fill="auto"/>
            <w:noWrap/>
            <w:vAlign w:val="bottom"/>
            <w:hideMark/>
          </w:tcPr>
          <w:p w:rsidR="00157F37" w:rsidRPr="00157F37" w:rsidRDefault="00157F37" w:rsidP="00157F37">
            <w:pPr>
              <w:rPr>
                <w:rFonts w:ascii="Calibri" w:hAnsi="Calibri" w:cs="Calibri"/>
                <w:color w:val="000000"/>
                <w:sz w:val="22"/>
                <w:szCs w:val="22"/>
                <w:lang w:val="es-ES"/>
              </w:rPr>
            </w:pPr>
          </w:p>
        </w:tc>
        <w:tc>
          <w:tcPr>
            <w:tcW w:w="1576" w:type="dxa"/>
            <w:tcBorders>
              <w:top w:val="nil"/>
              <w:left w:val="nil"/>
              <w:bottom w:val="nil"/>
              <w:right w:val="nil"/>
            </w:tcBorders>
            <w:shd w:val="clear" w:color="auto" w:fill="auto"/>
            <w:noWrap/>
            <w:vAlign w:val="bottom"/>
            <w:hideMark/>
          </w:tcPr>
          <w:p w:rsidR="00157F37" w:rsidRPr="00157F37" w:rsidRDefault="00157F37" w:rsidP="00157F37">
            <w:pPr>
              <w:jc w:val="right"/>
              <w:rPr>
                <w:rFonts w:ascii="Lucida Bright" w:hAnsi="Lucida Bright" w:cs="Calibri"/>
                <w:color w:val="000000"/>
                <w:sz w:val="18"/>
                <w:szCs w:val="18"/>
                <w:lang w:val="es-ES"/>
              </w:rPr>
            </w:pPr>
            <w:r w:rsidRPr="00157F37">
              <w:rPr>
                <w:rFonts w:ascii="Lucida Bright" w:hAnsi="Lucida Bright" w:cs="Calibri"/>
                <w:color w:val="000000"/>
                <w:sz w:val="18"/>
                <w:szCs w:val="18"/>
                <w:lang w:val="es-ES"/>
              </w:rPr>
              <w:t xml:space="preserve">-  </w:t>
            </w:r>
          </w:p>
        </w:tc>
      </w:tr>
      <w:tr w:rsidR="00157F37" w:rsidRPr="00157F37" w:rsidTr="00157F37">
        <w:trPr>
          <w:trHeight w:val="300"/>
        </w:trPr>
        <w:tc>
          <w:tcPr>
            <w:tcW w:w="4136" w:type="dxa"/>
            <w:gridSpan w:val="2"/>
            <w:tcBorders>
              <w:top w:val="nil"/>
              <w:left w:val="nil"/>
              <w:bottom w:val="nil"/>
              <w:right w:val="nil"/>
            </w:tcBorders>
            <w:shd w:val="clear" w:color="auto" w:fill="auto"/>
            <w:noWrap/>
            <w:vAlign w:val="bottom"/>
            <w:hideMark/>
          </w:tcPr>
          <w:p w:rsidR="00157F37" w:rsidRPr="00157F37" w:rsidRDefault="00157F37" w:rsidP="00157F37">
            <w:pPr>
              <w:rPr>
                <w:rFonts w:ascii="Lucida Bright" w:hAnsi="Lucida Bright" w:cs="Calibri"/>
                <w:b/>
                <w:bCs/>
                <w:color w:val="000000"/>
                <w:sz w:val="18"/>
                <w:szCs w:val="18"/>
                <w:lang w:val="es-ES"/>
              </w:rPr>
            </w:pPr>
            <w:r w:rsidRPr="00157F37">
              <w:rPr>
                <w:rFonts w:ascii="Lucida Bright" w:hAnsi="Lucida Bright" w:cs="Calibri"/>
                <w:b/>
                <w:bCs/>
                <w:color w:val="000000"/>
                <w:sz w:val="18"/>
                <w:szCs w:val="18"/>
                <w:lang w:val="es-ES"/>
              </w:rPr>
              <w:t>Saldo a 31/12/2023</w:t>
            </w:r>
          </w:p>
        </w:tc>
        <w:tc>
          <w:tcPr>
            <w:tcW w:w="1576" w:type="dxa"/>
            <w:tcBorders>
              <w:top w:val="nil"/>
              <w:left w:val="nil"/>
              <w:bottom w:val="nil"/>
              <w:right w:val="nil"/>
            </w:tcBorders>
            <w:shd w:val="clear" w:color="auto" w:fill="auto"/>
            <w:noWrap/>
            <w:vAlign w:val="bottom"/>
            <w:hideMark/>
          </w:tcPr>
          <w:p w:rsidR="00157F37" w:rsidRPr="00157F37" w:rsidRDefault="00157F37" w:rsidP="00157F37">
            <w:pPr>
              <w:jc w:val="right"/>
              <w:rPr>
                <w:rFonts w:ascii="Lucida Bright" w:hAnsi="Lucida Bright" w:cs="Calibri"/>
                <w:b/>
                <w:bCs/>
                <w:color w:val="000000"/>
                <w:sz w:val="18"/>
                <w:szCs w:val="18"/>
                <w:lang w:val="es-ES"/>
              </w:rPr>
            </w:pPr>
            <w:r w:rsidRPr="00157F37">
              <w:rPr>
                <w:rFonts w:ascii="Lucida Bright" w:hAnsi="Lucida Bright" w:cs="Calibri"/>
                <w:b/>
                <w:bCs/>
                <w:color w:val="000000"/>
                <w:sz w:val="18"/>
                <w:szCs w:val="18"/>
                <w:lang w:val="es-ES"/>
              </w:rPr>
              <w:t xml:space="preserve">14.064.476,80  </w:t>
            </w:r>
          </w:p>
        </w:tc>
      </w:tr>
      <w:tr w:rsidR="00157F37" w:rsidRPr="00157F37" w:rsidTr="00157F37">
        <w:trPr>
          <w:trHeight w:val="300"/>
        </w:trPr>
        <w:tc>
          <w:tcPr>
            <w:tcW w:w="3990" w:type="dxa"/>
            <w:tcBorders>
              <w:top w:val="nil"/>
              <w:left w:val="nil"/>
              <w:bottom w:val="nil"/>
              <w:right w:val="nil"/>
            </w:tcBorders>
            <w:shd w:val="clear" w:color="auto" w:fill="auto"/>
            <w:noWrap/>
            <w:vAlign w:val="bottom"/>
            <w:hideMark/>
          </w:tcPr>
          <w:p w:rsidR="00157F37" w:rsidRPr="00157F37" w:rsidRDefault="00157F37" w:rsidP="00157F37">
            <w:pPr>
              <w:rPr>
                <w:rFonts w:ascii="Lucida Bright" w:hAnsi="Lucida Bright" w:cs="Calibri"/>
                <w:color w:val="000000"/>
                <w:sz w:val="18"/>
                <w:szCs w:val="18"/>
                <w:lang w:val="es-ES"/>
              </w:rPr>
            </w:pPr>
          </w:p>
        </w:tc>
        <w:tc>
          <w:tcPr>
            <w:tcW w:w="146" w:type="dxa"/>
            <w:tcBorders>
              <w:top w:val="nil"/>
              <w:left w:val="nil"/>
              <w:bottom w:val="nil"/>
              <w:right w:val="nil"/>
            </w:tcBorders>
            <w:shd w:val="clear" w:color="auto" w:fill="auto"/>
            <w:noWrap/>
            <w:vAlign w:val="bottom"/>
            <w:hideMark/>
          </w:tcPr>
          <w:p w:rsidR="00157F37" w:rsidRPr="00157F37" w:rsidRDefault="00157F37" w:rsidP="00157F37">
            <w:pPr>
              <w:rPr>
                <w:rFonts w:ascii="Calibri" w:hAnsi="Calibri" w:cs="Calibri"/>
                <w:color w:val="000000"/>
                <w:sz w:val="22"/>
                <w:szCs w:val="22"/>
                <w:lang w:val="es-ES"/>
              </w:rPr>
            </w:pPr>
          </w:p>
        </w:tc>
        <w:tc>
          <w:tcPr>
            <w:tcW w:w="1576" w:type="dxa"/>
            <w:tcBorders>
              <w:top w:val="nil"/>
              <w:left w:val="nil"/>
              <w:bottom w:val="nil"/>
              <w:right w:val="nil"/>
            </w:tcBorders>
            <w:shd w:val="clear" w:color="auto" w:fill="auto"/>
            <w:noWrap/>
            <w:vAlign w:val="bottom"/>
            <w:hideMark/>
          </w:tcPr>
          <w:p w:rsidR="00157F37" w:rsidRPr="00157F37" w:rsidRDefault="00157F37" w:rsidP="00157F37">
            <w:pPr>
              <w:rPr>
                <w:rFonts w:ascii="Calibri" w:hAnsi="Calibri" w:cs="Calibri"/>
                <w:color w:val="000000"/>
                <w:sz w:val="22"/>
                <w:szCs w:val="22"/>
                <w:lang w:val="es-ES"/>
              </w:rPr>
            </w:pPr>
          </w:p>
        </w:tc>
      </w:tr>
      <w:tr w:rsidR="00157F37" w:rsidRPr="00157F37" w:rsidTr="00157F37">
        <w:trPr>
          <w:trHeight w:val="300"/>
        </w:trPr>
        <w:tc>
          <w:tcPr>
            <w:tcW w:w="4136" w:type="dxa"/>
            <w:gridSpan w:val="2"/>
            <w:tcBorders>
              <w:top w:val="nil"/>
              <w:left w:val="nil"/>
              <w:bottom w:val="nil"/>
              <w:right w:val="nil"/>
            </w:tcBorders>
            <w:shd w:val="clear" w:color="auto" w:fill="auto"/>
            <w:noWrap/>
            <w:vAlign w:val="bottom"/>
            <w:hideMark/>
          </w:tcPr>
          <w:p w:rsidR="00157F37" w:rsidRPr="00157F37" w:rsidRDefault="00157F37" w:rsidP="00157F37">
            <w:pPr>
              <w:rPr>
                <w:rFonts w:ascii="Lucida Bright" w:hAnsi="Lucida Bright" w:cs="Calibri"/>
                <w:b/>
                <w:bCs/>
                <w:color w:val="000000"/>
                <w:sz w:val="18"/>
                <w:szCs w:val="18"/>
                <w:lang w:val="es-ES"/>
              </w:rPr>
            </w:pPr>
            <w:r w:rsidRPr="00157F37">
              <w:rPr>
                <w:rFonts w:ascii="Lucida Bright" w:hAnsi="Lucida Bright" w:cs="Calibri"/>
                <w:b/>
                <w:bCs/>
                <w:color w:val="000000"/>
                <w:sz w:val="18"/>
                <w:szCs w:val="18"/>
                <w:lang w:val="es-ES"/>
              </w:rPr>
              <w:t>Saldo a 31/12/2021</w:t>
            </w:r>
          </w:p>
        </w:tc>
        <w:tc>
          <w:tcPr>
            <w:tcW w:w="1576" w:type="dxa"/>
            <w:tcBorders>
              <w:top w:val="nil"/>
              <w:left w:val="nil"/>
              <w:bottom w:val="nil"/>
              <w:right w:val="nil"/>
            </w:tcBorders>
            <w:shd w:val="clear" w:color="auto" w:fill="auto"/>
            <w:noWrap/>
            <w:vAlign w:val="bottom"/>
            <w:hideMark/>
          </w:tcPr>
          <w:p w:rsidR="00157F37" w:rsidRPr="00157F37" w:rsidRDefault="00157F37" w:rsidP="00157F37">
            <w:pPr>
              <w:jc w:val="right"/>
              <w:rPr>
                <w:rFonts w:ascii="Lucida Bright" w:hAnsi="Lucida Bright" w:cs="Calibri"/>
                <w:b/>
                <w:bCs/>
                <w:color w:val="000000"/>
                <w:sz w:val="18"/>
                <w:szCs w:val="18"/>
                <w:lang w:val="es-ES"/>
              </w:rPr>
            </w:pPr>
            <w:r w:rsidRPr="00157F37">
              <w:rPr>
                <w:rFonts w:ascii="Lucida Bright" w:hAnsi="Lucida Bright" w:cs="Calibri"/>
                <w:b/>
                <w:bCs/>
                <w:color w:val="000000"/>
                <w:sz w:val="18"/>
                <w:szCs w:val="18"/>
                <w:lang w:val="es-ES"/>
              </w:rPr>
              <w:t xml:space="preserve">3.550.399,51  </w:t>
            </w:r>
          </w:p>
        </w:tc>
      </w:tr>
      <w:tr w:rsidR="00157F37" w:rsidRPr="00157F37" w:rsidTr="00157F37">
        <w:trPr>
          <w:trHeight w:val="300"/>
        </w:trPr>
        <w:tc>
          <w:tcPr>
            <w:tcW w:w="4136" w:type="dxa"/>
            <w:gridSpan w:val="2"/>
            <w:tcBorders>
              <w:top w:val="nil"/>
              <w:left w:val="nil"/>
              <w:bottom w:val="nil"/>
              <w:right w:val="nil"/>
            </w:tcBorders>
            <w:shd w:val="clear" w:color="auto" w:fill="auto"/>
            <w:noWrap/>
            <w:vAlign w:val="bottom"/>
            <w:hideMark/>
          </w:tcPr>
          <w:p w:rsidR="00157F37" w:rsidRPr="00157F37" w:rsidRDefault="00157F37" w:rsidP="00157F37">
            <w:pPr>
              <w:rPr>
                <w:rFonts w:ascii="Lucida Bright" w:hAnsi="Lucida Bright" w:cs="Calibri"/>
                <w:color w:val="000000"/>
                <w:sz w:val="18"/>
                <w:szCs w:val="18"/>
                <w:lang w:val="es-ES"/>
              </w:rPr>
            </w:pPr>
            <w:r w:rsidRPr="00157F37">
              <w:rPr>
                <w:rFonts w:ascii="Lucida Bright" w:hAnsi="Lucida Bright" w:cs="Calibri"/>
                <w:color w:val="000000"/>
                <w:sz w:val="18"/>
                <w:szCs w:val="18"/>
                <w:lang w:val="es-ES"/>
              </w:rPr>
              <w:t>(+) Dotación del ejercicio</w:t>
            </w:r>
          </w:p>
        </w:tc>
        <w:tc>
          <w:tcPr>
            <w:tcW w:w="1576" w:type="dxa"/>
            <w:tcBorders>
              <w:top w:val="nil"/>
              <w:left w:val="nil"/>
              <w:bottom w:val="nil"/>
              <w:right w:val="nil"/>
            </w:tcBorders>
            <w:shd w:val="clear" w:color="auto" w:fill="auto"/>
            <w:noWrap/>
            <w:vAlign w:val="bottom"/>
            <w:hideMark/>
          </w:tcPr>
          <w:p w:rsidR="00157F37" w:rsidRPr="00157F37" w:rsidRDefault="00157F37" w:rsidP="00157F37">
            <w:pPr>
              <w:jc w:val="right"/>
              <w:rPr>
                <w:rFonts w:ascii="Lucida Bright" w:hAnsi="Lucida Bright" w:cs="Calibri"/>
                <w:color w:val="000000"/>
                <w:sz w:val="18"/>
                <w:szCs w:val="18"/>
                <w:lang w:val="es-ES"/>
              </w:rPr>
            </w:pPr>
            <w:r w:rsidRPr="00157F37">
              <w:rPr>
                <w:rFonts w:ascii="Lucida Bright" w:hAnsi="Lucida Bright" w:cs="Calibri"/>
                <w:color w:val="000000"/>
                <w:sz w:val="18"/>
                <w:szCs w:val="18"/>
                <w:lang w:val="es-ES"/>
              </w:rPr>
              <w:t xml:space="preserve">8.683.749,64  </w:t>
            </w:r>
          </w:p>
        </w:tc>
      </w:tr>
      <w:tr w:rsidR="00157F37" w:rsidRPr="00157F37" w:rsidTr="00157F37">
        <w:trPr>
          <w:trHeight w:val="300"/>
        </w:trPr>
        <w:tc>
          <w:tcPr>
            <w:tcW w:w="4136" w:type="dxa"/>
            <w:gridSpan w:val="2"/>
            <w:tcBorders>
              <w:top w:val="nil"/>
              <w:left w:val="nil"/>
              <w:bottom w:val="nil"/>
              <w:right w:val="nil"/>
            </w:tcBorders>
            <w:shd w:val="clear" w:color="auto" w:fill="auto"/>
            <w:noWrap/>
            <w:vAlign w:val="bottom"/>
            <w:hideMark/>
          </w:tcPr>
          <w:p w:rsidR="00157F37" w:rsidRPr="00157F37" w:rsidRDefault="00157F37" w:rsidP="00157F37">
            <w:pPr>
              <w:rPr>
                <w:rFonts w:ascii="Lucida Bright" w:hAnsi="Lucida Bright" w:cs="Calibri"/>
                <w:color w:val="000000"/>
                <w:sz w:val="18"/>
                <w:szCs w:val="18"/>
                <w:lang w:val="es-ES"/>
              </w:rPr>
            </w:pPr>
            <w:r w:rsidRPr="00157F37">
              <w:rPr>
                <w:rFonts w:ascii="Lucida Bright" w:hAnsi="Lucida Bright" w:cs="Calibri"/>
                <w:color w:val="000000"/>
                <w:sz w:val="18"/>
                <w:szCs w:val="18"/>
                <w:lang w:val="es-ES"/>
              </w:rPr>
              <w:t>(-) Aplicaciones</w:t>
            </w:r>
          </w:p>
        </w:tc>
        <w:tc>
          <w:tcPr>
            <w:tcW w:w="1576" w:type="dxa"/>
            <w:tcBorders>
              <w:top w:val="nil"/>
              <w:left w:val="nil"/>
              <w:bottom w:val="nil"/>
              <w:right w:val="nil"/>
            </w:tcBorders>
            <w:shd w:val="clear" w:color="auto" w:fill="auto"/>
            <w:noWrap/>
            <w:vAlign w:val="bottom"/>
            <w:hideMark/>
          </w:tcPr>
          <w:p w:rsidR="00157F37" w:rsidRPr="00157F37" w:rsidRDefault="00157F37" w:rsidP="00157F37">
            <w:pPr>
              <w:jc w:val="right"/>
              <w:rPr>
                <w:rFonts w:ascii="Lucida Bright" w:hAnsi="Lucida Bright" w:cs="Calibri"/>
                <w:color w:val="000000"/>
                <w:sz w:val="18"/>
                <w:szCs w:val="18"/>
                <w:lang w:val="es-ES"/>
              </w:rPr>
            </w:pPr>
            <w:r w:rsidRPr="00157F37">
              <w:rPr>
                <w:rFonts w:ascii="Lucida Bright" w:hAnsi="Lucida Bright" w:cs="Calibri"/>
                <w:color w:val="000000"/>
                <w:sz w:val="18"/>
                <w:szCs w:val="18"/>
                <w:lang w:val="es-ES"/>
              </w:rPr>
              <w:t xml:space="preserve">-  </w:t>
            </w:r>
          </w:p>
        </w:tc>
      </w:tr>
      <w:tr w:rsidR="00157F37" w:rsidRPr="00157F37" w:rsidTr="00157F37">
        <w:trPr>
          <w:trHeight w:val="300"/>
        </w:trPr>
        <w:tc>
          <w:tcPr>
            <w:tcW w:w="3990" w:type="dxa"/>
            <w:tcBorders>
              <w:top w:val="nil"/>
              <w:left w:val="nil"/>
              <w:bottom w:val="nil"/>
              <w:right w:val="nil"/>
            </w:tcBorders>
            <w:shd w:val="clear" w:color="auto" w:fill="auto"/>
            <w:noWrap/>
            <w:vAlign w:val="bottom"/>
            <w:hideMark/>
          </w:tcPr>
          <w:p w:rsidR="00157F37" w:rsidRPr="00157F37" w:rsidRDefault="00157F37" w:rsidP="00157F37">
            <w:pPr>
              <w:rPr>
                <w:rFonts w:ascii="Lucida Bright" w:hAnsi="Lucida Bright" w:cs="Calibri"/>
                <w:color w:val="000000"/>
                <w:sz w:val="18"/>
                <w:szCs w:val="18"/>
                <w:lang w:val="es-ES"/>
              </w:rPr>
            </w:pPr>
            <w:r w:rsidRPr="00157F37">
              <w:rPr>
                <w:rFonts w:ascii="Lucida Bright" w:hAnsi="Lucida Bright" w:cs="Calibri"/>
                <w:color w:val="000000"/>
                <w:sz w:val="18"/>
                <w:szCs w:val="18"/>
                <w:lang w:val="es-ES"/>
              </w:rPr>
              <w:t>(-) Excesos</w:t>
            </w:r>
          </w:p>
        </w:tc>
        <w:tc>
          <w:tcPr>
            <w:tcW w:w="146" w:type="dxa"/>
            <w:tcBorders>
              <w:top w:val="nil"/>
              <w:left w:val="nil"/>
              <w:bottom w:val="nil"/>
              <w:right w:val="nil"/>
            </w:tcBorders>
            <w:shd w:val="clear" w:color="auto" w:fill="auto"/>
            <w:noWrap/>
            <w:vAlign w:val="bottom"/>
            <w:hideMark/>
          </w:tcPr>
          <w:p w:rsidR="00157F37" w:rsidRPr="00157F37" w:rsidRDefault="00157F37" w:rsidP="00157F37">
            <w:pPr>
              <w:rPr>
                <w:rFonts w:ascii="Calibri" w:hAnsi="Calibri" w:cs="Calibri"/>
                <w:color w:val="000000"/>
                <w:sz w:val="22"/>
                <w:szCs w:val="22"/>
                <w:lang w:val="es-ES"/>
              </w:rPr>
            </w:pPr>
          </w:p>
        </w:tc>
        <w:tc>
          <w:tcPr>
            <w:tcW w:w="1576" w:type="dxa"/>
            <w:tcBorders>
              <w:top w:val="nil"/>
              <w:left w:val="nil"/>
              <w:bottom w:val="nil"/>
              <w:right w:val="nil"/>
            </w:tcBorders>
            <w:shd w:val="clear" w:color="auto" w:fill="auto"/>
            <w:noWrap/>
            <w:vAlign w:val="bottom"/>
            <w:hideMark/>
          </w:tcPr>
          <w:p w:rsidR="00157F37" w:rsidRPr="00157F37" w:rsidRDefault="00157F37" w:rsidP="00157F37">
            <w:pPr>
              <w:jc w:val="right"/>
              <w:rPr>
                <w:rFonts w:ascii="Lucida Bright" w:hAnsi="Lucida Bright" w:cs="Calibri"/>
                <w:color w:val="000000"/>
                <w:sz w:val="18"/>
                <w:szCs w:val="18"/>
                <w:lang w:val="es-ES"/>
              </w:rPr>
            </w:pPr>
            <w:r w:rsidRPr="00157F37">
              <w:rPr>
                <w:rFonts w:ascii="Lucida Bright" w:hAnsi="Lucida Bright" w:cs="Calibri"/>
                <w:color w:val="000000"/>
                <w:sz w:val="18"/>
                <w:szCs w:val="18"/>
                <w:lang w:val="es-ES"/>
              </w:rPr>
              <w:t xml:space="preserve">-  </w:t>
            </w:r>
          </w:p>
        </w:tc>
      </w:tr>
      <w:tr w:rsidR="00157F37" w:rsidRPr="00157F37" w:rsidTr="00157F37">
        <w:trPr>
          <w:trHeight w:val="300"/>
        </w:trPr>
        <w:tc>
          <w:tcPr>
            <w:tcW w:w="4136" w:type="dxa"/>
            <w:gridSpan w:val="2"/>
            <w:tcBorders>
              <w:top w:val="nil"/>
              <w:left w:val="nil"/>
              <w:bottom w:val="nil"/>
              <w:right w:val="nil"/>
            </w:tcBorders>
            <w:shd w:val="clear" w:color="auto" w:fill="auto"/>
            <w:noWrap/>
            <w:vAlign w:val="bottom"/>
            <w:hideMark/>
          </w:tcPr>
          <w:p w:rsidR="00157F37" w:rsidRPr="00157F37" w:rsidRDefault="00157F37" w:rsidP="00157F37">
            <w:pPr>
              <w:rPr>
                <w:rFonts w:ascii="Lucida Bright" w:hAnsi="Lucida Bright" w:cs="Calibri"/>
                <w:b/>
                <w:bCs/>
                <w:color w:val="000000"/>
                <w:sz w:val="18"/>
                <w:szCs w:val="18"/>
                <w:lang w:val="es-ES"/>
              </w:rPr>
            </w:pPr>
            <w:r w:rsidRPr="00157F37">
              <w:rPr>
                <w:rFonts w:ascii="Lucida Bright" w:hAnsi="Lucida Bright" w:cs="Calibri"/>
                <w:b/>
                <w:bCs/>
                <w:color w:val="000000"/>
                <w:sz w:val="18"/>
                <w:szCs w:val="18"/>
                <w:lang w:val="es-ES"/>
              </w:rPr>
              <w:t>Saldo a 31/12/2022</w:t>
            </w:r>
          </w:p>
        </w:tc>
        <w:tc>
          <w:tcPr>
            <w:tcW w:w="1576" w:type="dxa"/>
            <w:tcBorders>
              <w:top w:val="nil"/>
              <w:left w:val="nil"/>
              <w:bottom w:val="nil"/>
              <w:right w:val="nil"/>
            </w:tcBorders>
            <w:shd w:val="clear" w:color="auto" w:fill="auto"/>
            <w:noWrap/>
            <w:vAlign w:val="bottom"/>
            <w:hideMark/>
          </w:tcPr>
          <w:p w:rsidR="00157F37" w:rsidRPr="00157F37" w:rsidRDefault="00157F37" w:rsidP="00157F37">
            <w:pPr>
              <w:jc w:val="right"/>
              <w:rPr>
                <w:rFonts w:ascii="Lucida Bright" w:hAnsi="Lucida Bright" w:cs="Calibri"/>
                <w:b/>
                <w:bCs/>
                <w:color w:val="000000"/>
                <w:sz w:val="18"/>
                <w:szCs w:val="18"/>
                <w:lang w:val="es-ES"/>
              </w:rPr>
            </w:pPr>
            <w:r w:rsidRPr="00157F37">
              <w:rPr>
                <w:rFonts w:ascii="Lucida Bright" w:hAnsi="Lucida Bright" w:cs="Calibri"/>
                <w:b/>
                <w:bCs/>
                <w:color w:val="000000"/>
                <w:sz w:val="18"/>
                <w:szCs w:val="18"/>
                <w:lang w:val="es-ES"/>
              </w:rPr>
              <w:t xml:space="preserve">12.234.149,15  </w:t>
            </w:r>
          </w:p>
        </w:tc>
      </w:tr>
    </w:tbl>
    <w:p w:rsidR="00A1261C" w:rsidRDefault="00A1261C" w:rsidP="00A1261C">
      <w:pPr>
        <w:pStyle w:val="ListParagraph1"/>
        <w:ind w:left="0" w:firstLine="709"/>
        <w:rPr>
          <w:rFonts w:ascii="NewBaskerville" w:hAnsi="NewBaskerville"/>
        </w:rPr>
      </w:pPr>
    </w:p>
    <w:p w:rsidR="00A1261C" w:rsidRPr="00A1261C" w:rsidRDefault="00A1261C" w:rsidP="00A1261C">
      <w:pPr>
        <w:pStyle w:val="ListParagraph1"/>
        <w:ind w:left="0" w:firstLine="709"/>
        <w:rPr>
          <w:rFonts w:ascii="NewBaskerville" w:hAnsi="NewBaskerville"/>
        </w:rPr>
      </w:pPr>
    </w:p>
    <w:p w:rsidR="00475B03" w:rsidRDefault="00475B03" w:rsidP="00CF7FBD">
      <w:pPr>
        <w:pStyle w:val="ListParagraph1"/>
      </w:pPr>
    </w:p>
    <w:p w:rsidR="003A195D" w:rsidRPr="00CE3273" w:rsidRDefault="003A195D" w:rsidP="005C285D">
      <w:pPr>
        <w:tabs>
          <w:tab w:val="right" w:pos="8364"/>
        </w:tabs>
        <w:ind w:left="360"/>
        <w:rPr>
          <w:rFonts w:ascii="NewBaskerville" w:hAnsi="NewBaskerville"/>
          <w:bCs/>
        </w:rPr>
      </w:pPr>
      <w:r w:rsidRPr="00CE3273">
        <w:rPr>
          <w:rFonts w:ascii="NewBaskerville" w:hAnsi="NewBaskerville"/>
          <w:bCs/>
        </w:rPr>
        <w:lastRenderedPageBreak/>
        <w:t xml:space="preserve">Las provisiones por responsabilidades corresponden </w:t>
      </w:r>
      <w:r w:rsidR="008155BC" w:rsidRPr="00CE3273">
        <w:rPr>
          <w:rFonts w:ascii="NewBaskerville" w:hAnsi="NewBaskerville"/>
          <w:bCs/>
        </w:rPr>
        <w:t>a:</w:t>
      </w:r>
    </w:p>
    <w:p w:rsidR="00514E88" w:rsidRPr="00AE63D4" w:rsidRDefault="00514E88">
      <w:pPr>
        <w:tabs>
          <w:tab w:val="right" w:pos="8364"/>
        </w:tabs>
        <w:ind w:left="567"/>
        <w:jc w:val="both"/>
        <w:rPr>
          <w:bCs/>
        </w:rPr>
      </w:pPr>
    </w:p>
    <w:p w:rsidR="00E257E5" w:rsidRPr="00CE3273" w:rsidRDefault="00CD7D91" w:rsidP="00514E88">
      <w:pPr>
        <w:numPr>
          <w:ilvl w:val="0"/>
          <w:numId w:val="2"/>
        </w:numPr>
        <w:tabs>
          <w:tab w:val="right" w:pos="8364"/>
        </w:tabs>
        <w:jc w:val="both"/>
        <w:rPr>
          <w:rFonts w:ascii="NewBaskerville" w:hAnsi="NewBaskerville"/>
          <w:bCs/>
          <w:u w:val="single"/>
        </w:rPr>
      </w:pPr>
      <w:r w:rsidRPr="00CE3273">
        <w:rPr>
          <w:rFonts w:ascii="NewBaskerville" w:hAnsi="NewBaskerville"/>
          <w:u w:val="single"/>
          <w:lang w:val="es-ES"/>
        </w:rPr>
        <w:t>Sentencias Tarifa T</w:t>
      </w:r>
      <w:r w:rsidR="00CE3273" w:rsidRPr="00CE3273">
        <w:rPr>
          <w:rFonts w:ascii="NewBaskerville" w:hAnsi="NewBaskerville"/>
          <w:u w:val="single"/>
          <w:lang w:val="es-ES"/>
        </w:rPr>
        <w:t>-</w:t>
      </w:r>
      <w:r w:rsidRPr="00CE3273">
        <w:rPr>
          <w:rFonts w:ascii="NewBaskerville" w:hAnsi="NewBaskerville"/>
          <w:u w:val="single"/>
          <w:lang w:val="es-ES"/>
        </w:rPr>
        <w:t>3</w:t>
      </w:r>
      <w:r w:rsidR="00514E88" w:rsidRPr="00CE3273">
        <w:rPr>
          <w:rFonts w:ascii="NewBaskerville" w:hAnsi="NewBaskerville"/>
          <w:u w:val="single"/>
          <w:lang w:val="es-ES"/>
        </w:rPr>
        <w:t>.</w:t>
      </w:r>
    </w:p>
    <w:p w:rsidR="003A195D" w:rsidRPr="00AE63D4" w:rsidRDefault="003A195D" w:rsidP="00514E88">
      <w:pPr>
        <w:pStyle w:val="Sangra3detindependiente"/>
        <w:ind w:left="567" w:hanging="27"/>
        <w:rPr>
          <w:sz w:val="20"/>
          <w:szCs w:val="20"/>
        </w:rPr>
      </w:pPr>
    </w:p>
    <w:p w:rsidR="002C4355" w:rsidRPr="00F00EE6" w:rsidRDefault="003A195D" w:rsidP="00CE3273">
      <w:pPr>
        <w:pStyle w:val="Sangra3detindependiente"/>
        <w:ind w:firstLine="567"/>
        <w:rPr>
          <w:sz w:val="20"/>
          <w:szCs w:val="20"/>
        </w:rPr>
      </w:pPr>
      <w:r w:rsidRPr="00AE63D4">
        <w:rPr>
          <w:sz w:val="20"/>
          <w:szCs w:val="20"/>
        </w:rPr>
        <w:t xml:space="preserve"> </w:t>
      </w:r>
      <w:r w:rsidR="001D5514" w:rsidRPr="00CE3273">
        <w:rPr>
          <w:rFonts w:ascii="NewBaskerville" w:hAnsi="NewBaskerville"/>
          <w:sz w:val="20"/>
          <w:szCs w:val="20"/>
        </w:rPr>
        <w:t>Las sentencias del Tribunal Constitucional 116/2009</w:t>
      </w:r>
      <w:r w:rsidR="008155BC" w:rsidRPr="00CE3273">
        <w:rPr>
          <w:rFonts w:ascii="NewBaskerville" w:hAnsi="NewBaskerville"/>
          <w:sz w:val="20"/>
          <w:szCs w:val="20"/>
        </w:rPr>
        <w:t>, de</w:t>
      </w:r>
      <w:r w:rsidR="001D5514" w:rsidRPr="00CE3273">
        <w:rPr>
          <w:rFonts w:ascii="NewBaskerville" w:hAnsi="NewBaskerville"/>
          <w:sz w:val="20"/>
          <w:szCs w:val="20"/>
        </w:rPr>
        <w:t xml:space="preserve"> 18 de mayo, 146/2009 de 15 de junio y 161/2009 de 29 de junio declararon inconstitucionales diversos apartados de </w:t>
      </w:r>
      <w:r w:rsidRPr="00CE3273">
        <w:rPr>
          <w:rFonts w:ascii="NewBaskerville" w:hAnsi="NewBaskerville"/>
          <w:sz w:val="20"/>
          <w:szCs w:val="20"/>
        </w:rPr>
        <w:t xml:space="preserve">la </w:t>
      </w:r>
      <w:r w:rsidR="00CE3273">
        <w:rPr>
          <w:rFonts w:ascii="NewBaskerville" w:hAnsi="NewBaskerville"/>
          <w:sz w:val="20"/>
          <w:szCs w:val="20"/>
        </w:rPr>
        <w:t>d</w:t>
      </w:r>
      <w:r w:rsidR="001D5514" w:rsidRPr="00CE3273">
        <w:rPr>
          <w:rFonts w:ascii="NewBaskerville" w:hAnsi="NewBaskerville"/>
          <w:sz w:val="20"/>
          <w:szCs w:val="20"/>
        </w:rPr>
        <w:t>isposición adicional de la Ley 55/1999 de 25 de diciembre y de la Ley 14/200</w:t>
      </w:r>
      <w:r w:rsidR="004F501D" w:rsidRPr="00CE3273">
        <w:rPr>
          <w:rFonts w:ascii="NewBaskerville" w:hAnsi="NewBaskerville"/>
          <w:sz w:val="20"/>
          <w:szCs w:val="20"/>
        </w:rPr>
        <w:t>0</w:t>
      </w:r>
      <w:r w:rsidR="001D5514" w:rsidRPr="00CE3273">
        <w:rPr>
          <w:rFonts w:ascii="NewBaskerville" w:hAnsi="NewBaskerville"/>
          <w:sz w:val="20"/>
          <w:szCs w:val="20"/>
        </w:rPr>
        <w:t xml:space="preserve"> de 29 de diciembre que se aplicaba para la </w:t>
      </w:r>
      <w:proofErr w:type="spellStart"/>
      <w:r w:rsidR="001D5514" w:rsidRPr="00CE3273">
        <w:rPr>
          <w:rFonts w:ascii="NewBaskerville" w:hAnsi="NewBaskerville"/>
          <w:sz w:val="20"/>
          <w:szCs w:val="20"/>
        </w:rPr>
        <w:t>refacturación</w:t>
      </w:r>
      <w:proofErr w:type="spellEnd"/>
      <w:r w:rsidR="001D5514" w:rsidRPr="00CE3273">
        <w:rPr>
          <w:rFonts w:ascii="NewBaskerville" w:hAnsi="NewBaskerville"/>
          <w:sz w:val="20"/>
          <w:szCs w:val="20"/>
        </w:rPr>
        <w:t xml:space="preserve"> y compensación de las liquidaciones anuladas por sentencia judicial. Dado que existe la imposibilidad futura de </w:t>
      </w:r>
      <w:proofErr w:type="spellStart"/>
      <w:r w:rsidR="001D5514" w:rsidRPr="00CE3273">
        <w:rPr>
          <w:rFonts w:ascii="NewBaskerville" w:hAnsi="NewBaskerville"/>
          <w:sz w:val="20"/>
          <w:szCs w:val="20"/>
        </w:rPr>
        <w:t>refacturar</w:t>
      </w:r>
      <w:proofErr w:type="spellEnd"/>
      <w:r w:rsidR="001D5514" w:rsidRPr="00CE3273">
        <w:rPr>
          <w:rFonts w:ascii="NewBaskerville" w:hAnsi="NewBaskerville"/>
          <w:sz w:val="20"/>
          <w:szCs w:val="20"/>
        </w:rPr>
        <w:t xml:space="preserve"> las liquidaciones de </w:t>
      </w:r>
      <w:r w:rsidRPr="00CE3273">
        <w:rPr>
          <w:rFonts w:ascii="NewBaskerville" w:hAnsi="NewBaskerville"/>
          <w:sz w:val="20"/>
          <w:szCs w:val="20"/>
        </w:rPr>
        <w:t xml:space="preserve">las </w:t>
      </w:r>
      <w:r w:rsidR="001D5514" w:rsidRPr="00CE3273">
        <w:rPr>
          <w:rFonts w:ascii="NewBaskerville" w:hAnsi="NewBaskerville"/>
          <w:sz w:val="20"/>
          <w:szCs w:val="20"/>
        </w:rPr>
        <w:t>tarifas recurridas</w:t>
      </w:r>
      <w:r w:rsidRPr="00CE3273">
        <w:rPr>
          <w:rFonts w:ascii="NewBaskerville" w:hAnsi="NewBaskerville"/>
          <w:sz w:val="20"/>
          <w:szCs w:val="20"/>
        </w:rPr>
        <w:t>,</w:t>
      </w:r>
      <w:r w:rsidR="001D5514" w:rsidRPr="00CE3273">
        <w:rPr>
          <w:rFonts w:ascii="NewBaskerville" w:hAnsi="NewBaskerville"/>
          <w:sz w:val="20"/>
          <w:szCs w:val="20"/>
        </w:rPr>
        <w:t xml:space="preserve"> sobre las que aún no haya recaído sentencia anulatoria</w:t>
      </w:r>
      <w:r w:rsidR="008469C2" w:rsidRPr="00CE3273">
        <w:rPr>
          <w:rFonts w:ascii="NewBaskerville" w:hAnsi="NewBaskerville"/>
          <w:sz w:val="20"/>
          <w:szCs w:val="20"/>
        </w:rPr>
        <w:t>,</w:t>
      </w:r>
      <w:r w:rsidR="001D5514" w:rsidRPr="00CE3273">
        <w:rPr>
          <w:rFonts w:ascii="NewBaskerville" w:hAnsi="NewBaskerville"/>
          <w:sz w:val="20"/>
          <w:szCs w:val="20"/>
        </w:rPr>
        <w:t xml:space="preserve"> es necesario considerar las obligaciones económicas</w:t>
      </w:r>
      <w:r w:rsidRPr="00CE3273">
        <w:rPr>
          <w:rFonts w:ascii="NewBaskerville" w:hAnsi="NewBaskerville"/>
          <w:sz w:val="20"/>
          <w:szCs w:val="20"/>
        </w:rPr>
        <w:t xml:space="preserve"> que se deriven</w:t>
      </w:r>
      <w:r w:rsidR="001D5514" w:rsidRPr="00CE3273">
        <w:rPr>
          <w:rFonts w:ascii="NewBaskerville" w:hAnsi="NewBaskerville"/>
          <w:sz w:val="20"/>
          <w:szCs w:val="20"/>
        </w:rPr>
        <w:t xml:space="preserve"> </w:t>
      </w:r>
      <w:r w:rsidR="008469C2" w:rsidRPr="00CE3273">
        <w:rPr>
          <w:rFonts w:ascii="NewBaskerville" w:hAnsi="NewBaskerville"/>
          <w:sz w:val="20"/>
          <w:szCs w:val="20"/>
        </w:rPr>
        <w:t>de ello</w:t>
      </w:r>
      <w:r w:rsidR="001D5514" w:rsidRPr="00CE3273">
        <w:rPr>
          <w:rFonts w:ascii="NewBaskerville" w:hAnsi="NewBaskerville"/>
          <w:sz w:val="20"/>
          <w:szCs w:val="20"/>
        </w:rPr>
        <w:t xml:space="preserve">. </w:t>
      </w:r>
      <w:r w:rsidR="008469C2" w:rsidRPr="00CE3273">
        <w:rPr>
          <w:rFonts w:ascii="NewBaskerville" w:hAnsi="NewBaskerville"/>
          <w:sz w:val="20"/>
          <w:szCs w:val="20"/>
        </w:rPr>
        <w:t>En consecuencia</w:t>
      </w:r>
      <w:r w:rsidR="001D5514" w:rsidRPr="00CE3273">
        <w:rPr>
          <w:rFonts w:ascii="NewBaskerville" w:hAnsi="NewBaskerville"/>
          <w:sz w:val="20"/>
          <w:szCs w:val="20"/>
        </w:rPr>
        <w:t xml:space="preserve"> se ha dotado una provisión por el importe del principal </w:t>
      </w:r>
      <w:r w:rsidRPr="00CE3273">
        <w:rPr>
          <w:rFonts w:ascii="NewBaskerville" w:hAnsi="NewBaskerville"/>
          <w:sz w:val="20"/>
          <w:szCs w:val="20"/>
        </w:rPr>
        <w:t>y los correspondientes</w:t>
      </w:r>
      <w:r w:rsidR="001D5514" w:rsidRPr="00CE3273">
        <w:rPr>
          <w:rFonts w:ascii="NewBaskerville" w:hAnsi="NewBaskerville"/>
          <w:sz w:val="20"/>
          <w:szCs w:val="20"/>
        </w:rPr>
        <w:t xml:space="preserve"> intereses de los recursos sobre los que aún no ha recaído sentencia, el principal </w:t>
      </w:r>
      <w:r w:rsidRPr="00CE3273">
        <w:rPr>
          <w:rFonts w:ascii="NewBaskerville" w:hAnsi="NewBaskerville"/>
          <w:sz w:val="20"/>
          <w:szCs w:val="20"/>
        </w:rPr>
        <w:t xml:space="preserve">se contabiliza </w:t>
      </w:r>
      <w:r w:rsidR="001D5514" w:rsidRPr="00CE3273">
        <w:rPr>
          <w:rFonts w:ascii="NewBaskerville" w:hAnsi="NewBaskerville"/>
          <w:sz w:val="20"/>
          <w:szCs w:val="20"/>
        </w:rPr>
        <w:t>c</w:t>
      </w:r>
      <w:r w:rsidRPr="00CE3273">
        <w:rPr>
          <w:rFonts w:ascii="NewBaskerville" w:hAnsi="NewBaskerville"/>
          <w:sz w:val="20"/>
          <w:szCs w:val="20"/>
        </w:rPr>
        <w:t>omo</w:t>
      </w:r>
      <w:r w:rsidR="001D5514" w:rsidRPr="00CE3273">
        <w:rPr>
          <w:rFonts w:ascii="NewBaskerville" w:hAnsi="NewBaskerville"/>
          <w:sz w:val="20"/>
          <w:szCs w:val="20"/>
        </w:rPr>
        <w:t xml:space="preserve"> gastos excepcionales y los intereses </w:t>
      </w:r>
      <w:r w:rsidRPr="00CE3273">
        <w:rPr>
          <w:rFonts w:ascii="NewBaskerville" w:hAnsi="NewBaskerville"/>
          <w:sz w:val="20"/>
          <w:szCs w:val="20"/>
        </w:rPr>
        <w:t>como</w:t>
      </w:r>
      <w:r w:rsidR="001D5514" w:rsidRPr="00CE3273">
        <w:rPr>
          <w:rFonts w:ascii="NewBaskerville" w:hAnsi="NewBaskerville"/>
          <w:sz w:val="20"/>
          <w:szCs w:val="20"/>
        </w:rPr>
        <w:t xml:space="preserve"> gastos financieros.</w:t>
      </w:r>
      <w:r w:rsidR="00335D25">
        <w:rPr>
          <w:rFonts w:ascii="NewBaskerville" w:hAnsi="NewBaskerville"/>
          <w:sz w:val="20"/>
          <w:szCs w:val="20"/>
        </w:rPr>
        <w:t xml:space="preserve"> </w:t>
      </w:r>
      <w:r w:rsidR="00F00EE6">
        <w:rPr>
          <w:rFonts w:ascii="NewBaskerville" w:hAnsi="NewBaskerville"/>
          <w:sz w:val="20"/>
          <w:szCs w:val="20"/>
        </w:rPr>
        <w:t>El importe provisionado a 31/12/202</w:t>
      </w:r>
      <w:r w:rsidR="001A55AC">
        <w:rPr>
          <w:rFonts w:ascii="NewBaskerville" w:hAnsi="NewBaskerville"/>
          <w:sz w:val="20"/>
          <w:szCs w:val="20"/>
        </w:rPr>
        <w:t>3</w:t>
      </w:r>
      <w:r w:rsidR="00F00EE6">
        <w:rPr>
          <w:rFonts w:ascii="NewBaskerville" w:hAnsi="NewBaskerville"/>
          <w:sz w:val="20"/>
          <w:szCs w:val="20"/>
        </w:rPr>
        <w:t xml:space="preserve"> asciende a </w:t>
      </w:r>
      <w:r w:rsidR="005E76DE">
        <w:rPr>
          <w:rFonts w:ascii="NewBaskerville" w:hAnsi="NewBaskerville"/>
          <w:sz w:val="20"/>
          <w:szCs w:val="20"/>
        </w:rPr>
        <w:t>501.750,8</w:t>
      </w:r>
      <w:r w:rsidR="00411251">
        <w:rPr>
          <w:rFonts w:ascii="NewBaskerville" w:hAnsi="NewBaskerville"/>
          <w:sz w:val="20"/>
          <w:szCs w:val="20"/>
        </w:rPr>
        <w:t>2</w:t>
      </w:r>
      <w:r w:rsidR="00F00EE6">
        <w:rPr>
          <w:rFonts w:ascii="NewBaskerville" w:hAnsi="NewBaskerville"/>
          <w:sz w:val="20"/>
          <w:szCs w:val="20"/>
        </w:rPr>
        <w:t xml:space="preserve"> euros (63.782,44 </w:t>
      </w:r>
      <w:r w:rsidR="004070B0">
        <w:rPr>
          <w:rFonts w:ascii="NewBaskerville" w:hAnsi="NewBaskerville"/>
          <w:sz w:val="20"/>
          <w:szCs w:val="20"/>
        </w:rPr>
        <w:t xml:space="preserve">euros </w:t>
      </w:r>
      <w:r w:rsidR="00F00EE6">
        <w:rPr>
          <w:rFonts w:ascii="NewBaskerville" w:hAnsi="NewBaskerville"/>
          <w:sz w:val="20"/>
          <w:szCs w:val="20"/>
        </w:rPr>
        <w:t>para principales, 43</w:t>
      </w:r>
      <w:r w:rsidR="001A55AC">
        <w:rPr>
          <w:rFonts w:ascii="NewBaskerville" w:hAnsi="NewBaskerville"/>
          <w:sz w:val="20"/>
          <w:szCs w:val="20"/>
        </w:rPr>
        <w:t>7</w:t>
      </w:r>
      <w:r w:rsidR="00F00EE6">
        <w:rPr>
          <w:rFonts w:ascii="NewBaskerville" w:hAnsi="NewBaskerville"/>
          <w:sz w:val="20"/>
          <w:szCs w:val="20"/>
        </w:rPr>
        <w:t>.</w:t>
      </w:r>
      <w:r w:rsidR="001A55AC">
        <w:rPr>
          <w:rFonts w:ascii="NewBaskerville" w:hAnsi="NewBaskerville"/>
          <w:sz w:val="20"/>
          <w:szCs w:val="20"/>
        </w:rPr>
        <w:t>968</w:t>
      </w:r>
      <w:r w:rsidR="00F00EE6">
        <w:rPr>
          <w:rFonts w:ascii="NewBaskerville" w:hAnsi="NewBaskerville"/>
          <w:sz w:val="20"/>
          <w:szCs w:val="20"/>
        </w:rPr>
        <w:t>,</w:t>
      </w:r>
      <w:r w:rsidR="005E76DE">
        <w:rPr>
          <w:rFonts w:ascii="NewBaskerville" w:hAnsi="NewBaskerville"/>
          <w:sz w:val="20"/>
          <w:szCs w:val="20"/>
        </w:rPr>
        <w:t>3</w:t>
      </w:r>
      <w:r w:rsidR="00411251">
        <w:rPr>
          <w:rFonts w:ascii="NewBaskerville" w:hAnsi="NewBaskerville"/>
          <w:sz w:val="20"/>
          <w:szCs w:val="20"/>
        </w:rPr>
        <w:t>8</w:t>
      </w:r>
      <w:r w:rsidR="00F00EE6">
        <w:rPr>
          <w:rFonts w:ascii="NewBaskerville" w:hAnsi="NewBaskerville"/>
          <w:sz w:val="20"/>
          <w:szCs w:val="20"/>
        </w:rPr>
        <w:t xml:space="preserve"> </w:t>
      </w:r>
      <w:r w:rsidR="004070B0">
        <w:rPr>
          <w:rFonts w:ascii="NewBaskerville" w:hAnsi="NewBaskerville"/>
          <w:sz w:val="20"/>
          <w:szCs w:val="20"/>
        </w:rPr>
        <w:t>euros</w:t>
      </w:r>
      <w:r w:rsidR="00F00EE6">
        <w:rPr>
          <w:rFonts w:ascii="NewBaskerville" w:hAnsi="NewBaskerville"/>
          <w:sz w:val="20"/>
          <w:szCs w:val="20"/>
        </w:rPr>
        <w:t xml:space="preserve"> de intereses), en el ejercicio se ha actualizado financieramente la provisión en </w:t>
      </w:r>
      <w:r w:rsidR="001A55AC">
        <w:rPr>
          <w:rFonts w:ascii="NewBaskerville" w:hAnsi="NewBaskerville"/>
          <w:sz w:val="20"/>
          <w:szCs w:val="20"/>
        </w:rPr>
        <w:t>2</w:t>
      </w:r>
      <w:r w:rsidR="00F00EE6">
        <w:rPr>
          <w:rFonts w:ascii="NewBaskerville" w:hAnsi="NewBaskerville"/>
          <w:sz w:val="20"/>
          <w:szCs w:val="20"/>
        </w:rPr>
        <w:t>.</w:t>
      </w:r>
      <w:r w:rsidR="001A55AC">
        <w:rPr>
          <w:rFonts w:ascii="NewBaskerville" w:hAnsi="NewBaskerville"/>
          <w:sz w:val="20"/>
          <w:szCs w:val="20"/>
        </w:rPr>
        <w:t>072</w:t>
      </w:r>
      <w:r w:rsidR="00F00EE6">
        <w:rPr>
          <w:rFonts w:ascii="NewBaskerville" w:hAnsi="NewBaskerville"/>
          <w:sz w:val="20"/>
          <w:szCs w:val="20"/>
        </w:rPr>
        <w:t>,</w:t>
      </w:r>
      <w:r w:rsidR="001A55AC">
        <w:rPr>
          <w:rFonts w:ascii="NewBaskerville" w:hAnsi="NewBaskerville"/>
          <w:sz w:val="20"/>
          <w:szCs w:val="20"/>
        </w:rPr>
        <w:t>93</w:t>
      </w:r>
      <w:r w:rsidR="00F00EE6">
        <w:rPr>
          <w:rFonts w:ascii="NewBaskerville" w:hAnsi="NewBaskerville"/>
          <w:sz w:val="20"/>
          <w:szCs w:val="20"/>
        </w:rPr>
        <w:t xml:space="preserve"> </w:t>
      </w:r>
      <w:r w:rsidR="004070B0">
        <w:rPr>
          <w:rFonts w:ascii="NewBaskerville" w:hAnsi="NewBaskerville"/>
          <w:sz w:val="20"/>
          <w:szCs w:val="20"/>
        </w:rPr>
        <w:t>euros</w:t>
      </w:r>
      <w:r w:rsidR="00F00EE6">
        <w:rPr>
          <w:sz w:val="20"/>
          <w:szCs w:val="20"/>
        </w:rPr>
        <w:t>.</w:t>
      </w:r>
    </w:p>
    <w:p w:rsidR="00AE63D4" w:rsidRPr="00CE3273" w:rsidRDefault="00AE63D4" w:rsidP="00CE3273">
      <w:pPr>
        <w:pStyle w:val="Sangra3detindependiente"/>
        <w:ind w:firstLine="567"/>
        <w:rPr>
          <w:rFonts w:ascii="NewBaskerville" w:hAnsi="NewBaskerville"/>
          <w:sz w:val="20"/>
          <w:szCs w:val="20"/>
        </w:rPr>
      </w:pPr>
    </w:p>
    <w:p w:rsidR="00AE63D4" w:rsidRPr="00EF3801" w:rsidRDefault="002C4355" w:rsidP="00CE3273">
      <w:pPr>
        <w:pStyle w:val="Sangra3detindependiente"/>
        <w:tabs>
          <w:tab w:val="clear" w:pos="5671"/>
          <w:tab w:val="clear" w:pos="7797"/>
          <w:tab w:val="right" w:pos="8364"/>
        </w:tabs>
        <w:ind w:firstLine="567"/>
        <w:rPr>
          <w:sz w:val="20"/>
          <w:szCs w:val="20"/>
        </w:rPr>
      </w:pPr>
      <w:r w:rsidRPr="00CE3273">
        <w:rPr>
          <w:rFonts w:ascii="NewBaskerville" w:hAnsi="NewBaskerville"/>
          <w:sz w:val="20"/>
          <w:szCs w:val="20"/>
        </w:rPr>
        <w:t>En cuanto a las sentencias</w:t>
      </w:r>
      <w:r w:rsidR="004F501D" w:rsidRPr="00CE3273">
        <w:rPr>
          <w:rFonts w:ascii="NewBaskerville" w:hAnsi="NewBaskerville"/>
          <w:sz w:val="20"/>
          <w:szCs w:val="20"/>
        </w:rPr>
        <w:t xml:space="preserve"> firmes</w:t>
      </w:r>
      <w:r w:rsidRPr="00CE3273">
        <w:rPr>
          <w:rFonts w:ascii="NewBaskerville" w:hAnsi="NewBaskerville"/>
          <w:sz w:val="20"/>
          <w:szCs w:val="20"/>
        </w:rPr>
        <w:t>, dado que</w:t>
      </w:r>
      <w:r w:rsidR="004F501D" w:rsidRPr="00CE3273">
        <w:rPr>
          <w:rFonts w:ascii="NewBaskerville" w:hAnsi="NewBaskerville"/>
          <w:sz w:val="20"/>
          <w:szCs w:val="20"/>
        </w:rPr>
        <w:t xml:space="preserve"> </w:t>
      </w:r>
      <w:r w:rsidR="005A1C82" w:rsidRPr="00CE3273">
        <w:rPr>
          <w:rFonts w:ascii="NewBaskerville" w:hAnsi="NewBaskerville"/>
          <w:sz w:val="20"/>
          <w:szCs w:val="20"/>
        </w:rPr>
        <w:t xml:space="preserve">no es un pasivo indeterminado </w:t>
      </w:r>
      <w:r w:rsidRPr="00CE3273">
        <w:rPr>
          <w:rFonts w:ascii="NewBaskerville" w:hAnsi="NewBaskerville"/>
          <w:sz w:val="20"/>
          <w:szCs w:val="20"/>
        </w:rPr>
        <w:t xml:space="preserve">en cuánto al importe, </w:t>
      </w:r>
      <w:r w:rsidR="00594948" w:rsidRPr="00CE3273">
        <w:rPr>
          <w:rFonts w:ascii="NewBaskerville" w:hAnsi="NewBaskerville"/>
          <w:sz w:val="20"/>
          <w:szCs w:val="20"/>
        </w:rPr>
        <w:t>está</w:t>
      </w:r>
      <w:r w:rsidRPr="00CE3273">
        <w:rPr>
          <w:rFonts w:ascii="NewBaskerville" w:hAnsi="NewBaskerville"/>
          <w:sz w:val="20"/>
          <w:szCs w:val="20"/>
        </w:rPr>
        <w:t xml:space="preserve"> registrado en la cuenta “Acreedores varios” por el importe del princip</w:t>
      </w:r>
      <w:r w:rsidR="000652F5" w:rsidRPr="00CE3273">
        <w:rPr>
          <w:rFonts w:ascii="NewBaskerville" w:hAnsi="NewBaskerville"/>
          <w:sz w:val="20"/>
          <w:szCs w:val="20"/>
        </w:rPr>
        <w:t>al más los intereses de demora. El im</w:t>
      </w:r>
      <w:r w:rsidR="00CE53E8" w:rsidRPr="00CE3273">
        <w:rPr>
          <w:rFonts w:ascii="NewBaskerville" w:hAnsi="NewBaskerville"/>
          <w:sz w:val="20"/>
          <w:szCs w:val="20"/>
        </w:rPr>
        <w:t xml:space="preserve">porte de esta cuenta </w:t>
      </w:r>
      <w:r w:rsidR="009A5AA7" w:rsidRPr="00CE3273">
        <w:rPr>
          <w:rFonts w:ascii="NewBaskerville" w:hAnsi="NewBaskerville"/>
          <w:sz w:val="20"/>
          <w:szCs w:val="20"/>
        </w:rPr>
        <w:t>a 31/12/202</w:t>
      </w:r>
      <w:r w:rsidR="001A55AC">
        <w:rPr>
          <w:rFonts w:ascii="NewBaskerville" w:hAnsi="NewBaskerville"/>
          <w:sz w:val="20"/>
          <w:szCs w:val="20"/>
        </w:rPr>
        <w:t>3</w:t>
      </w:r>
      <w:r w:rsidR="000652F5" w:rsidRPr="00CE3273">
        <w:rPr>
          <w:rFonts w:ascii="NewBaskerville" w:hAnsi="NewBaskerville"/>
          <w:sz w:val="20"/>
          <w:szCs w:val="20"/>
        </w:rPr>
        <w:t xml:space="preserve"> es de </w:t>
      </w:r>
      <w:r w:rsidR="009A5AA7" w:rsidRPr="00CE3273">
        <w:rPr>
          <w:rFonts w:ascii="NewBaskerville" w:hAnsi="NewBaskerville"/>
          <w:sz w:val="20"/>
          <w:szCs w:val="20"/>
        </w:rPr>
        <w:t>14</w:t>
      </w:r>
      <w:r w:rsidR="00D72C3A">
        <w:rPr>
          <w:rFonts w:ascii="NewBaskerville" w:hAnsi="NewBaskerville"/>
          <w:sz w:val="20"/>
          <w:szCs w:val="20"/>
        </w:rPr>
        <w:t>6</w:t>
      </w:r>
      <w:r w:rsidR="009A5AA7" w:rsidRPr="00CE3273">
        <w:rPr>
          <w:rFonts w:ascii="NewBaskerville" w:hAnsi="NewBaskerville"/>
          <w:sz w:val="20"/>
          <w:szCs w:val="20"/>
        </w:rPr>
        <w:t>.</w:t>
      </w:r>
      <w:r w:rsidR="00D72C3A">
        <w:rPr>
          <w:rFonts w:ascii="NewBaskerville" w:hAnsi="NewBaskerville"/>
          <w:sz w:val="20"/>
          <w:szCs w:val="20"/>
        </w:rPr>
        <w:t>471</w:t>
      </w:r>
      <w:r w:rsidR="009A5AA7" w:rsidRPr="00CE3273">
        <w:rPr>
          <w:rFonts w:ascii="NewBaskerville" w:hAnsi="NewBaskerville"/>
          <w:sz w:val="20"/>
          <w:szCs w:val="20"/>
        </w:rPr>
        <w:t>,</w:t>
      </w:r>
      <w:r w:rsidR="00D72C3A">
        <w:rPr>
          <w:rFonts w:ascii="NewBaskerville" w:hAnsi="NewBaskerville"/>
          <w:sz w:val="20"/>
          <w:szCs w:val="20"/>
        </w:rPr>
        <w:t>43</w:t>
      </w:r>
      <w:r w:rsidR="000652F5" w:rsidRPr="00CE3273">
        <w:rPr>
          <w:rFonts w:ascii="NewBaskerville" w:hAnsi="NewBaskerville"/>
          <w:sz w:val="20"/>
          <w:szCs w:val="20"/>
        </w:rPr>
        <w:t xml:space="preserve"> </w:t>
      </w:r>
      <w:r w:rsidR="004070B0">
        <w:rPr>
          <w:rFonts w:ascii="NewBaskerville" w:hAnsi="NewBaskerville"/>
          <w:sz w:val="20"/>
          <w:szCs w:val="20"/>
        </w:rPr>
        <w:t>euros</w:t>
      </w:r>
      <w:r w:rsidR="000652F5" w:rsidRPr="00CE3273">
        <w:rPr>
          <w:rFonts w:ascii="NewBaskerville" w:hAnsi="NewBaskerville"/>
          <w:sz w:val="20"/>
          <w:szCs w:val="20"/>
        </w:rPr>
        <w:t xml:space="preserve"> (</w:t>
      </w:r>
      <w:r w:rsidR="009A5AA7" w:rsidRPr="00CE3273">
        <w:rPr>
          <w:rFonts w:ascii="NewBaskerville" w:hAnsi="NewBaskerville"/>
          <w:sz w:val="20"/>
          <w:szCs w:val="20"/>
        </w:rPr>
        <w:t>60.709,72</w:t>
      </w:r>
      <w:r w:rsidR="00EF3801">
        <w:rPr>
          <w:rFonts w:ascii="NewBaskerville" w:hAnsi="NewBaskerville"/>
          <w:sz w:val="20"/>
          <w:szCs w:val="20"/>
        </w:rPr>
        <w:t xml:space="preserve"> </w:t>
      </w:r>
      <w:r w:rsidR="004070B0">
        <w:rPr>
          <w:rFonts w:ascii="NewBaskerville" w:hAnsi="NewBaskerville"/>
          <w:sz w:val="20"/>
          <w:szCs w:val="20"/>
        </w:rPr>
        <w:t>euros</w:t>
      </w:r>
      <w:r w:rsidR="000652F5" w:rsidRPr="00CE3273">
        <w:rPr>
          <w:rFonts w:ascii="NewBaskerville" w:hAnsi="NewBaskerville"/>
          <w:sz w:val="20"/>
          <w:szCs w:val="20"/>
        </w:rPr>
        <w:t xml:space="preserve"> corresponden al principal y </w:t>
      </w:r>
      <w:r w:rsidR="009A5AA7" w:rsidRPr="00CE3273">
        <w:rPr>
          <w:rFonts w:ascii="NewBaskerville" w:hAnsi="NewBaskerville"/>
          <w:sz w:val="20"/>
          <w:szCs w:val="20"/>
        </w:rPr>
        <w:t>8</w:t>
      </w:r>
      <w:r w:rsidR="00D72C3A">
        <w:rPr>
          <w:rFonts w:ascii="NewBaskerville" w:hAnsi="NewBaskerville"/>
          <w:sz w:val="20"/>
          <w:szCs w:val="20"/>
        </w:rPr>
        <w:t>5</w:t>
      </w:r>
      <w:r w:rsidR="009A5AA7" w:rsidRPr="00CE3273">
        <w:rPr>
          <w:rFonts w:ascii="NewBaskerville" w:hAnsi="NewBaskerville"/>
          <w:sz w:val="20"/>
          <w:szCs w:val="20"/>
        </w:rPr>
        <w:t>.</w:t>
      </w:r>
      <w:r w:rsidR="00D72C3A">
        <w:rPr>
          <w:rFonts w:ascii="NewBaskerville" w:hAnsi="NewBaskerville"/>
          <w:sz w:val="20"/>
          <w:szCs w:val="20"/>
        </w:rPr>
        <w:t>761</w:t>
      </w:r>
      <w:r w:rsidR="009A5AA7" w:rsidRPr="00CE3273">
        <w:rPr>
          <w:rFonts w:ascii="NewBaskerville" w:hAnsi="NewBaskerville"/>
          <w:sz w:val="20"/>
          <w:szCs w:val="20"/>
        </w:rPr>
        <w:t>,</w:t>
      </w:r>
      <w:r w:rsidR="00D72C3A">
        <w:rPr>
          <w:rFonts w:ascii="NewBaskerville" w:hAnsi="NewBaskerville"/>
          <w:sz w:val="20"/>
          <w:szCs w:val="20"/>
        </w:rPr>
        <w:t>71</w:t>
      </w:r>
      <w:r w:rsidR="000652F5" w:rsidRPr="00CE3273">
        <w:rPr>
          <w:rFonts w:ascii="NewBaskerville" w:hAnsi="NewBaskerville"/>
          <w:sz w:val="20"/>
          <w:szCs w:val="20"/>
        </w:rPr>
        <w:t xml:space="preserve"> </w:t>
      </w:r>
      <w:r w:rsidR="004070B0">
        <w:rPr>
          <w:rFonts w:ascii="NewBaskerville" w:hAnsi="NewBaskerville"/>
          <w:sz w:val="20"/>
          <w:szCs w:val="20"/>
        </w:rPr>
        <w:t>euros</w:t>
      </w:r>
      <w:r w:rsidR="000652F5" w:rsidRPr="00CE3273">
        <w:rPr>
          <w:rFonts w:ascii="NewBaskerville" w:hAnsi="NewBaskerville"/>
          <w:sz w:val="20"/>
          <w:szCs w:val="20"/>
        </w:rPr>
        <w:t xml:space="preserve"> a intereses</w:t>
      </w:r>
      <w:r w:rsidR="00073A81" w:rsidRPr="00CE3273">
        <w:rPr>
          <w:rFonts w:ascii="NewBaskerville" w:hAnsi="NewBaskerville"/>
          <w:sz w:val="20"/>
          <w:szCs w:val="20"/>
        </w:rPr>
        <w:t>)</w:t>
      </w:r>
      <w:r w:rsidR="000652F5" w:rsidRPr="00CE3273">
        <w:rPr>
          <w:rFonts w:ascii="NewBaskerville" w:hAnsi="NewBaskerville"/>
          <w:sz w:val="20"/>
          <w:szCs w:val="20"/>
        </w:rPr>
        <w:t xml:space="preserve">. </w:t>
      </w:r>
      <w:r w:rsidR="00D72C3A">
        <w:rPr>
          <w:rFonts w:ascii="NewBaskerville" w:hAnsi="NewBaskerville"/>
          <w:sz w:val="20"/>
          <w:szCs w:val="20"/>
        </w:rPr>
        <w:t>Se ha</w:t>
      </w:r>
      <w:r w:rsidR="00EF3801">
        <w:rPr>
          <w:rFonts w:ascii="NewBaskerville" w:hAnsi="NewBaskerville"/>
          <w:sz w:val="20"/>
          <w:szCs w:val="20"/>
        </w:rPr>
        <w:t xml:space="preserve"> actualizado financieramente </w:t>
      </w:r>
      <w:r w:rsidR="004070B0">
        <w:rPr>
          <w:rFonts w:ascii="NewBaskerville" w:hAnsi="NewBaskerville"/>
          <w:sz w:val="20"/>
          <w:szCs w:val="20"/>
        </w:rPr>
        <w:t xml:space="preserve">en </w:t>
      </w:r>
      <w:r w:rsidR="00EF3801">
        <w:rPr>
          <w:rFonts w:ascii="NewBaskerville" w:hAnsi="NewBaskerville"/>
          <w:sz w:val="20"/>
          <w:szCs w:val="20"/>
        </w:rPr>
        <w:t>4.</w:t>
      </w:r>
      <w:r w:rsidR="00D72C3A">
        <w:rPr>
          <w:rFonts w:ascii="NewBaskerville" w:hAnsi="NewBaskerville"/>
          <w:sz w:val="20"/>
          <w:szCs w:val="20"/>
        </w:rPr>
        <w:t>295</w:t>
      </w:r>
      <w:r w:rsidR="00EF3801">
        <w:rPr>
          <w:rFonts w:ascii="NewBaskerville" w:hAnsi="NewBaskerville"/>
          <w:sz w:val="20"/>
          <w:szCs w:val="20"/>
        </w:rPr>
        <w:t>,</w:t>
      </w:r>
      <w:r w:rsidR="00D72C3A">
        <w:rPr>
          <w:rFonts w:ascii="NewBaskerville" w:hAnsi="NewBaskerville"/>
          <w:sz w:val="20"/>
          <w:szCs w:val="20"/>
        </w:rPr>
        <w:t>74</w:t>
      </w:r>
      <w:r w:rsidR="00EF3801">
        <w:rPr>
          <w:rFonts w:ascii="NewBaskerville" w:hAnsi="NewBaskerville"/>
          <w:sz w:val="20"/>
          <w:szCs w:val="20"/>
        </w:rPr>
        <w:t xml:space="preserve"> </w:t>
      </w:r>
      <w:r w:rsidR="005A43D4">
        <w:rPr>
          <w:rFonts w:ascii="NewBaskerville" w:hAnsi="NewBaskerville"/>
          <w:sz w:val="20"/>
          <w:szCs w:val="20"/>
        </w:rPr>
        <w:t>euros</w:t>
      </w:r>
      <w:r w:rsidR="00335D25">
        <w:rPr>
          <w:sz w:val="20"/>
          <w:szCs w:val="20"/>
        </w:rPr>
        <w:t>.</w:t>
      </w:r>
      <w:r w:rsidR="00EF3801">
        <w:rPr>
          <w:sz w:val="20"/>
          <w:szCs w:val="20"/>
        </w:rPr>
        <w:t xml:space="preserve">  </w:t>
      </w:r>
    </w:p>
    <w:p w:rsidR="0006790B" w:rsidRDefault="0006790B" w:rsidP="00514E88">
      <w:pPr>
        <w:pStyle w:val="Sangra3detindependiente"/>
        <w:tabs>
          <w:tab w:val="right" w:pos="8364"/>
        </w:tabs>
        <w:ind w:left="567" w:hanging="27"/>
        <w:rPr>
          <w:sz w:val="20"/>
          <w:szCs w:val="20"/>
          <w:lang w:val="es-ES"/>
        </w:rPr>
      </w:pPr>
    </w:p>
    <w:p w:rsidR="00514E88" w:rsidRPr="00335D25" w:rsidRDefault="00514E88" w:rsidP="00514E88">
      <w:pPr>
        <w:numPr>
          <w:ilvl w:val="0"/>
          <w:numId w:val="2"/>
        </w:numPr>
        <w:tabs>
          <w:tab w:val="right" w:pos="8364"/>
        </w:tabs>
        <w:rPr>
          <w:rFonts w:ascii="NewBaskerville" w:hAnsi="NewBaskerville"/>
          <w:bCs/>
          <w:u w:val="single"/>
        </w:rPr>
      </w:pPr>
      <w:r w:rsidRPr="00335D25">
        <w:rPr>
          <w:rFonts w:ascii="NewBaskerville" w:hAnsi="NewBaskerville"/>
          <w:bCs/>
          <w:u w:val="single"/>
          <w:lang w:val="es-ES"/>
        </w:rPr>
        <w:t>Demanda “UTE ATRAQUE GRANDES BUQUES”</w:t>
      </w:r>
    </w:p>
    <w:p w:rsidR="00F32685" w:rsidRPr="005C285D" w:rsidRDefault="00F32685" w:rsidP="00F32685">
      <w:pPr>
        <w:tabs>
          <w:tab w:val="right" w:pos="8364"/>
        </w:tabs>
        <w:ind w:left="720"/>
        <w:rPr>
          <w:bCs/>
          <w:u w:val="single"/>
        </w:rPr>
      </w:pPr>
    </w:p>
    <w:p w:rsidR="00514E88" w:rsidRPr="00F00EE6" w:rsidRDefault="00514E88" w:rsidP="00F00EE6">
      <w:pPr>
        <w:tabs>
          <w:tab w:val="right" w:pos="8364"/>
        </w:tabs>
        <w:ind w:firstLine="567"/>
        <w:jc w:val="both"/>
        <w:rPr>
          <w:rFonts w:ascii="NewBaskerville" w:hAnsi="NewBaskerville"/>
          <w:bCs/>
          <w:lang w:val="es-ES"/>
        </w:rPr>
      </w:pPr>
      <w:r w:rsidRPr="00F00EE6">
        <w:rPr>
          <w:rFonts w:ascii="NewBaskerville" w:hAnsi="NewBaskerville"/>
          <w:bCs/>
          <w:lang w:val="es-ES"/>
        </w:rPr>
        <w:t xml:space="preserve">Con fecha 9 de marzo 2018 se presentó demanda ante el Juzgado de Primera Instancia de Palma de Mallorca por la entidad COPCISA S.A Y CONSTRUCCIONES OLIVES S.L, UNION TEMPORAL DE </w:t>
      </w:r>
      <w:r w:rsidR="008155BC" w:rsidRPr="00F00EE6">
        <w:rPr>
          <w:rFonts w:ascii="NewBaskerville" w:hAnsi="NewBaskerville"/>
          <w:bCs/>
          <w:lang w:val="es-ES"/>
        </w:rPr>
        <w:t>EMPRESAS,</w:t>
      </w:r>
      <w:r w:rsidRPr="00F00EE6">
        <w:rPr>
          <w:rFonts w:ascii="NewBaskerville" w:hAnsi="NewBaskerville"/>
          <w:bCs/>
          <w:lang w:val="es-ES"/>
        </w:rPr>
        <w:t xml:space="preserve"> LEY 18/1982, de 26 de Mayo,  como consecuencia del incumplimiento </w:t>
      </w:r>
      <w:r w:rsidR="008155BC" w:rsidRPr="00F00EE6">
        <w:rPr>
          <w:rFonts w:ascii="NewBaskerville" w:hAnsi="NewBaskerville"/>
          <w:bCs/>
          <w:lang w:val="es-ES"/>
        </w:rPr>
        <w:t>contractual</w:t>
      </w:r>
      <w:r w:rsidRPr="00F00EE6">
        <w:rPr>
          <w:rFonts w:ascii="NewBaskerville" w:hAnsi="NewBaskerville"/>
          <w:bCs/>
          <w:lang w:val="es-ES"/>
        </w:rPr>
        <w:t xml:space="preserve"> de la A</w:t>
      </w:r>
      <w:r w:rsidR="00A861CC">
        <w:rPr>
          <w:rFonts w:ascii="NewBaskerville" w:hAnsi="NewBaskerville"/>
          <w:bCs/>
          <w:lang w:val="es-ES"/>
        </w:rPr>
        <w:t>utoridad</w:t>
      </w:r>
      <w:r w:rsidRPr="00F00EE6">
        <w:rPr>
          <w:rFonts w:ascii="NewBaskerville" w:hAnsi="NewBaskerville"/>
          <w:bCs/>
          <w:lang w:val="es-ES"/>
        </w:rPr>
        <w:t xml:space="preserve"> P</w:t>
      </w:r>
      <w:r w:rsidR="00A861CC">
        <w:rPr>
          <w:rFonts w:ascii="NewBaskerville" w:hAnsi="NewBaskerville"/>
          <w:bCs/>
          <w:lang w:val="es-ES"/>
        </w:rPr>
        <w:t>ortuaria</w:t>
      </w:r>
      <w:r w:rsidRPr="00F00EE6">
        <w:rPr>
          <w:rFonts w:ascii="NewBaskerville" w:hAnsi="NewBaskerville"/>
          <w:bCs/>
          <w:lang w:val="es-ES"/>
        </w:rPr>
        <w:t xml:space="preserve"> </w:t>
      </w:r>
      <w:r w:rsidR="00A861CC">
        <w:rPr>
          <w:rFonts w:ascii="NewBaskerville" w:hAnsi="NewBaskerville"/>
          <w:bCs/>
          <w:lang w:val="es-ES"/>
        </w:rPr>
        <w:t>de Baleares</w:t>
      </w:r>
      <w:r w:rsidRPr="00F00EE6">
        <w:rPr>
          <w:rFonts w:ascii="NewBaskerville" w:hAnsi="NewBaskerville"/>
          <w:bCs/>
          <w:lang w:val="es-ES"/>
        </w:rPr>
        <w:t xml:space="preserve"> relativo a la obligación de pago de los costes soportados </w:t>
      </w:r>
      <w:r w:rsidR="008155BC" w:rsidRPr="00F00EE6">
        <w:rPr>
          <w:rFonts w:ascii="NewBaskerville" w:hAnsi="NewBaskerville"/>
          <w:bCs/>
          <w:lang w:val="es-ES"/>
        </w:rPr>
        <w:t>por</w:t>
      </w:r>
      <w:r w:rsidRPr="00F00EE6">
        <w:rPr>
          <w:rFonts w:ascii="NewBaskerville" w:hAnsi="NewBaskerville"/>
          <w:bCs/>
          <w:lang w:val="es-ES"/>
        </w:rPr>
        <w:t xml:space="preserve"> la UTE para la ejecución de un contrato de obras.</w:t>
      </w:r>
    </w:p>
    <w:p w:rsidR="00514E88" w:rsidRPr="00F00EE6" w:rsidRDefault="00514E88" w:rsidP="00F00EE6">
      <w:pPr>
        <w:tabs>
          <w:tab w:val="right" w:pos="8364"/>
        </w:tabs>
        <w:ind w:firstLine="567"/>
        <w:jc w:val="both"/>
        <w:rPr>
          <w:rFonts w:ascii="NewBaskerville" w:hAnsi="NewBaskerville"/>
          <w:bCs/>
          <w:lang w:val="es-ES"/>
        </w:rPr>
      </w:pPr>
    </w:p>
    <w:p w:rsidR="00514E88" w:rsidRPr="00F00EE6" w:rsidRDefault="00514E88" w:rsidP="00F00EE6">
      <w:pPr>
        <w:tabs>
          <w:tab w:val="right" w:pos="8364"/>
        </w:tabs>
        <w:ind w:firstLine="567"/>
        <w:jc w:val="both"/>
        <w:rPr>
          <w:rFonts w:ascii="NewBaskerville" w:hAnsi="NewBaskerville"/>
          <w:bCs/>
          <w:lang w:val="es-ES"/>
        </w:rPr>
      </w:pPr>
      <w:r w:rsidRPr="00F00EE6">
        <w:rPr>
          <w:rFonts w:ascii="NewBaskerville" w:hAnsi="NewBaskerville"/>
          <w:bCs/>
          <w:lang w:val="es-ES"/>
        </w:rPr>
        <w:t xml:space="preserve">De acuerdo con la </w:t>
      </w:r>
      <w:r w:rsidR="008155BC" w:rsidRPr="00F00EE6">
        <w:rPr>
          <w:rFonts w:ascii="NewBaskerville" w:hAnsi="NewBaskerville"/>
          <w:bCs/>
          <w:lang w:val="es-ES"/>
        </w:rPr>
        <w:t>demanda,</w:t>
      </w:r>
      <w:r w:rsidRPr="00F00EE6">
        <w:rPr>
          <w:rFonts w:ascii="NewBaskerville" w:hAnsi="NewBaskerville"/>
          <w:bCs/>
          <w:lang w:val="es-ES"/>
        </w:rPr>
        <w:t xml:space="preserve"> el importe total de los sobrecostes </w:t>
      </w:r>
      <w:r w:rsidR="008155BC" w:rsidRPr="00F00EE6">
        <w:rPr>
          <w:rFonts w:ascii="NewBaskerville" w:hAnsi="NewBaskerville"/>
          <w:bCs/>
          <w:lang w:val="es-ES"/>
        </w:rPr>
        <w:t>asciende</w:t>
      </w:r>
      <w:r w:rsidRPr="00F00EE6">
        <w:rPr>
          <w:rFonts w:ascii="NewBaskerville" w:hAnsi="NewBaskerville"/>
          <w:bCs/>
          <w:lang w:val="es-ES"/>
        </w:rPr>
        <w:t xml:space="preserve"> a 1.939.059,25</w:t>
      </w:r>
      <w:r w:rsidR="005A43D4">
        <w:rPr>
          <w:rFonts w:ascii="NewBaskerville" w:hAnsi="NewBaskerville"/>
          <w:bCs/>
          <w:lang w:val="es-ES"/>
        </w:rPr>
        <w:t xml:space="preserve"> euros</w:t>
      </w:r>
      <w:r w:rsidRPr="00F00EE6">
        <w:rPr>
          <w:rFonts w:ascii="NewBaskerville" w:hAnsi="NewBaskerville"/>
          <w:bCs/>
          <w:lang w:val="es-ES"/>
        </w:rPr>
        <w:t xml:space="preserve"> </w:t>
      </w:r>
      <w:r w:rsidR="008155BC" w:rsidRPr="00F00EE6">
        <w:rPr>
          <w:rFonts w:ascii="NewBaskerville" w:hAnsi="NewBaskerville"/>
          <w:bCs/>
          <w:lang w:val="es-ES"/>
        </w:rPr>
        <w:t>correspondiendo</w:t>
      </w:r>
      <w:r w:rsidRPr="00F00EE6">
        <w:rPr>
          <w:rFonts w:ascii="NewBaskerville" w:hAnsi="NewBaskerville"/>
          <w:bCs/>
          <w:lang w:val="es-ES"/>
        </w:rPr>
        <w:t xml:space="preserve"> a costes directos por la obra </w:t>
      </w:r>
      <w:r w:rsidR="008155BC" w:rsidRPr="00F00EE6">
        <w:rPr>
          <w:rFonts w:ascii="NewBaskerville" w:hAnsi="NewBaskerville"/>
          <w:bCs/>
          <w:lang w:val="es-ES"/>
        </w:rPr>
        <w:t>ejecutada</w:t>
      </w:r>
      <w:r w:rsidRPr="00F00EE6">
        <w:rPr>
          <w:rFonts w:ascii="NewBaskerville" w:hAnsi="NewBaskerville"/>
          <w:bCs/>
          <w:lang w:val="es-ES"/>
        </w:rPr>
        <w:t xml:space="preserve"> y no abonada,  indemnización por diversos conceptos imputables a la APB e indemnización por retraso en el pago de las certificaciones de obra. </w:t>
      </w:r>
    </w:p>
    <w:p w:rsidR="00514E88" w:rsidRPr="00F00EE6" w:rsidRDefault="00514E88" w:rsidP="00F00EE6">
      <w:pPr>
        <w:tabs>
          <w:tab w:val="right" w:pos="8364"/>
        </w:tabs>
        <w:ind w:firstLine="567"/>
        <w:jc w:val="both"/>
        <w:rPr>
          <w:rFonts w:ascii="NewBaskerville" w:hAnsi="NewBaskerville"/>
          <w:bCs/>
          <w:lang w:val="es-ES"/>
        </w:rPr>
      </w:pPr>
    </w:p>
    <w:p w:rsidR="000C25EF" w:rsidRPr="004070B0" w:rsidRDefault="00514E88" w:rsidP="004070B0">
      <w:pPr>
        <w:tabs>
          <w:tab w:val="right" w:pos="8364"/>
        </w:tabs>
        <w:ind w:firstLine="567"/>
        <w:jc w:val="both"/>
        <w:rPr>
          <w:bCs/>
          <w:lang w:val="es-ES"/>
        </w:rPr>
      </w:pPr>
      <w:r w:rsidRPr="00F00EE6">
        <w:rPr>
          <w:rFonts w:ascii="NewBaskerville" w:hAnsi="NewBaskerville"/>
          <w:bCs/>
          <w:lang w:val="es-ES"/>
        </w:rPr>
        <w:t xml:space="preserve">La </w:t>
      </w:r>
      <w:r w:rsidR="002A504D">
        <w:rPr>
          <w:rFonts w:ascii="NewBaskerville" w:hAnsi="NewBaskerville"/>
          <w:bCs/>
          <w:lang w:val="es-ES"/>
        </w:rPr>
        <w:t>E</w:t>
      </w:r>
      <w:r w:rsidRPr="00F00EE6">
        <w:rPr>
          <w:rFonts w:ascii="NewBaskerville" w:hAnsi="NewBaskerville"/>
          <w:bCs/>
          <w:lang w:val="es-ES"/>
        </w:rPr>
        <w:t xml:space="preserve">ntidad no estando de acuerdo con el importe de la totalidad de la indemnización </w:t>
      </w:r>
      <w:r w:rsidR="004070B0">
        <w:rPr>
          <w:rFonts w:ascii="NewBaskerville" w:hAnsi="NewBaskerville"/>
          <w:bCs/>
          <w:lang w:val="es-ES"/>
        </w:rPr>
        <w:t>reclamada dotó una provisión en el ejercicio 2018 y 2021 que a 31/12/202</w:t>
      </w:r>
      <w:r w:rsidR="00D72C3A">
        <w:rPr>
          <w:rFonts w:ascii="NewBaskerville" w:hAnsi="NewBaskerville"/>
          <w:bCs/>
          <w:lang w:val="es-ES"/>
        </w:rPr>
        <w:t>3</w:t>
      </w:r>
      <w:r w:rsidR="004070B0">
        <w:rPr>
          <w:rFonts w:ascii="NewBaskerville" w:hAnsi="NewBaskerville"/>
          <w:bCs/>
          <w:lang w:val="es-ES"/>
        </w:rPr>
        <w:t xml:space="preserve"> asciende a 1.</w:t>
      </w:r>
      <w:r w:rsidR="00D72C3A">
        <w:rPr>
          <w:rFonts w:ascii="NewBaskerville" w:hAnsi="NewBaskerville"/>
          <w:bCs/>
          <w:lang w:val="es-ES"/>
        </w:rPr>
        <w:t>257</w:t>
      </w:r>
      <w:r w:rsidR="004070B0">
        <w:rPr>
          <w:rFonts w:ascii="NewBaskerville" w:hAnsi="NewBaskerville"/>
          <w:bCs/>
          <w:lang w:val="es-ES"/>
        </w:rPr>
        <w:t>.</w:t>
      </w:r>
      <w:r w:rsidR="00D72C3A">
        <w:rPr>
          <w:rFonts w:ascii="NewBaskerville" w:hAnsi="NewBaskerville"/>
          <w:bCs/>
          <w:lang w:val="es-ES"/>
        </w:rPr>
        <w:t>597</w:t>
      </w:r>
      <w:r w:rsidR="004070B0">
        <w:rPr>
          <w:rFonts w:ascii="NewBaskerville" w:hAnsi="NewBaskerville"/>
          <w:bCs/>
          <w:lang w:val="es-ES"/>
        </w:rPr>
        <w:t>,</w:t>
      </w:r>
      <w:r w:rsidR="00D72C3A">
        <w:rPr>
          <w:rFonts w:ascii="NewBaskerville" w:hAnsi="NewBaskerville"/>
          <w:bCs/>
          <w:lang w:val="es-ES"/>
        </w:rPr>
        <w:t>8</w:t>
      </w:r>
      <w:r w:rsidR="00B30744">
        <w:rPr>
          <w:rFonts w:ascii="NewBaskerville" w:hAnsi="NewBaskerville"/>
          <w:bCs/>
          <w:lang w:val="es-ES"/>
        </w:rPr>
        <w:t>2</w:t>
      </w:r>
      <w:r w:rsidR="004070B0">
        <w:rPr>
          <w:rFonts w:ascii="NewBaskerville" w:hAnsi="NewBaskerville"/>
          <w:bCs/>
          <w:lang w:val="es-ES"/>
        </w:rPr>
        <w:t xml:space="preserve"> </w:t>
      </w:r>
      <w:r w:rsidR="005A43D4">
        <w:rPr>
          <w:rFonts w:ascii="NewBaskerville" w:hAnsi="NewBaskerville"/>
          <w:bCs/>
          <w:lang w:val="es-ES"/>
        </w:rPr>
        <w:t>euros</w:t>
      </w:r>
      <w:r w:rsidR="004070B0">
        <w:rPr>
          <w:rFonts w:ascii="NewBaskerville" w:hAnsi="NewBaskerville"/>
          <w:bCs/>
          <w:lang w:val="es-ES"/>
        </w:rPr>
        <w:t>, en el ejercicio 202</w:t>
      </w:r>
      <w:r w:rsidR="00D72C3A">
        <w:rPr>
          <w:rFonts w:ascii="NewBaskerville" w:hAnsi="NewBaskerville"/>
          <w:bCs/>
          <w:lang w:val="es-ES"/>
        </w:rPr>
        <w:t>3</w:t>
      </w:r>
      <w:r w:rsidR="004070B0">
        <w:rPr>
          <w:rFonts w:ascii="NewBaskerville" w:hAnsi="NewBaskerville"/>
          <w:bCs/>
          <w:lang w:val="es-ES"/>
        </w:rPr>
        <w:t xml:space="preserve"> se ha actualizado financieramente en 3</w:t>
      </w:r>
      <w:r w:rsidR="00D72C3A">
        <w:rPr>
          <w:rFonts w:ascii="NewBaskerville" w:hAnsi="NewBaskerville"/>
          <w:bCs/>
          <w:lang w:val="es-ES"/>
        </w:rPr>
        <w:t>5</w:t>
      </w:r>
      <w:r w:rsidR="004070B0">
        <w:rPr>
          <w:rFonts w:ascii="NewBaskerville" w:hAnsi="NewBaskerville"/>
          <w:bCs/>
          <w:lang w:val="es-ES"/>
        </w:rPr>
        <w:t>.</w:t>
      </w:r>
      <w:r w:rsidR="00D72C3A">
        <w:rPr>
          <w:rFonts w:ascii="NewBaskerville" w:hAnsi="NewBaskerville"/>
          <w:bCs/>
          <w:lang w:val="es-ES"/>
        </w:rPr>
        <w:t>604</w:t>
      </w:r>
      <w:r w:rsidR="004070B0">
        <w:rPr>
          <w:rFonts w:ascii="NewBaskerville" w:hAnsi="NewBaskerville"/>
          <w:bCs/>
          <w:lang w:val="es-ES"/>
        </w:rPr>
        <w:t>,</w:t>
      </w:r>
      <w:r w:rsidR="00D72C3A">
        <w:rPr>
          <w:rFonts w:ascii="NewBaskerville" w:hAnsi="NewBaskerville"/>
          <w:bCs/>
          <w:lang w:val="es-ES"/>
        </w:rPr>
        <w:t>1</w:t>
      </w:r>
      <w:r w:rsidR="00412FBA">
        <w:rPr>
          <w:rFonts w:ascii="NewBaskerville" w:hAnsi="NewBaskerville"/>
          <w:bCs/>
          <w:lang w:val="es-ES"/>
        </w:rPr>
        <w:t>8</w:t>
      </w:r>
      <w:r w:rsidR="004070B0">
        <w:rPr>
          <w:rFonts w:ascii="NewBaskerville" w:hAnsi="NewBaskerville"/>
          <w:bCs/>
          <w:lang w:val="es-ES"/>
        </w:rPr>
        <w:t xml:space="preserve"> </w:t>
      </w:r>
      <w:r w:rsidR="005A43D4">
        <w:rPr>
          <w:rFonts w:ascii="NewBaskerville" w:hAnsi="NewBaskerville"/>
          <w:bCs/>
          <w:lang w:val="es-ES"/>
        </w:rPr>
        <w:t>euros</w:t>
      </w:r>
      <w:r w:rsidR="004070B0">
        <w:rPr>
          <w:bCs/>
          <w:lang w:val="es-ES"/>
        </w:rPr>
        <w:t>.</w:t>
      </w:r>
    </w:p>
    <w:p w:rsidR="00475B03" w:rsidRDefault="00475B03" w:rsidP="00514E88">
      <w:pPr>
        <w:tabs>
          <w:tab w:val="right" w:pos="8364"/>
        </w:tabs>
        <w:ind w:left="567"/>
        <w:jc w:val="both"/>
        <w:rPr>
          <w:bCs/>
          <w:lang w:val="es-ES"/>
        </w:rPr>
      </w:pPr>
    </w:p>
    <w:p w:rsidR="00514E88" w:rsidRPr="005A43D4" w:rsidRDefault="008155BC" w:rsidP="00514E88">
      <w:pPr>
        <w:numPr>
          <w:ilvl w:val="0"/>
          <w:numId w:val="2"/>
        </w:numPr>
        <w:tabs>
          <w:tab w:val="right" w:pos="8364"/>
        </w:tabs>
        <w:jc w:val="both"/>
        <w:rPr>
          <w:rFonts w:ascii="NewBaskerville" w:hAnsi="NewBaskerville"/>
          <w:bCs/>
          <w:u w:val="single"/>
        </w:rPr>
      </w:pPr>
      <w:r w:rsidRPr="005A43D4">
        <w:rPr>
          <w:rFonts w:ascii="NewBaskerville" w:hAnsi="NewBaskerville"/>
          <w:bCs/>
          <w:u w:val="single"/>
          <w:lang w:val="es-ES"/>
        </w:rPr>
        <w:t>Indemnización</w:t>
      </w:r>
      <w:r w:rsidR="00514E88" w:rsidRPr="005A43D4">
        <w:rPr>
          <w:rFonts w:ascii="NewBaskerville" w:hAnsi="NewBaskerville"/>
          <w:bCs/>
          <w:u w:val="single"/>
          <w:lang w:val="es-ES"/>
        </w:rPr>
        <w:t xml:space="preserve"> procedimientos administrativo  EM-720</w:t>
      </w:r>
    </w:p>
    <w:p w:rsidR="00536F43" w:rsidRPr="005C285D" w:rsidRDefault="00536F43" w:rsidP="00536F43">
      <w:pPr>
        <w:tabs>
          <w:tab w:val="right" w:pos="8364"/>
        </w:tabs>
        <w:ind w:left="360"/>
        <w:jc w:val="both"/>
        <w:rPr>
          <w:bCs/>
          <w:u w:val="single"/>
        </w:rPr>
      </w:pPr>
    </w:p>
    <w:p w:rsidR="00514E88" w:rsidRDefault="00514E88" w:rsidP="005A43D4">
      <w:pPr>
        <w:tabs>
          <w:tab w:val="right" w:pos="8364"/>
        </w:tabs>
        <w:ind w:firstLine="567"/>
        <w:jc w:val="both"/>
        <w:rPr>
          <w:rFonts w:ascii="NewBaskerville" w:hAnsi="NewBaskerville"/>
          <w:bCs/>
        </w:rPr>
      </w:pPr>
      <w:r w:rsidRPr="005A43D4">
        <w:rPr>
          <w:rFonts w:ascii="NewBaskerville" w:hAnsi="NewBaskerville"/>
          <w:bCs/>
        </w:rPr>
        <w:t>En fecha</w:t>
      </w:r>
      <w:r w:rsidR="00634FB6" w:rsidRPr="005A43D4">
        <w:rPr>
          <w:rFonts w:ascii="NewBaskerville" w:hAnsi="NewBaskerville"/>
          <w:bCs/>
        </w:rPr>
        <w:t xml:space="preserve"> 31 de marzo de 2017 el Tribuna</w:t>
      </w:r>
      <w:r w:rsidRPr="005A43D4">
        <w:rPr>
          <w:rFonts w:ascii="NewBaskerville" w:hAnsi="NewBaskerville"/>
          <w:bCs/>
        </w:rPr>
        <w:t>l Superior de Just</w:t>
      </w:r>
      <w:r w:rsidR="0019446E" w:rsidRPr="005A43D4">
        <w:rPr>
          <w:rFonts w:ascii="NewBaskerville" w:hAnsi="NewBaskerville"/>
          <w:bCs/>
        </w:rPr>
        <w:t>icia de les Illes Balears, anuló</w:t>
      </w:r>
      <w:r w:rsidRPr="005A43D4">
        <w:rPr>
          <w:rFonts w:ascii="NewBaskerville" w:hAnsi="NewBaskerville"/>
          <w:bCs/>
        </w:rPr>
        <w:t xml:space="preserve"> la </w:t>
      </w:r>
      <w:r w:rsidR="008155BC" w:rsidRPr="005A43D4">
        <w:rPr>
          <w:rFonts w:ascii="NewBaskerville" w:hAnsi="NewBaskerville"/>
          <w:bCs/>
        </w:rPr>
        <w:t>Resolución</w:t>
      </w:r>
      <w:r w:rsidRPr="005A43D4">
        <w:rPr>
          <w:rFonts w:ascii="NewBaskerville" w:hAnsi="NewBaskerville"/>
          <w:bCs/>
        </w:rPr>
        <w:t xml:space="preserve"> de 22 de enero de 2015 del Consejo de </w:t>
      </w:r>
      <w:r w:rsidR="008155BC" w:rsidRPr="005A43D4">
        <w:rPr>
          <w:rFonts w:ascii="NewBaskerville" w:hAnsi="NewBaskerville"/>
          <w:bCs/>
        </w:rPr>
        <w:t>Administración</w:t>
      </w:r>
      <w:r w:rsidRPr="005A43D4">
        <w:rPr>
          <w:rFonts w:ascii="NewBaskerville" w:hAnsi="NewBaskerville"/>
          <w:bCs/>
        </w:rPr>
        <w:t xml:space="preserve"> de la AP</w:t>
      </w:r>
      <w:r w:rsidR="00F36DF9">
        <w:rPr>
          <w:rFonts w:ascii="NewBaskerville" w:hAnsi="NewBaskerville"/>
          <w:bCs/>
        </w:rPr>
        <w:t>B</w:t>
      </w:r>
      <w:r w:rsidRPr="005A43D4">
        <w:rPr>
          <w:rFonts w:ascii="NewBaskerville" w:hAnsi="NewBaskerville"/>
          <w:bCs/>
        </w:rPr>
        <w:t xml:space="preserve"> por lo que se aprobaron los pliegos del concurso </w:t>
      </w:r>
      <w:r w:rsidR="008155BC" w:rsidRPr="005A43D4">
        <w:rPr>
          <w:rFonts w:ascii="NewBaskerville" w:hAnsi="NewBaskerville"/>
          <w:bCs/>
        </w:rPr>
        <w:t>público</w:t>
      </w:r>
      <w:r w:rsidRPr="005A43D4">
        <w:rPr>
          <w:rFonts w:ascii="NewBaskerville" w:hAnsi="NewBaskerville"/>
          <w:bCs/>
        </w:rPr>
        <w:t xml:space="preserve"> para el otorgamiento de la concesión </w:t>
      </w:r>
      <w:r w:rsidR="00DC264F" w:rsidRPr="005A43D4">
        <w:rPr>
          <w:rFonts w:ascii="NewBaskerville" w:hAnsi="NewBaskerville"/>
          <w:bCs/>
        </w:rPr>
        <w:t xml:space="preserve">de </w:t>
      </w:r>
      <w:r w:rsidRPr="005A43D4">
        <w:rPr>
          <w:rFonts w:ascii="NewBaskerville" w:hAnsi="NewBaskerville"/>
          <w:bCs/>
        </w:rPr>
        <w:t xml:space="preserve">la gestión de los puestos de amarre en la </w:t>
      </w:r>
      <w:r w:rsidR="008155BC" w:rsidRPr="005A43D4">
        <w:rPr>
          <w:rFonts w:ascii="NewBaskerville" w:hAnsi="NewBaskerville"/>
          <w:bCs/>
        </w:rPr>
        <w:t>Dársena</w:t>
      </w:r>
      <w:r w:rsidRPr="005A43D4">
        <w:rPr>
          <w:rFonts w:ascii="NewBaskerville" w:hAnsi="NewBaskerville"/>
          <w:bCs/>
        </w:rPr>
        <w:t xml:space="preserve"> del antiguo </w:t>
      </w:r>
      <w:r w:rsidR="008155BC" w:rsidRPr="005A43D4">
        <w:rPr>
          <w:rFonts w:ascii="NewBaskerville" w:hAnsi="NewBaskerville"/>
          <w:bCs/>
        </w:rPr>
        <w:t>Polígono</w:t>
      </w:r>
      <w:r w:rsidRPr="005A43D4">
        <w:rPr>
          <w:rFonts w:ascii="NewBaskerville" w:hAnsi="NewBaskerville"/>
          <w:bCs/>
        </w:rPr>
        <w:t xml:space="preserve"> Naval, en el Puerto de </w:t>
      </w:r>
      <w:proofErr w:type="spellStart"/>
      <w:r w:rsidRPr="005A43D4">
        <w:rPr>
          <w:rFonts w:ascii="NewBaskerville" w:hAnsi="NewBaskerville"/>
          <w:bCs/>
        </w:rPr>
        <w:t>Alc</w:t>
      </w:r>
      <w:r w:rsidR="00A861CC">
        <w:rPr>
          <w:rFonts w:ascii="NewBaskerville" w:hAnsi="NewBaskerville"/>
          <w:bCs/>
        </w:rPr>
        <w:t>ú</w:t>
      </w:r>
      <w:r w:rsidRPr="005A43D4">
        <w:rPr>
          <w:rFonts w:ascii="NewBaskerville" w:hAnsi="NewBaskerville"/>
          <w:bCs/>
        </w:rPr>
        <w:t>dia</w:t>
      </w:r>
      <w:proofErr w:type="spellEnd"/>
      <w:r w:rsidRPr="005A43D4">
        <w:rPr>
          <w:rFonts w:ascii="NewBaskerville" w:hAnsi="NewBaskerville"/>
          <w:bCs/>
        </w:rPr>
        <w:t xml:space="preserve"> (EM-720), por lo que la entidad </w:t>
      </w:r>
      <w:r w:rsidR="00F36DF9">
        <w:rPr>
          <w:rFonts w:ascii="NewBaskerville" w:hAnsi="NewBaskerville"/>
          <w:bCs/>
        </w:rPr>
        <w:t xml:space="preserve">estimó </w:t>
      </w:r>
      <w:r w:rsidRPr="005A43D4">
        <w:rPr>
          <w:rFonts w:ascii="NewBaskerville" w:hAnsi="NewBaskerville"/>
          <w:bCs/>
        </w:rPr>
        <w:t>do</w:t>
      </w:r>
      <w:r w:rsidR="00F36DF9">
        <w:rPr>
          <w:rFonts w:ascii="NewBaskerville" w:hAnsi="NewBaskerville"/>
          <w:bCs/>
        </w:rPr>
        <w:t>tar una provisión 2018</w:t>
      </w:r>
      <w:r w:rsidRPr="005A43D4">
        <w:rPr>
          <w:rFonts w:ascii="NewBaskerville" w:hAnsi="NewBaskerville"/>
          <w:bCs/>
        </w:rPr>
        <w:t xml:space="preserve"> </w:t>
      </w:r>
      <w:r w:rsidR="00F36DF9">
        <w:rPr>
          <w:rFonts w:ascii="NewBaskerville" w:hAnsi="NewBaskerville"/>
          <w:bCs/>
        </w:rPr>
        <w:t>por el posible importe de la</w:t>
      </w:r>
      <w:r w:rsidRPr="005A43D4">
        <w:rPr>
          <w:rFonts w:ascii="NewBaskerville" w:hAnsi="NewBaskerville"/>
          <w:bCs/>
        </w:rPr>
        <w:t xml:space="preserve"> indemnización</w:t>
      </w:r>
      <w:r w:rsidR="00F36DF9">
        <w:rPr>
          <w:rFonts w:ascii="NewBaskerville" w:hAnsi="NewBaskerville"/>
          <w:bCs/>
        </w:rPr>
        <w:t>. A fecha de 31/12/202</w:t>
      </w:r>
      <w:r w:rsidR="002D6449">
        <w:rPr>
          <w:rFonts w:ascii="NewBaskerville" w:hAnsi="NewBaskerville"/>
          <w:bCs/>
        </w:rPr>
        <w:t>3</w:t>
      </w:r>
      <w:r w:rsidR="00F36DF9">
        <w:rPr>
          <w:rFonts w:ascii="NewBaskerville" w:hAnsi="NewBaskerville"/>
          <w:bCs/>
        </w:rPr>
        <w:t xml:space="preserve"> dicha provisión asciende a 8</w:t>
      </w:r>
      <w:r w:rsidR="002D6449">
        <w:rPr>
          <w:rFonts w:ascii="NewBaskerville" w:hAnsi="NewBaskerville"/>
          <w:bCs/>
        </w:rPr>
        <w:t>64</w:t>
      </w:r>
      <w:r w:rsidR="00F36DF9">
        <w:rPr>
          <w:rFonts w:ascii="NewBaskerville" w:hAnsi="NewBaskerville"/>
          <w:bCs/>
        </w:rPr>
        <w:t>.</w:t>
      </w:r>
      <w:r w:rsidR="002D6449">
        <w:rPr>
          <w:rFonts w:ascii="NewBaskerville" w:hAnsi="NewBaskerville"/>
          <w:bCs/>
        </w:rPr>
        <w:t>375</w:t>
      </w:r>
      <w:r w:rsidR="00F36DF9">
        <w:rPr>
          <w:rFonts w:ascii="NewBaskerville" w:hAnsi="NewBaskerville"/>
          <w:bCs/>
        </w:rPr>
        <w:t>,00 euros, en el ejercicio 202</w:t>
      </w:r>
      <w:r w:rsidR="002D6449">
        <w:rPr>
          <w:rFonts w:ascii="NewBaskerville" w:hAnsi="NewBaskerville"/>
          <w:bCs/>
        </w:rPr>
        <w:t>3</w:t>
      </w:r>
      <w:r w:rsidR="00F36DF9">
        <w:rPr>
          <w:rFonts w:ascii="NewBaskerville" w:hAnsi="NewBaskerville"/>
          <w:bCs/>
        </w:rPr>
        <w:t xml:space="preserve"> se ha actualizado financieramente en 2</w:t>
      </w:r>
      <w:r w:rsidR="002D6449">
        <w:rPr>
          <w:rFonts w:ascii="NewBaskerville" w:hAnsi="NewBaskerville"/>
          <w:bCs/>
        </w:rPr>
        <w:t>4</w:t>
      </w:r>
      <w:r w:rsidR="00F36DF9">
        <w:rPr>
          <w:rFonts w:ascii="NewBaskerville" w:hAnsi="NewBaskerville"/>
          <w:bCs/>
        </w:rPr>
        <w:t>.</w:t>
      </w:r>
      <w:r w:rsidR="002D6449">
        <w:rPr>
          <w:rFonts w:ascii="NewBaskerville" w:hAnsi="NewBaskerville"/>
          <w:bCs/>
        </w:rPr>
        <w:t>375</w:t>
      </w:r>
      <w:r w:rsidR="00F36DF9">
        <w:rPr>
          <w:rFonts w:ascii="NewBaskerville" w:hAnsi="NewBaskerville"/>
          <w:bCs/>
        </w:rPr>
        <w:t>,00 euros.</w:t>
      </w:r>
    </w:p>
    <w:p w:rsidR="00521595" w:rsidRDefault="00521595" w:rsidP="005A43D4">
      <w:pPr>
        <w:tabs>
          <w:tab w:val="right" w:pos="8364"/>
        </w:tabs>
        <w:ind w:firstLine="567"/>
        <w:jc w:val="both"/>
        <w:rPr>
          <w:rFonts w:ascii="NewBaskerville" w:hAnsi="NewBaskerville"/>
          <w:bCs/>
        </w:rPr>
      </w:pPr>
    </w:p>
    <w:p w:rsidR="00521595" w:rsidRPr="00521595" w:rsidRDefault="00521595" w:rsidP="00521595">
      <w:pPr>
        <w:numPr>
          <w:ilvl w:val="0"/>
          <w:numId w:val="2"/>
        </w:numPr>
        <w:tabs>
          <w:tab w:val="right" w:pos="8364"/>
        </w:tabs>
        <w:jc w:val="both"/>
        <w:rPr>
          <w:rFonts w:ascii="NewBaskerville" w:hAnsi="NewBaskerville"/>
          <w:bCs/>
          <w:u w:val="single"/>
        </w:rPr>
      </w:pPr>
      <w:r>
        <w:rPr>
          <w:rFonts w:ascii="NewBaskerville" w:hAnsi="NewBaskerville"/>
          <w:bCs/>
          <w:u w:val="single"/>
          <w:lang w:val="es-ES"/>
        </w:rPr>
        <w:t>Reclamación “SERVEIS MARÍTIMS PORT D’EIVISSA”</w:t>
      </w:r>
    </w:p>
    <w:p w:rsidR="00521595" w:rsidRDefault="00521595" w:rsidP="00521595">
      <w:pPr>
        <w:tabs>
          <w:tab w:val="right" w:pos="8364"/>
        </w:tabs>
        <w:jc w:val="both"/>
        <w:rPr>
          <w:rFonts w:ascii="NewBaskerville" w:hAnsi="NewBaskerville"/>
          <w:bCs/>
          <w:u w:val="single"/>
          <w:lang w:val="es-ES"/>
        </w:rPr>
      </w:pPr>
    </w:p>
    <w:p w:rsidR="00521595" w:rsidRDefault="00521595" w:rsidP="00521595">
      <w:pPr>
        <w:tabs>
          <w:tab w:val="right" w:pos="8364"/>
        </w:tabs>
        <w:ind w:firstLine="567"/>
        <w:jc w:val="both"/>
        <w:rPr>
          <w:rFonts w:ascii="NewBaskerville" w:hAnsi="NewBaskerville"/>
          <w:bCs/>
          <w:lang w:val="es-ES"/>
        </w:rPr>
      </w:pPr>
      <w:r>
        <w:rPr>
          <w:rFonts w:ascii="NewBaskerville" w:hAnsi="NewBaskerville"/>
          <w:bCs/>
          <w:lang w:val="es-ES"/>
        </w:rPr>
        <w:lastRenderedPageBreak/>
        <w:t>Con fecha de 18 de noviembre de 2022 se recibió resolución del Tribunal Económico Administrativo Central acordando la anulación de una serie de tasas liquidadas por la APB</w:t>
      </w:r>
      <w:r w:rsidR="007D28FE">
        <w:rPr>
          <w:rFonts w:ascii="NewBaskerville" w:hAnsi="NewBaskerville"/>
          <w:bCs/>
          <w:lang w:val="es-ES"/>
        </w:rPr>
        <w:t xml:space="preserve">, y la </w:t>
      </w:r>
      <w:r w:rsidR="003F24D6">
        <w:rPr>
          <w:rFonts w:ascii="NewBaskerville" w:hAnsi="NewBaskerville"/>
          <w:bCs/>
          <w:lang w:val="es-ES"/>
        </w:rPr>
        <w:t>imposibilidad</w:t>
      </w:r>
      <w:r w:rsidR="007D28FE">
        <w:rPr>
          <w:rFonts w:ascii="NewBaskerville" w:hAnsi="NewBaskerville"/>
          <w:bCs/>
          <w:lang w:val="es-ES"/>
        </w:rPr>
        <w:t xml:space="preserve"> de volver a practicar las liquidaciones impugnadas que dicha </w:t>
      </w:r>
      <w:r w:rsidR="00A861CC">
        <w:rPr>
          <w:rFonts w:ascii="NewBaskerville" w:hAnsi="NewBaskerville"/>
          <w:bCs/>
          <w:lang w:val="es-ES"/>
        </w:rPr>
        <w:t>resolución había anulado. Motivó</w:t>
      </w:r>
      <w:r w:rsidR="007D28FE">
        <w:rPr>
          <w:rFonts w:ascii="NewBaskerville" w:hAnsi="NewBaskerville"/>
          <w:bCs/>
          <w:lang w:val="es-ES"/>
        </w:rPr>
        <w:t xml:space="preserve"> el Tribunal al haberse declarado por segunda vez la invalidez de la actuación administrativa por la misma causa.</w:t>
      </w:r>
    </w:p>
    <w:p w:rsidR="007D28FE" w:rsidRDefault="007D28FE" w:rsidP="00521595">
      <w:pPr>
        <w:tabs>
          <w:tab w:val="right" w:pos="8364"/>
        </w:tabs>
        <w:ind w:firstLine="567"/>
        <w:jc w:val="both"/>
        <w:rPr>
          <w:rFonts w:ascii="NewBaskerville" w:hAnsi="NewBaskerville"/>
          <w:bCs/>
          <w:lang w:val="es-ES"/>
        </w:rPr>
      </w:pPr>
      <w:r>
        <w:rPr>
          <w:rFonts w:ascii="NewBaskerville" w:hAnsi="NewBaskerville"/>
          <w:bCs/>
          <w:lang w:val="es-ES"/>
        </w:rPr>
        <w:t xml:space="preserve">La APB en fecha 23/12/2022 presentó recurso contencioso-administrativo contra la resolución del Tribunal Económico Administrativo Central </w:t>
      </w:r>
      <w:r w:rsidR="007D0C22">
        <w:rPr>
          <w:rFonts w:ascii="NewBaskerville" w:hAnsi="NewBaskerville"/>
          <w:bCs/>
          <w:lang w:val="es-ES"/>
        </w:rPr>
        <w:t>ante la Sala de lo Contencioso-Administrativo de la Audiencia Nacional.</w:t>
      </w:r>
    </w:p>
    <w:p w:rsidR="007D0C22" w:rsidRPr="00521595" w:rsidRDefault="007D0C22" w:rsidP="00521595">
      <w:pPr>
        <w:tabs>
          <w:tab w:val="right" w:pos="8364"/>
        </w:tabs>
        <w:ind w:firstLine="567"/>
        <w:jc w:val="both"/>
        <w:rPr>
          <w:rFonts w:ascii="NewBaskerville" w:hAnsi="NewBaskerville"/>
          <w:bCs/>
        </w:rPr>
      </w:pPr>
      <w:r>
        <w:rPr>
          <w:rFonts w:ascii="NewBaskerville" w:hAnsi="NewBaskerville"/>
          <w:bCs/>
          <w:lang w:val="es-ES"/>
        </w:rPr>
        <w:t xml:space="preserve">La Entidad </w:t>
      </w:r>
      <w:r w:rsidR="002D6449">
        <w:rPr>
          <w:rFonts w:ascii="NewBaskerville" w:hAnsi="NewBaskerville"/>
          <w:bCs/>
          <w:lang w:val="es-ES"/>
        </w:rPr>
        <w:t>estimó</w:t>
      </w:r>
      <w:r>
        <w:rPr>
          <w:rFonts w:ascii="NewBaskerville" w:hAnsi="NewBaskerville"/>
          <w:bCs/>
          <w:lang w:val="es-ES"/>
        </w:rPr>
        <w:t xml:space="preserve"> dotar en el ejercicio 2022 una provisión por el importe de las liquidaciones anuladas</w:t>
      </w:r>
      <w:r w:rsidR="002D6449">
        <w:rPr>
          <w:rFonts w:ascii="NewBaskerville" w:hAnsi="NewBaskerville"/>
          <w:bCs/>
          <w:lang w:val="es-ES"/>
        </w:rPr>
        <w:t>, el importe a fecha de 31/12/2023 asciende a</w:t>
      </w:r>
      <w:r>
        <w:rPr>
          <w:rFonts w:ascii="NewBaskerville" w:hAnsi="NewBaskerville"/>
          <w:bCs/>
          <w:lang w:val="es-ES"/>
        </w:rPr>
        <w:t xml:space="preserve"> 6.</w:t>
      </w:r>
      <w:r w:rsidR="002D6449">
        <w:rPr>
          <w:rFonts w:ascii="NewBaskerville" w:hAnsi="NewBaskerville"/>
          <w:bCs/>
          <w:lang w:val="es-ES"/>
        </w:rPr>
        <w:t>466</w:t>
      </w:r>
      <w:r>
        <w:rPr>
          <w:rFonts w:ascii="NewBaskerville" w:hAnsi="NewBaskerville"/>
          <w:bCs/>
          <w:lang w:val="es-ES"/>
        </w:rPr>
        <w:t>.</w:t>
      </w:r>
      <w:r w:rsidR="002D6449">
        <w:rPr>
          <w:rFonts w:ascii="NewBaskerville" w:hAnsi="NewBaskerville"/>
          <w:bCs/>
          <w:lang w:val="es-ES"/>
        </w:rPr>
        <w:t>537</w:t>
      </w:r>
      <w:r>
        <w:rPr>
          <w:rFonts w:ascii="NewBaskerville" w:hAnsi="NewBaskerville"/>
          <w:bCs/>
          <w:lang w:val="es-ES"/>
        </w:rPr>
        <w:t>,</w:t>
      </w:r>
      <w:r w:rsidR="002D6449">
        <w:rPr>
          <w:rFonts w:ascii="NewBaskerville" w:hAnsi="NewBaskerville"/>
          <w:bCs/>
          <w:lang w:val="es-ES"/>
        </w:rPr>
        <w:t>82 euros, en el ejercicio 2023 se ha actualizado financieramente en 252.447,42 euros.</w:t>
      </w:r>
    </w:p>
    <w:p w:rsidR="00521595" w:rsidRDefault="00521595" w:rsidP="005A43D4">
      <w:pPr>
        <w:tabs>
          <w:tab w:val="right" w:pos="8364"/>
        </w:tabs>
        <w:ind w:firstLine="567"/>
        <w:jc w:val="both"/>
        <w:rPr>
          <w:rFonts w:ascii="NewBaskerville" w:hAnsi="NewBaskerville"/>
          <w:bCs/>
        </w:rPr>
      </w:pPr>
    </w:p>
    <w:p w:rsidR="00713E2B" w:rsidRPr="00713E2B" w:rsidRDefault="00713E2B" w:rsidP="00713E2B">
      <w:pPr>
        <w:numPr>
          <w:ilvl w:val="0"/>
          <w:numId w:val="2"/>
        </w:numPr>
        <w:tabs>
          <w:tab w:val="right" w:pos="8364"/>
        </w:tabs>
        <w:jc w:val="both"/>
        <w:rPr>
          <w:rFonts w:ascii="NewBaskerville" w:hAnsi="NewBaskerville"/>
          <w:bCs/>
          <w:u w:val="single"/>
        </w:rPr>
      </w:pPr>
      <w:r>
        <w:rPr>
          <w:rFonts w:ascii="NewBaskerville" w:hAnsi="NewBaskerville"/>
          <w:bCs/>
          <w:u w:val="single"/>
          <w:lang w:val="es-ES"/>
        </w:rPr>
        <w:t>Proceso “COMPAÑÍA LOGÍSTICA DE HIDROCARBUROS”</w:t>
      </w:r>
    </w:p>
    <w:p w:rsidR="00713E2B" w:rsidRDefault="00713E2B" w:rsidP="00713E2B">
      <w:pPr>
        <w:tabs>
          <w:tab w:val="right" w:pos="8364"/>
        </w:tabs>
        <w:ind w:left="360"/>
        <w:jc w:val="both"/>
        <w:rPr>
          <w:rFonts w:ascii="NewBaskerville" w:hAnsi="NewBaskerville"/>
          <w:bCs/>
          <w:u w:val="single"/>
          <w:lang w:val="es-ES"/>
        </w:rPr>
      </w:pPr>
    </w:p>
    <w:p w:rsidR="00713E2B" w:rsidRDefault="00713E2B" w:rsidP="00713E2B">
      <w:pPr>
        <w:tabs>
          <w:tab w:val="right" w:pos="8364"/>
        </w:tabs>
        <w:ind w:firstLine="567"/>
        <w:jc w:val="both"/>
        <w:rPr>
          <w:rFonts w:ascii="NewBaskerville" w:hAnsi="NewBaskerville"/>
          <w:bCs/>
          <w:lang w:val="es-ES"/>
        </w:rPr>
      </w:pPr>
      <w:r>
        <w:rPr>
          <w:rFonts w:ascii="NewBaskerville" w:hAnsi="NewBaskerville"/>
          <w:bCs/>
          <w:lang w:val="es-ES"/>
        </w:rPr>
        <w:t>En fecha 24/10/2018 la COMPAÑÍA LOGÍSTICA DE HIDROCARBUROS S.A. presentó Reclamación de Respons</w:t>
      </w:r>
      <w:r w:rsidR="001208BE">
        <w:rPr>
          <w:rFonts w:ascii="NewBaskerville" w:hAnsi="NewBaskerville"/>
          <w:bCs/>
          <w:lang w:val="es-ES"/>
        </w:rPr>
        <w:t>a</w:t>
      </w:r>
      <w:r>
        <w:rPr>
          <w:rFonts w:ascii="NewBaskerville" w:hAnsi="NewBaskerville"/>
          <w:bCs/>
          <w:lang w:val="es-ES"/>
        </w:rPr>
        <w:t>bilidad Patrimonial ante la APB</w:t>
      </w:r>
      <w:r w:rsidR="00D771F9">
        <w:rPr>
          <w:rFonts w:ascii="NewBaskerville" w:hAnsi="NewBaskerville"/>
          <w:bCs/>
          <w:lang w:val="es-ES"/>
        </w:rPr>
        <w:t xml:space="preserve"> en la que solicitaba que se le indemnizara por el importe derivado de la aplicación a los servicios de remolque recibidos, de unas tarifas por la prestación de dichos servicios que sufrieron un incremento sustancial, aprobadas por la APB, y que el Tribunal Superior de Justicia de les Illes Balears primero y Tribunal Supremo después, consideraron como no justificadas. </w:t>
      </w:r>
    </w:p>
    <w:p w:rsidR="00546952" w:rsidRDefault="00546952" w:rsidP="00713E2B">
      <w:pPr>
        <w:tabs>
          <w:tab w:val="right" w:pos="8364"/>
        </w:tabs>
        <w:ind w:firstLine="567"/>
        <w:jc w:val="both"/>
        <w:rPr>
          <w:rFonts w:ascii="NewBaskerville" w:hAnsi="NewBaskerville"/>
          <w:bCs/>
          <w:lang w:val="es-ES"/>
        </w:rPr>
      </w:pPr>
    </w:p>
    <w:p w:rsidR="00546952" w:rsidRDefault="00546952" w:rsidP="00713E2B">
      <w:pPr>
        <w:tabs>
          <w:tab w:val="right" w:pos="8364"/>
        </w:tabs>
        <w:ind w:firstLine="567"/>
        <w:jc w:val="both"/>
        <w:rPr>
          <w:rFonts w:ascii="NewBaskerville" w:hAnsi="NewBaskerville"/>
          <w:bCs/>
          <w:lang w:val="es-ES"/>
        </w:rPr>
      </w:pPr>
      <w:r>
        <w:rPr>
          <w:rFonts w:ascii="NewBaskerville" w:hAnsi="NewBaskerville"/>
          <w:bCs/>
          <w:lang w:val="es-ES"/>
        </w:rPr>
        <w:t xml:space="preserve">No estando de acuerdo con la estimación </w:t>
      </w:r>
      <w:r w:rsidR="003F24D6">
        <w:rPr>
          <w:rFonts w:ascii="NewBaskerville" w:hAnsi="NewBaskerville"/>
          <w:bCs/>
          <w:lang w:val="es-ES"/>
        </w:rPr>
        <w:t>parcial</w:t>
      </w:r>
      <w:r>
        <w:rPr>
          <w:rFonts w:ascii="NewBaskerville" w:hAnsi="NewBaskerville"/>
          <w:bCs/>
          <w:lang w:val="es-ES"/>
        </w:rPr>
        <w:t xml:space="preserve"> de la Reclamación de Responsabilidad Patrimonial, la recurrente formalizó demanda ante la Sala de lo Contencioso </w:t>
      </w:r>
      <w:r w:rsidR="003F24D6">
        <w:rPr>
          <w:rFonts w:ascii="NewBaskerville" w:hAnsi="NewBaskerville"/>
          <w:bCs/>
          <w:lang w:val="es-ES"/>
        </w:rPr>
        <w:t>Administrativo</w:t>
      </w:r>
      <w:r>
        <w:rPr>
          <w:rFonts w:ascii="NewBaskerville" w:hAnsi="NewBaskerville"/>
          <w:bCs/>
          <w:lang w:val="es-ES"/>
        </w:rPr>
        <w:t xml:space="preserve"> del Tribunal Superior de Justicia de les Illes Balears.</w:t>
      </w:r>
    </w:p>
    <w:p w:rsidR="00546952" w:rsidRDefault="00546952" w:rsidP="00713E2B">
      <w:pPr>
        <w:tabs>
          <w:tab w:val="right" w:pos="8364"/>
        </w:tabs>
        <w:ind w:firstLine="567"/>
        <w:jc w:val="both"/>
        <w:rPr>
          <w:rFonts w:ascii="NewBaskerville" w:hAnsi="NewBaskerville"/>
          <w:bCs/>
          <w:lang w:val="es-ES"/>
        </w:rPr>
      </w:pPr>
    </w:p>
    <w:p w:rsidR="00546952" w:rsidRPr="00713E2B" w:rsidRDefault="00C94BEE" w:rsidP="00713E2B">
      <w:pPr>
        <w:tabs>
          <w:tab w:val="right" w:pos="8364"/>
        </w:tabs>
        <w:ind w:firstLine="567"/>
        <w:jc w:val="both"/>
        <w:rPr>
          <w:rFonts w:ascii="NewBaskerville" w:hAnsi="NewBaskerville"/>
          <w:bCs/>
        </w:rPr>
      </w:pPr>
      <w:r>
        <w:rPr>
          <w:rFonts w:ascii="NewBaskerville" w:hAnsi="NewBaskerville"/>
          <w:bCs/>
          <w:lang w:val="es-ES"/>
        </w:rPr>
        <w:t>La APB estimó</w:t>
      </w:r>
      <w:r w:rsidR="00546952">
        <w:rPr>
          <w:rFonts w:ascii="NewBaskerville" w:hAnsi="NewBaskerville"/>
          <w:bCs/>
          <w:lang w:val="es-ES"/>
        </w:rPr>
        <w:t xml:space="preserve"> dotar una provisión en el ejercicio 2022 por importe de la reclamación que </w:t>
      </w:r>
      <w:r>
        <w:rPr>
          <w:rFonts w:ascii="NewBaskerville" w:hAnsi="NewBaskerville"/>
          <w:bCs/>
          <w:lang w:val="es-ES"/>
        </w:rPr>
        <w:t xml:space="preserve">a fecha de 31/12/2023 </w:t>
      </w:r>
      <w:r w:rsidR="00546952">
        <w:rPr>
          <w:rFonts w:ascii="NewBaskerville" w:hAnsi="NewBaskerville"/>
          <w:bCs/>
          <w:lang w:val="es-ES"/>
        </w:rPr>
        <w:t>asciende a 1.</w:t>
      </w:r>
      <w:r>
        <w:rPr>
          <w:rFonts w:ascii="NewBaskerville" w:hAnsi="NewBaskerville"/>
          <w:bCs/>
          <w:lang w:val="es-ES"/>
        </w:rPr>
        <w:t>410</w:t>
      </w:r>
      <w:r w:rsidR="00546952">
        <w:rPr>
          <w:rFonts w:ascii="NewBaskerville" w:hAnsi="NewBaskerville"/>
          <w:bCs/>
          <w:lang w:val="es-ES"/>
        </w:rPr>
        <w:t>.</w:t>
      </w:r>
      <w:r>
        <w:rPr>
          <w:rFonts w:ascii="NewBaskerville" w:hAnsi="NewBaskerville"/>
          <w:bCs/>
          <w:lang w:val="es-ES"/>
        </w:rPr>
        <w:t>780</w:t>
      </w:r>
      <w:r w:rsidR="00546952">
        <w:rPr>
          <w:rFonts w:ascii="NewBaskerville" w:hAnsi="NewBaskerville"/>
          <w:bCs/>
          <w:lang w:val="es-ES"/>
        </w:rPr>
        <w:t>,</w:t>
      </w:r>
      <w:r>
        <w:rPr>
          <w:rFonts w:ascii="NewBaskerville" w:hAnsi="NewBaskerville"/>
          <w:bCs/>
          <w:lang w:val="es-ES"/>
        </w:rPr>
        <w:t>68</w:t>
      </w:r>
      <w:r w:rsidR="00546952">
        <w:rPr>
          <w:rFonts w:ascii="NewBaskerville" w:hAnsi="NewBaskerville"/>
          <w:bCs/>
          <w:lang w:val="es-ES"/>
        </w:rPr>
        <w:t xml:space="preserve"> euros</w:t>
      </w:r>
      <w:r>
        <w:rPr>
          <w:rFonts w:ascii="NewBaskerville" w:hAnsi="NewBaskerville"/>
          <w:bCs/>
          <w:lang w:val="es-ES"/>
        </w:rPr>
        <w:t>, en el ejercicio 2023 se ha actualizado financieramente en 44.407,14 euros.</w:t>
      </w:r>
    </w:p>
    <w:p w:rsidR="00514E88" w:rsidRDefault="00514E88" w:rsidP="00514E88">
      <w:pPr>
        <w:pStyle w:val="Prrafodelista"/>
        <w:jc w:val="both"/>
        <w:rPr>
          <w:bCs/>
        </w:rPr>
      </w:pPr>
    </w:p>
    <w:p w:rsidR="00514E88" w:rsidRPr="00546952" w:rsidRDefault="007B662C" w:rsidP="00514E88">
      <w:pPr>
        <w:numPr>
          <w:ilvl w:val="0"/>
          <w:numId w:val="2"/>
        </w:numPr>
        <w:tabs>
          <w:tab w:val="right" w:pos="8364"/>
        </w:tabs>
        <w:jc w:val="both"/>
        <w:rPr>
          <w:rFonts w:ascii="NewBaskerville" w:hAnsi="NewBaskerville"/>
          <w:bCs/>
          <w:u w:val="single"/>
        </w:rPr>
      </w:pPr>
      <w:r w:rsidRPr="00546952">
        <w:rPr>
          <w:rFonts w:ascii="NewBaskerville" w:hAnsi="NewBaskerville"/>
          <w:bCs/>
          <w:u w:val="single"/>
        </w:rPr>
        <w:t>Convenio Ayuntamiento de Palma</w:t>
      </w:r>
    </w:p>
    <w:p w:rsidR="007B662C" w:rsidRPr="007B662C" w:rsidRDefault="007B662C" w:rsidP="007B662C">
      <w:pPr>
        <w:tabs>
          <w:tab w:val="right" w:pos="8364"/>
        </w:tabs>
        <w:jc w:val="both"/>
        <w:rPr>
          <w:bCs/>
        </w:rPr>
      </w:pPr>
    </w:p>
    <w:p w:rsidR="00514E88" w:rsidRPr="00546952" w:rsidRDefault="007B662C" w:rsidP="00546952">
      <w:pPr>
        <w:tabs>
          <w:tab w:val="right" w:pos="8364"/>
        </w:tabs>
        <w:ind w:firstLine="567"/>
        <w:jc w:val="both"/>
        <w:rPr>
          <w:rFonts w:ascii="NewBaskerville" w:hAnsi="NewBaskerville"/>
          <w:bCs/>
        </w:rPr>
      </w:pPr>
      <w:r w:rsidRPr="00546952">
        <w:rPr>
          <w:rFonts w:ascii="NewBaskerville" w:hAnsi="NewBaskerville"/>
          <w:bCs/>
        </w:rPr>
        <w:t xml:space="preserve">El </w:t>
      </w:r>
      <w:r w:rsidR="00546952">
        <w:rPr>
          <w:rFonts w:ascii="NewBaskerville" w:hAnsi="NewBaskerville"/>
          <w:bCs/>
        </w:rPr>
        <w:t>17 de diciembre de 2020 se firmó</w:t>
      </w:r>
      <w:r w:rsidRPr="00546952">
        <w:rPr>
          <w:rFonts w:ascii="NewBaskerville" w:hAnsi="NewBaskerville"/>
          <w:bCs/>
        </w:rPr>
        <w:t xml:space="preserve"> un convenio entre el Ayuntamiento de Palma y la APB para la gestión de servicios en la explotación del Paseo Marítimo Gabriel Roca. A partir de la entrada en </w:t>
      </w:r>
      <w:r w:rsidR="00747953" w:rsidRPr="00546952">
        <w:rPr>
          <w:rFonts w:ascii="NewBaskerville" w:hAnsi="NewBaskerville"/>
          <w:bCs/>
        </w:rPr>
        <w:t xml:space="preserve">vigor de dicho Convenio, </w:t>
      </w:r>
      <w:r w:rsidR="003F24D6" w:rsidRPr="00546952">
        <w:rPr>
          <w:rFonts w:ascii="NewBaskerville" w:hAnsi="NewBaskerville"/>
          <w:bCs/>
        </w:rPr>
        <w:t>el</w:t>
      </w:r>
      <w:r w:rsidR="00747953" w:rsidRPr="00546952">
        <w:rPr>
          <w:rFonts w:ascii="NewBaskerville" w:hAnsi="NewBaskerville"/>
          <w:bCs/>
        </w:rPr>
        <w:t xml:space="preserve"> Ayuntamiento de Palma </w:t>
      </w:r>
      <w:r w:rsidRPr="00546952">
        <w:rPr>
          <w:rFonts w:ascii="NewBaskerville" w:hAnsi="NewBaskerville"/>
          <w:bCs/>
        </w:rPr>
        <w:t>se encargará del mantenimiento, la conservación y la gestión de todos los elementos comprendidos en la</w:t>
      </w:r>
      <w:r w:rsidR="00747953" w:rsidRPr="00546952">
        <w:rPr>
          <w:rFonts w:ascii="NewBaskerville" w:hAnsi="NewBaskerville"/>
          <w:bCs/>
        </w:rPr>
        <w:t xml:space="preserve"> zona del Paseo Marítimo de titu</w:t>
      </w:r>
      <w:r w:rsidRPr="00546952">
        <w:rPr>
          <w:rFonts w:ascii="NewBaskerville" w:hAnsi="NewBaskerville"/>
          <w:bCs/>
        </w:rPr>
        <w:t>laridad patrimonial de la AP</w:t>
      </w:r>
      <w:r w:rsidR="002E445F">
        <w:rPr>
          <w:rFonts w:ascii="NewBaskerville" w:hAnsi="NewBaskerville"/>
          <w:bCs/>
        </w:rPr>
        <w:t>B</w:t>
      </w:r>
      <w:r w:rsidRPr="00546952">
        <w:rPr>
          <w:rFonts w:ascii="NewBaskerville" w:hAnsi="NewBaskerville"/>
          <w:bCs/>
        </w:rPr>
        <w:t>. Estos costes fueron valorados inicialmente en 1.046.006,84 euros anuales. Al cierre de ejercicio queda</w:t>
      </w:r>
      <w:r w:rsidR="00465399">
        <w:rPr>
          <w:rFonts w:ascii="NewBaskerville" w:hAnsi="NewBaskerville"/>
          <w:bCs/>
        </w:rPr>
        <w:t>n</w:t>
      </w:r>
      <w:r w:rsidRPr="00546952">
        <w:rPr>
          <w:rFonts w:ascii="NewBaskerville" w:hAnsi="NewBaskerville"/>
          <w:bCs/>
        </w:rPr>
        <w:t xml:space="preserve"> pendiente</w:t>
      </w:r>
      <w:r w:rsidR="002E445F">
        <w:rPr>
          <w:rFonts w:ascii="NewBaskerville" w:hAnsi="NewBaskerville"/>
          <w:bCs/>
        </w:rPr>
        <w:t>s</w:t>
      </w:r>
      <w:r w:rsidRPr="00546952">
        <w:rPr>
          <w:rFonts w:ascii="NewBaskerville" w:hAnsi="NewBaskerville"/>
          <w:bCs/>
        </w:rPr>
        <w:t xml:space="preserve"> </w:t>
      </w:r>
      <w:r w:rsidR="002E445F">
        <w:rPr>
          <w:rFonts w:ascii="NewBaskerville" w:hAnsi="NewBaskerville"/>
          <w:bCs/>
        </w:rPr>
        <w:t>de</w:t>
      </w:r>
      <w:r w:rsidRPr="00546952">
        <w:rPr>
          <w:rFonts w:ascii="NewBaskerville" w:hAnsi="NewBaskerville"/>
          <w:bCs/>
        </w:rPr>
        <w:t xml:space="preserve"> pago</w:t>
      </w:r>
      <w:r w:rsidR="00546952">
        <w:rPr>
          <w:rFonts w:ascii="NewBaskerville" w:hAnsi="NewBaskerville"/>
          <w:bCs/>
        </w:rPr>
        <w:t>, o compensación,</w:t>
      </w:r>
      <w:r w:rsidRPr="00546952">
        <w:rPr>
          <w:rFonts w:ascii="NewBaskerville" w:hAnsi="NewBaskerville"/>
          <w:bCs/>
        </w:rPr>
        <w:t xml:space="preserve"> la</w:t>
      </w:r>
      <w:r w:rsidR="002E445F">
        <w:rPr>
          <w:rFonts w:ascii="NewBaskerville" w:hAnsi="NewBaskerville"/>
          <w:bCs/>
        </w:rPr>
        <w:t>s aportaciones</w:t>
      </w:r>
      <w:r w:rsidRPr="00546952">
        <w:rPr>
          <w:rFonts w:ascii="NewBaskerville" w:hAnsi="NewBaskerville"/>
          <w:bCs/>
        </w:rPr>
        <w:t xml:space="preserve"> del 2021</w:t>
      </w:r>
      <w:r w:rsidR="00B52FCE">
        <w:rPr>
          <w:rFonts w:ascii="NewBaskerville" w:hAnsi="NewBaskerville"/>
          <w:bCs/>
        </w:rPr>
        <w:t>,</w:t>
      </w:r>
      <w:r w:rsidR="002E445F">
        <w:rPr>
          <w:rFonts w:ascii="NewBaskerville" w:hAnsi="NewBaskerville"/>
          <w:bCs/>
        </w:rPr>
        <w:t xml:space="preserve"> 2022</w:t>
      </w:r>
      <w:r w:rsidR="00B52FCE">
        <w:rPr>
          <w:rFonts w:ascii="NewBaskerville" w:hAnsi="NewBaskerville"/>
          <w:bCs/>
        </w:rPr>
        <w:t xml:space="preserve"> y 2023</w:t>
      </w:r>
      <w:r w:rsidRPr="00546952">
        <w:rPr>
          <w:rFonts w:ascii="NewBaskerville" w:hAnsi="NewBaskerville"/>
          <w:bCs/>
        </w:rPr>
        <w:t xml:space="preserve"> </w:t>
      </w:r>
      <w:r w:rsidR="002E445F">
        <w:rPr>
          <w:rFonts w:ascii="NewBaskerville" w:hAnsi="NewBaskerville"/>
          <w:bCs/>
        </w:rPr>
        <w:t>por lo que se ha estimado reconoce</w:t>
      </w:r>
      <w:r w:rsidR="00B52FCE">
        <w:rPr>
          <w:rFonts w:ascii="NewBaskerville" w:hAnsi="NewBaskerville"/>
          <w:bCs/>
        </w:rPr>
        <w:t>r una provisión que a 31/12/2023</w:t>
      </w:r>
      <w:r w:rsidR="002E445F">
        <w:rPr>
          <w:rFonts w:ascii="NewBaskerville" w:hAnsi="NewBaskerville"/>
          <w:bCs/>
        </w:rPr>
        <w:t xml:space="preserve"> asciende a </w:t>
      </w:r>
      <w:r w:rsidR="00B52FCE">
        <w:rPr>
          <w:rFonts w:ascii="NewBaskerville" w:hAnsi="NewBaskerville"/>
          <w:bCs/>
        </w:rPr>
        <w:t>3</w:t>
      </w:r>
      <w:r w:rsidR="002E445F">
        <w:rPr>
          <w:rFonts w:ascii="NewBaskerville" w:hAnsi="NewBaskerville"/>
          <w:bCs/>
        </w:rPr>
        <w:t>.</w:t>
      </w:r>
      <w:r w:rsidR="00B52FCE">
        <w:rPr>
          <w:rFonts w:ascii="NewBaskerville" w:hAnsi="NewBaskerville"/>
          <w:bCs/>
        </w:rPr>
        <w:t>563</w:t>
      </w:r>
      <w:r w:rsidR="002E445F">
        <w:rPr>
          <w:rFonts w:ascii="NewBaskerville" w:hAnsi="NewBaskerville"/>
          <w:bCs/>
        </w:rPr>
        <w:t>.</w:t>
      </w:r>
      <w:r w:rsidR="00B52FCE">
        <w:rPr>
          <w:rFonts w:ascii="NewBaskerville" w:hAnsi="NewBaskerville"/>
          <w:bCs/>
        </w:rPr>
        <w:t>434</w:t>
      </w:r>
      <w:r w:rsidR="002E445F">
        <w:rPr>
          <w:rFonts w:ascii="NewBaskerville" w:hAnsi="NewBaskerville"/>
          <w:bCs/>
        </w:rPr>
        <w:t>,</w:t>
      </w:r>
      <w:r w:rsidR="00B52FCE">
        <w:rPr>
          <w:rFonts w:ascii="NewBaskerville" w:hAnsi="NewBaskerville"/>
          <w:bCs/>
        </w:rPr>
        <w:t>66</w:t>
      </w:r>
      <w:r w:rsidR="002E445F">
        <w:rPr>
          <w:rFonts w:ascii="NewBaskerville" w:hAnsi="NewBaskerville"/>
          <w:bCs/>
        </w:rPr>
        <w:t xml:space="preserve"> euros, dotándose en </w:t>
      </w:r>
      <w:r w:rsidR="00B52FCE">
        <w:rPr>
          <w:rFonts w:ascii="NewBaskerville" w:hAnsi="NewBaskerville"/>
          <w:bCs/>
        </w:rPr>
        <w:t>el 2023</w:t>
      </w:r>
      <w:r w:rsidR="002E445F">
        <w:rPr>
          <w:rFonts w:ascii="NewBaskerville" w:hAnsi="NewBaskerville"/>
          <w:bCs/>
        </w:rPr>
        <w:t xml:space="preserve"> un importe de 1.</w:t>
      </w:r>
      <w:r w:rsidR="00B52FCE">
        <w:rPr>
          <w:rFonts w:ascii="NewBaskerville" w:hAnsi="NewBaskerville"/>
          <w:bCs/>
        </w:rPr>
        <w:t>471.420</w:t>
      </w:r>
      <w:r w:rsidR="002E445F">
        <w:rPr>
          <w:rFonts w:ascii="NewBaskerville" w:hAnsi="NewBaskerville"/>
          <w:bCs/>
        </w:rPr>
        <w:t>,</w:t>
      </w:r>
      <w:r w:rsidR="00B52FCE">
        <w:rPr>
          <w:rFonts w:ascii="NewBaskerville" w:hAnsi="NewBaskerville"/>
          <w:bCs/>
        </w:rPr>
        <w:t>98</w:t>
      </w:r>
      <w:r w:rsidR="002E445F">
        <w:rPr>
          <w:rFonts w:ascii="NewBaskerville" w:hAnsi="NewBaskerville"/>
          <w:bCs/>
        </w:rPr>
        <w:t xml:space="preserve"> euros</w:t>
      </w:r>
      <w:r w:rsidR="00465399">
        <w:rPr>
          <w:rFonts w:ascii="NewBaskerville" w:hAnsi="NewBaskerville"/>
          <w:bCs/>
        </w:rPr>
        <w:t>.</w:t>
      </w:r>
      <w:r w:rsidR="00B52FCE">
        <w:rPr>
          <w:rFonts w:ascii="NewBaskerville" w:hAnsi="NewBaskerville"/>
          <w:bCs/>
        </w:rPr>
        <w:t xml:space="preserve"> </w:t>
      </w:r>
      <w:r w:rsidR="00465399">
        <w:rPr>
          <w:rFonts w:ascii="NewBaskerville" w:hAnsi="NewBaskerville"/>
          <w:bCs/>
        </w:rPr>
        <w:t>I</w:t>
      </w:r>
      <w:r w:rsidR="00B52FCE">
        <w:rPr>
          <w:rFonts w:ascii="NewBaskerville" w:hAnsi="NewBaskerville"/>
          <w:bCs/>
        </w:rPr>
        <w:t>ncrementándose con respect</w:t>
      </w:r>
      <w:r w:rsidR="00465399">
        <w:rPr>
          <w:rFonts w:ascii="NewBaskerville" w:hAnsi="NewBaskerville"/>
          <w:bCs/>
        </w:rPr>
        <w:t>o a la valoración anual inicial en los costes reales del 2021 y 2022, pendientes de validar por la Comisión de Seguimiento</w:t>
      </w:r>
      <w:r w:rsidR="002E445F">
        <w:rPr>
          <w:rFonts w:ascii="NewBaskerville" w:hAnsi="NewBaskerville"/>
          <w:bCs/>
        </w:rPr>
        <w:t>. Esta provisión no se actualiza financieramente.</w:t>
      </w:r>
    </w:p>
    <w:p w:rsidR="00F5454C" w:rsidRPr="00536F43" w:rsidRDefault="00F5454C" w:rsidP="00536F43">
      <w:pPr>
        <w:tabs>
          <w:tab w:val="right" w:pos="8364"/>
        </w:tabs>
        <w:ind w:left="567"/>
        <w:jc w:val="both"/>
        <w:rPr>
          <w:bCs/>
        </w:rPr>
      </w:pPr>
    </w:p>
    <w:p w:rsidR="00357986" w:rsidRPr="002E445F" w:rsidRDefault="00357986" w:rsidP="00F5454C">
      <w:pPr>
        <w:numPr>
          <w:ilvl w:val="0"/>
          <w:numId w:val="2"/>
        </w:numPr>
        <w:tabs>
          <w:tab w:val="right" w:pos="8364"/>
        </w:tabs>
        <w:jc w:val="both"/>
        <w:rPr>
          <w:rFonts w:ascii="NewBaskerville" w:hAnsi="NewBaskerville"/>
          <w:bCs/>
          <w:u w:val="single"/>
        </w:rPr>
      </w:pPr>
      <w:r w:rsidRPr="002E445F">
        <w:rPr>
          <w:rFonts w:ascii="NewBaskerville" w:hAnsi="NewBaskerville"/>
          <w:bCs/>
          <w:u w:val="single"/>
        </w:rPr>
        <w:t>Otras provisiones</w:t>
      </w:r>
    </w:p>
    <w:p w:rsidR="00357986" w:rsidRDefault="00357986" w:rsidP="00357986">
      <w:pPr>
        <w:tabs>
          <w:tab w:val="right" w:pos="8364"/>
        </w:tabs>
        <w:ind w:left="720"/>
        <w:jc w:val="both"/>
        <w:rPr>
          <w:bCs/>
          <w:u w:val="single"/>
        </w:rPr>
      </w:pPr>
    </w:p>
    <w:p w:rsidR="00F5454C" w:rsidRPr="002E445F" w:rsidRDefault="0046402A" w:rsidP="00CC534B">
      <w:pPr>
        <w:tabs>
          <w:tab w:val="right" w:pos="8364"/>
        </w:tabs>
        <w:ind w:firstLine="567"/>
        <w:jc w:val="both"/>
        <w:rPr>
          <w:rFonts w:ascii="NewBaskerville" w:hAnsi="NewBaskerville"/>
          <w:bCs/>
          <w:u w:val="single"/>
        </w:rPr>
      </w:pPr>
      <w:r w:rsidRPr="002E445F">
        <w:rPr>
          <w:rFonts w:ascii="NewBaskerville" w:hAnsi="NewBaskerville"/>
          <w:bCs/>
          <w:u w:val="single"/>
        </w:rPr>
        <w:t>Provisión retribuciones al personal</w:t>
      </w:r>
    </w:p>
    <w:p w:rsidR="00F5454C" w:rsidRPr="002E445F" w:rsidRDefault="00F5454C" w:rsidP="00F5454C">
      <w:pPr>
        <w:tabs>
          <w:tab w:val="right" w:pos="8364"/>
        </w:tabs>
        <w:ind w:left="720"/>
        <w:jc w:val="both"/>
        <w:rPr>
          <w:rFonts w:ascii="NewBaskerville" w:hAnsi="NewBaskerville"/>
          <w:bCs/>
          <w:u w:val="single"/>
        </w:rPr>
      </w:pPr>
    </w:p>
    <w:p w:rsidR="00370D3A" w:rsidRDefault="00CC534B" w:rsidP="002E445F">
      <w:pPr>
        <w:tabs>
          <w:tab w:val="right" w:pos="8364"/>
        </w:tabs>
        <w:ind w:firstLine="567"/>
        <w:jc w:val="both"/>
        <w:rPr>
          <w:rFonts w:ascii="NewBaskerville" w:hAnsi="NewBaskerville"/>
          <w:bCs/>
        </w:rPr>
      </w:pPr>
      <w:r>
        <w:rPr>
          <w:rFonts w:ascii="NewBaskerville" w:hAnsi="NewBaskerville"/>
          <w:bCs/>
        </w:rPr>
        <w:t>En el ejercicio 2023 se ha aplicado el importe provisionado de 214.800,00 euros en relación a la r</w:t>
      </w:r>
      <w:r w:rsidR="0046402A" w:rsidRPr="002E445F">
        <w:rPr>
          <w:rFonts w:ascii="NewBaskerville" w:hAnsi="NewBaskerville"/>
          <w:bCs/>
        </w:rPr>
        <w:t>eclamación de indemnización de un trabajador de la APB por despido improcedente</w:t>
      </w:r>
      <w:r w:rsidR="00AE01D4" w:rsidRPr="002E445F">
        <w:rPr>
          <w:rFonts w:ascii="NewBaskerville" w:hAnsi="NewBaskerville"/>
          <w:bCs/>
        </w:rPr>
        <w:t xml:space="preserve"> (Juzgado de lo Social 3</w:t>
      </w:r>
      <w:r w:rsidR="00C76198" w:rsidRPr="002E445F">
        <w:rPr>
          <w:rFonts w:ascii="NewBaskerville" w:hAnsi="NewBaskerville"/>
          <w:bCs/>
        </w:rPr>
        <w:t xml:space="preserve"> de Palma de Mallorca 3/2019)</w:t>
      </w:r>
      <w:r w:rsidR="000C4583">
        <w:rPr>
          <w:rFonts w:ascii="NewBaskerville" w:hAnsi="NewBaskerville"/>
          <w:bCs/>
        </w:rPr>
        <w:t>.</w:t>
      </w:r>
    </w:p>
    <w:p w:rsidR="00CC534B" w:rsidRDefault="00CC534B" w:rsidP="002E445F">
      <w:pPr>
        <w:tabs>
          <w:tab w:val="right" w:pos="8364"/>
        </w:tabs>
        <w:ind w:firstLine="567"/>
        <w:jc w:val="both"/>
        <w:rPr>
          <w:rFonts w:ascii="NewBaskerville" w:hAnsi="NewBaskerville"/>
          <w:bCs/>
        </w:rPr>
      </w:pPr>
    </w:p>
    <w:p w:rsidR="00CC534B" w:rsidRDefault="00CC534B" w:rsidP="002E445F">
      <w:pPr>
        <w:tabs>
          <w:tab w:val="right" w:pos="8364"/>
        </w:tabs>
        <w:ind w:firstLine="567"/>
        <w:jc w:val="both"/>
        <w:rPr>
          <w:rFonts w:ascii="NewBaskerville" w:hAnsi="NewBaskerville"/>
          <w:bCs/>
        </w:rPr>
      </w:pPr>
      <w:r>
        <w:rPr>
          <w:rFonts w:ascii="NewBaskerville" w:hAnsi="NewBaskerville"/>
          <w:bCs/>
          <w:u w:val="single"/>
        </w:rPr>
        <w:t>Provisiones a corto plazo</w:t>
      </w:r>
    </w:p>
    <w:p w:rsidR="00CC534B" w:rsidRPr="00CC534B" w:rsidRDefault="00CC534B" w:rsidP="002E445F">
      <w:pPr>
        <w:tabs>
          <w:tab w:val="right" w:pos="8364"/>
        </w:tabs>
        <w:ind w:firstLine="567"/>
        <w:jc w:val="both"/>
        <w:rPr>
          <w:rFonts w:ascii="NewBaskerville" w:hAnsi="NewBaskerville"/>
          <w:bCs/>
        </w:rPr>
      </w:pPr>
    </w:p>
    <w:p w:rsidR="00CC534B" w:rsidRDefault="00CC534B" w:rsidP="002E445F">
      <w:pPr>
        <w:tabs>
          <w:tab w:val="right" w:pos="8364"/>
        </w:tabs>
        <w:ind w:firstLine="567"/>
        <w:jc w:val="both"/>
        <w:rPr>
          <w:rFonts w:ascii="NewBaskerville" w:hAnsi="NewBaskerville"/>
          <w:bCs/>
        </w:rPr>
      </w:pPr>
      <w:r>
        <w:rPr>
          <w:rFonts w:ascii="NewBaskerville" w:hAnsi="NewBaskerville"/>
          <w:bCs/>
        </w:rPr>
        <w:t>En el ejercicio 2023 se ha provisionado la cantidad de 63.685,10 euros como consecuencia de la efectiva aplicación del incremento salarial en un 0,5</w:t>
      </w:r>
      <w:r w:rsidR="00A65372">
        <w:rPr>
          <w:rFonts w:ascii="NewBaskerville" w:hAnsi="NewBaskerville"/>
          <w:bCs/>
        </w:rPr>
        <w:t>% al personal de la APB, con efectos del 01/01/2023 según la Ley 31/2022 de Presupuestos Generales del Estado para 2023.</w:t>
      </w:r>
    </w:p>
    <w:p w:rsidR="00A65372" w:rsidRDefault="00A65372" w:rsidP="002E445F">
      <w:pPr>
        <w:tabs>
          <w:tab w:val="right" w:pos="8364"/>
        </w:tabs>
        <w:ind w:firstLine="567"/>
        <w:jc w:val="both"/>
        <w:rPr>
          <w:rFonts w:ascii="NewBaskerville" w:hAnsi="NewBaskerville"/>
          <w:bCs/>
        </w:rPr>
      </w:pPr>
    </w:p>
    <w:p w:rsidR="00A65372" w:rsidRDefault="00A65372" w:rsidP="00A65372">
      <w:pPr>
        <w:numPr>
          <w:ilvl w:val="0"/>
          <w:numId w:val="2"/>
        </w:numPr>
        <w:tabs>
          <w:tab w:val="right" w:pos="8364"/>
        </w:tabs>
        <w:jc w:val="both"/>
        <w:rPr>
          <w:rFonts w:ascii="NewBaskerville" w:hAnsi="NewBaskerville"/>
          <w:bCs/>
          <w:u w:val="single"/>
        </w:rPr>
      </w:pPr>
      <w:r>
        <w:rPr>
          <w:rFonts w:ascii="NewBaskerville" w:hAnsi="NewBaskerville"/>
          <w:bCs/>
          <w:u w:val="single"/>
        </w:rPr>
        <w:t>Contingencias</w:t>
      </w:r>
    </w:p>
    <w:p w:rsidR="00A65372" w:rsidRDefault="00A65372" w:rsidP="00A65372">
      <w:pPr>
        <w:tabs>
          <w:tab w:val="right" w:pos="8364"/>
        </w:tabs>
        <w:ind w:left="720"/>
        <w:jc w:val="both"/>
        <w:rPr>
          <w:rFonts w:ascii="NewBaskerville" w:hAnsi="NewBaskerville"/>
          <w:bCs/>
          <w:u w:val="single"/>
        </w:rPr>
      </w:pPr>
    </w:p>
    <w:p w:rsidR="00A65372" w:rsidRDefault="00744A3B" w:rsidP="00A65372">
      <w:pPr>
        <w:tabs>
          <w:tab w:val="right" w:pos="8364"/>
        </w:tabs>
        <w:ind w:firstLine="567"/>
        <w:jc w:val="both"/>
        <w:rPr>
          <w:rFonts w:ascii="NewBaskerville" w:hAnsi="NewBaskerville"/>
          <w:bCs/>
        </w:rPr>
      </w:pPr>
      <w:r>
        <w:rPr>
          <w:rFonts w:ascii="NewBaskerville" w:hAnsi="NewBaskerville"/>
          <w:bCs/>
        </w:rPr>
        <w:t xml:space="preserve">La Comisión Negociadora del III Convenio Colectivo de Puertos del Estado y Autoridades Portuarias aprobó cantidades adicionales cada año para promociones y productividad, lo que supone en términos generales del Sistema Portuario un incremento del 1,64% anual de la masa salarial durante toda la vigencia del Convenio, hasta 2026. Debido a que el importe de esta obligación no puede valorarse con suficiente fiabilidad, no se ha dotado provisión. </w:t>
      </w:r>
    </w:p>
    <w:p w:rsidR="00C86371" w:rsidRDefault="00C86371" w:rsidP="00A65372">
      <w:pPr>
        <w:tabs>
          <w:tab w:val="right" w:pos="8364"/>
        </w:tabs>
        <w:ind w:firstLine="567"/>
        <w:jc w:val="both"/>
        <w:rPr>
          <w:rFonts w:ascii="NewBaskerville" w:hAnsi="NewBaskerville"/>
          <w:bCs/>
        </w:rPr>
      </w:pPr>
    </w:p>
    <w:p w:rsidR="00C86371" w:rsidRPr="00744A3B" w:rsidRDefault="001328BC" w:rsidP="00A65372">
      <w:pPr>
        <w:tabs>
          <w:tab w:val="right" w:pos="8364"/>
        </w:tabs>
        <w:ind w:firstLine="567"/>
        <w:jc w:val="both"/>
        <w:rPr>
          <w:rFonts w:ascii="NewBaskerville" w:hAnsi="NewBaskerville"/>
          <w:bCs/>
        </w:rPr>
      </w:pPr>
      <w:r>
        <w:rPr>
          <w:rFonts w:ascii="NewBaskerville" w:hAnsi="NewBaskerville"/>
          <w:bCs/>
        </w:rPr>
        <w:t>Existen en curso litigios y procesos judiciales</w:t>
      </w:r>
      <w:r w:rsidR="004208E0">
        <w:rPr>
          <w:rFonts w:ascii="NewBaskerville" w:hAnsi="NewBaskerville"/>
          <w:bCs/>
        </w:rPr>
        <w:t xml:space="preserve"> sin cantidad a reclamar a la APB</w:t>
      </w:r>
      <w:r>
        <w:rPr>
          <w:rFonts w:ascii="NewBaskerville" w:hAnsi="NewBaskerville"/>
          <w:bCs/>
        </w:rPr>
        <w:t xml:space="preserve"> </w:t>
      </w:r>
      <w:r w:rsidR="004208E0">
        <w:rPr>
          <w:rFonts w:ascii="NewBaskerville" w:hAnsi="NewBaskerville"/>
          <w:bCs/>
        </w:rPr>
        <w:t>que en función de su</w:t>
      </w:r>
      <w:r>
        <w:rPr>
          <w:rFonts w:ascii="NewBaskerville" w:hAnsi="NewBaskerville"/>
          <w:bCs/>
        </w:rPr>
        <w:t xml:space="preserve"> resolución</w:t>
      </w:r>
      <w:r w:rsidR="004208E0">
        <w:rPr>
          <w:rFonts w:ascii="NewBaskerville" w:hAnsi="NewBaskerville"/>
          <w:bCs/>
        </w:rPr>
        <w:t>,</w:t>
      </w:r>
      <w:r>
        <w:rPr>
          <w:rFonts w:ascii="NewBaskerville" w:hAnsi="NewBaskerville"/>
          <w:bCs/>
        </w:rPr>
        <w:t xml:space="preserve"> y sentido de </w:t>
      </w:r>
      <w:r w:rsidR="004208E0">
        <w:rPr>
          <w:rFonts w:ascii="NewBaskerville" w:hAnsi="NewBaskerville"/>
          <w:bCs/>
        </w:rPr>
        <w:t xml:space="preserve">las sentencias, podrían acarrear a la Entidad responsabilidades patrimoniales y civiles. Los importes de estas obligaciones no pueden valorarse con suficiente fiabilidad.  </w:t>
      </w:r>
    </w:p>
    <w:p w:rsidR="00CC534B" w:rsidRPr="002E445F" w:rsidRDefault="00CC534B" w:rsidP="002E445F">
      <w:pPr>
        <w:tabs>
          <w:tab w:val="right" w:pos="8364"/>
        </w:tabs>
        <w:ind w:firstLine="567"/>
        <w:jc w:val="both"/>
        <w:rPr>
          <w:rFonts w:ascii="NewBaskerville" w:hAnsi="NewBaskerville"/>
          <w:bCs/>
        </w:rPr>
      </w:pPr>
    </w:p>
    <w:p w:rsidR="00F5454C" w:rsidRDefault="00F5454C">
      <w:pPr>
        <w:pStyle w:val="Epgrafe"/>
        <w:ind w:left="567" w:hanging="567"/>
        <w:rPr>
          <w:bCs w:val="0"/>
          <w:sz w:val="24"/>
          <w:szCs w:val="24"/>
          <w:u w:val="none"/>
        </w:rPr>
      </w:pPr>
    </w:p>
    <w:p w:rsidR="000C4583" w:rsidRDefault="000C4583" w:rsidP="00357986">
      <w:pPr>
        <w:pStyle w:val="Sangra3detindependiente"/>
        <w:tabs>
          <w:tab w:val="clear" w:pos="5671"/>
          <w:tab w:val="clear" w:pos="7797"/>
          <w:tab w:val="right" w:pos="8364"/>
        </w:tabs>
        <w:rPr>
          <w:sz w:val="20"/>
          <w:szCs w:val="20"/>
        </w:rPr>
      </w:pPr>
    </w:p>
    <w:p w:rsidR="000C4583" w:rsidRDefault="000C4583" w:rsidP="00357986">
      <w:pPr>
        <w:pStyle w:val="Sangra3detindependiente"/>
        <w:tabs>
          <w:tab w:val="clear" w:pos="5671"/>
          <w:tab w:val="clear" w:pos="7797"/>
          <w:tab w:val="right" w:pos="8364"/>
        </w:tabs>
        <w:rPr>
          <w:sz w:val="20"/>
          <w:szCs w:val="20"/>
        </w:rPr>
      </w:pPr>
    </w:p>
    <w:p w:rsidR="00536F43" w:rsidRPr="00536F43" w:rsidRDefault="00536F43" w:rsidP="00536F43"/>
    <w:p w:rsidR="004555FE" w:rsidRDefault="004555FE">
      <w:pPr>
        <w:pStyle w:val="Epgrafe"/>
        <w:ind w:left="567" w:hanging="567"/>
        <w:rPr>
          <w:rFonts w:ascii="NewBaskerville" w:hAnsi="NewBaskerville"/>
          <w:bCs w:val="0"/>
          <w:sz w:val="24"/>
          <w:szCs w:val="24"/>
          <w:u w:val="none"/>
        </w:rPr>
      </w:pPr>
    </w:p>
    <w:p w:rsidR="004555FE" w:rsidRDefault="004555FE">
      <w:pPr>
        <w:pStyle w:val="Epgrafe"/>
        <w:ind w:left="567" w:hanging="567"/>
        <w:rPr>
          <w:rFonts w:ascii="NewBaskerville" w:hAnsi="NewBaskerville"/>
          <w:bCs w:val="0"/>
          <w:sz w:val="24"/>
          <w:szCs w:val="24"/>
          <w:u w:val="none"/>
        </w:rPr>
      </w:pPr>
    </w:p>
    <w:p w:rsidR="004555FE" w:rsidRDefault="004555FE">
      <w:pPr>
        <w:pStyle w:val="Epgrafe"/>
        <w:ind w:left="567" w:hanging="567"/>
        <w:rPr>
          <w:rFonts w:ascii="NewBaskerville" w:hAnsi="NewBaskerville"/>
          <w:bCs w:val="0"/>
          <w:sz w:val="24"/>
          <w:szCs w:val="24"/>
          <w:u w:val="none"/>
        </w:rPr>
      </w:pPr>
    </w:p>
    <w:p w:rsidR="004555FE" w:rsidRDefault="004555FE">
      <w:pPr>
        <w:pStyle w:val="Epgrafe"/>
        <w:ind w:left="567" w:hanging="567"/>
        <w:rPr>
          <w:rFonts w:ascii="NewBaskerville" w:hAnsi="NewBaskerville"/>
          <w:bCs w:val="0"/>
          <w:sz w:val="24"/>
          <w:szCs w:val="24"/>
          <w:u w:val="none"/>
        </w:rPr>
      </w:pPr>
    </w:p>
    <w:p w:rsidR="004555FE" w:rsidRDefault="004555FE">
      <w:pPr>
        <w:pStyle w:val="Epgrafe"/>
        <w:ind w:left="567" w:hanging="567"/>
        <w:rPr>
          <w:rFonts w:ascii="NewBaskerville" w:hAnsi="NewBaskerville"/>
          <w:bCs w:val="0"/>
          <w:sz w:val="24"/>
          <w:szCs w:val="24"/>
          <w:u w:val="none"/>
        </w:rPr>
      </w:pPr>
    </w:p>
    <w:p w:rsidR="004555FE" w:rsidRDefault="004555FE">
      <w:pPr>
        <w:pStyle w:val="Epgrafe"/>
        <w:ind w:left="567" w:hanging="567"/>
        <w:rPr>
          <w:rFonts w:ascii="NewBaskerville" w:hAnsi="NewBaskerville"/>
          <w:bCs w:val="0"/>
          <w:sz w:val="24"/>
          <w:szCs w:val="24"/>
          <w:u w:val="none"/>
        </w:rPr>
      </w:pPr>
    </w:p>
    <w:p w:rsidR="004555FE" w:rsidRDefault="004555FE">
      <w:pPr>
        <w:pStyle w:val="Epgrafe"/>
        <w:ind w:left="567" w:hanging="567"/>
        <w:rPr>
          <w:rFonts w:ascii="NewBaskerville" w:hAnsi="NewBaskerville"/>
          <w:bCs w:val="0"/>
          <w:sz w:val="24"/>
          <w:szCs w:val="24"/>
          <w:u w:val="none"/>
        </w:rPr>
      </w:pPr>
    </w:p>
    <w:p w:rsidR="004555FE" w:rsidRDefault="004555FE">
      <w:pPr>
        <w:pStyle w:val="Epgrafe"/>
        <w:ind w:left="567" w:hanging="567"/>
        <w:rPr>
          <w:rFonts w:ascii="NewBaskerville" w:hAnsi="NewBaskerville"/>
          <w:bCs w:val="0"/>
          <w:sz w:val="24"/>
          <w:szCs w:val="24"/>
          <w:u w:val="none"/>
        </w:rPr>
      </w:pPr>
    </w:p>
    <w:p w:rsidR="004555FE" w:rsidRDefault="004555FE">
      <w:pPr>
        <w:pStyle w:val="Epgrafe"/>
        <w:ind w:left="567" w:hanging="567"/>
        <w:rPr>
          <w:rFonts w:ascii="NewBaskerville" w:hAnsi="NewBaskerville"/>
          <w:bCs w:val="0"/>
          <w:sz w:val="24"/>
          <w:szCs w:val="24"/>
          <w:u w:val="none"/>
        </w:rPr>
      </w:pPr>
    </w:p>
    <w:p w:rsidR="004555FE" w:rsidRDefault="004555FE">
      <w:pPr>
        <w:pStyle w:val="Epgrafe"/>
        <w:ind w:left="567" w:hanging="567"/>
        <w:rPr>
          <w:rFonts w:ascii="NewBaskerville" w:hAnsi="NewBaskerville"/>
          <w:bCs w:val="0"/>
          <w:sz w:val="24"/>
          <w:szCs w:val="24"/>
          <w:u w:val="none"/>
        </w:rPr>
      </w:pPr>
    </w:p>
    <w:p w:rsidR="004555FE" w:rsidRDefault="004555FE">
      <w:pPr>
        <w:pStyle w:val="Epgrafe"/>
        <w:ind w:left="567" w:hanging="567"/>
        <w:rPr>
          <w:rFonts w:ascii="NewBaskerville" w:hAnsi="NewBaskerville"/>
          <w:bCs w:val="0"/>
          <w:sz w:val="24"/>
          <w:szCs w:val="24"/>
          <w:u w:val="none"/>
        </w:rPr>
      </w:pPr>
    </w:p>
    <w:p w:rsidR="004555FE" w:rsidRDefault="004555FE">
      <w:pPr>
        <w:pStyle w:val="Epgrafe"/>
        <w:ind w:left="567" w:hanging="567"/>
        <w:rPr>
          <w:rFonts w:ascii="NewBaskerville" w:hAnsi="NewBaskerville"/>
          <w:bCs w:val="0"/>
          <w:sz w:val="24"/>
          <w:szCs w:val="24"/>
          <w:u w:val="none"/>
        </w:rPr>
      </w:pPr>
    </w:p>
    <w:p w:rsidR="004555FE" w:rsidRDefault="004555FE">
      <w:pPr>
        <w:pStyle w:val="Epgrafe"/>
        <w:ind w:left="567" w:hanging="567"/>
        <w:rPr>
          <w:rFonts w:ascii="NewBaskerville" w:hAnsi="NewBaskerville"/>
          <w:bCs w:val="0"/>
          <w:sz w:val="24"/>
          <w:szCs w:val="24"/>
          <w:u w:val="none"/>
        </w:rPr>
      </w:pPr>
    </w:p>
    <w:p w:rsidR="004555FE" w:rsidRDefault="004555FE">
      <w:pPr>
        <w:pStyle w:val="Epgrafe"/>
        <w:ind w:left="567" w:hanging="567"/>
        <w:rPr>
          <w:rFonts w:ascii="NewBaskerville" w:hAnsi="NewBaskerville"/>
          <w:bCs w:val="0"/>
          <w:sz w:val="24"/>
          <w:szCs w:val="24"/>
          <w:u w:val="none"/>
        </w:rPr>
      </w:pPr>
    </w:p>
    <w:p w:rsidR="004555FE" w:rsidRDefault="004555FE">
      <w:pPr>
        <w:pStyle w:val="Epgrafe"/>
        <w:ind w:left="567" w:hanging="567"/>
        <w:rPr>
          <w:rFonts w:ascii="NewBaskerville" w:hAnsi="NewBaskerville"/>
          <w:bCs w:val="0"/>
          <w:sz w:val="24"/>
          <w:szCs w:val="24"/>
          <w:u w:val="none"/>
        </w:rPr>
      </w:pPr>
    </w:p>
    <w:p w:rsidR="004555FE" w:rsidRDefault="004555FE">
      <w:pPr>
        <w:pStyle w:val="Epgrafe"/>
        <w:ind w:left="567" w:hanging="567"/>
        <w:rPr>
          <w:rFonts w:ascii="NewBaskerville" w:hAnsi="NewBaskerville"/>
          <w:bCs w:val="0"/>
          <w:sz w:val="24"/>
          <w:szCs w:val="24"/>
          <w:u w:val="none"/>
        </w:rPr>
      </w:pPr>
    </w:p>
    <w:p w:rsidR="004555FE" w:rsidRDefault="004555FE">
      <w:pPr>
        <w:pStyle w:val="Epgrafe"/>
        <w:ind w:left="567" w:hanging="567"/>
        <w:rPr>
          <w:rFonts w:ascii="NewBaskerville" w:hAnsi="NewBaskerville"/>
          <w:bCs w:val="0"/>
          <w:sz w:val="24"/>
          <w:szCs w:val="24"/>
          <w:u w:val="none"/>
        </w:rPr>
      </w:pPr>
    </w:p>
    <w:p w:rsidR="004555FE" w:rsidRDefault="004555FE">
      <w:pPr>
        <w:pStyle w:val="Epgrafe"/>
        <w:ind w:left="567" w:hanging="567"/>
        <w:rPr>
          <w:rFonts w:ascii="NewBaskerville" w:hAnsi="NewBaskerville"/>
          <w:bCs w:val="0"/>
          <w:sz w:val="24"/>
          <w:szCs w:val="24"/>
          <w:u w:val="none"/>
        </w:rPr>
      </w:pPr>
    </w:p>
    <w:p w:rsidR="004555FE" w:rsidRDefault="004555FE">
      <w:pPr>
        <w:pStyle w:val="Epgrafe"/>
        <w:ind w:left="567" w:hanging="567"/>
        <w:rPr>
          <w:rFonts w:ascii="NewBaskerville" w:hAnsi="NewBaskerville"/>
          <w:bCs w:val="0"/>
          <w:sz w:val="24"/>
          <w:szCs w:val="24"/>
          <w:u w:val="none"/>
        </w:rPr>
      </w:pPr>
    </w:p>
    <w:p w:rsidR="004555FE" w:rsidRDefault="004555FE">
      <w:pPr>
        <w:pStyle w:val="Epgrafe"/>
        <w:ind w:left="567" w:hanging="567"/>
        <w:rPr>
          <w:rFonts w:ascii="NewBaskerville" w:hAnsi="NewBaskerville"/>
          <w:bCs w:val="0"/>
          <w:sz w:val="24"/>
          <w:szCs w:val="24"/>
          <w:u w:val="none"/>
        </w:rPr>
      </w:pPr>
    </w:p>
    <w:p w:rsidR="004555FE" w:rsidRDefault="004555FE">
      <w:pPr>
        <w:pStyle w:val="Epgrafe"/>
        <w:ind w:left="567" w:hanging="567"/>
        <w:rPr>
          <w:rFonts w:ascii="NewBaskerville" w:hAnsi="NewBaskerville"/>
          <w:bCs w:val="0"/>
          <w:sz w:val="24"/>
          <w:szCs w:val="24"/>
          <w:u w:val="none"/>
        </w:rPr>
        <w:sectPr w:rsidR="004555FE" w:rsidSect="00790C4F">
          <w:pgSz w:w="11907" w:h="16840" w:code="9"/>
          <w:pgMar w:top="1701" w:right="1418" w:bottom="1701" w:left="1985" w:header="567" w:footer="720" w:gutter="0"/>
          <w:cols w:space="720"/>
          <w:docGrid w:linePitch="272"/>
        </w:sectPr>
      </w:pPr>
    </w:p>
    <w:p w:rsidR="002C4355" w:rsidRPr="009D2993" w:rsidRDefault="002E417C">
      <w:pPr>
        <w:pStyle w:val="Epgrafe"/>
        <w:ind w:left="567" w:hanging="567"/>
        <w:rPr>
          <w:rFonts w:ascii="NewBaskerville" w:hAnsi="NewBaskerville"/>
          <w:bCs w:val="0"/>
          <w:sz w:val="24"/>
          <w:szCs w:val="24"/>
          <w:u w:val="none"/>
        </w:rPr>
      </w:pPr>
      <w:r w:rsidRPr="009D2993">
        <w:rPr>
          <w:rFonts w:ascii="NewBaskerville" w:hAnsi="NewBaskerville"/>
          <w:bCs w:val="0"/>
          <w:sz w:val="24"/>
          <w:szCs w:val="24"/>
          <w:u w:val="none"/>
        </w:rPr>
        <w:lastRenderedPageBreak/>
        <w:t>1</w:t>
      </w:r>
      <w:r w:rsidR="00F706A9" w:rsidRPr="009D2993">
        <w:rPr>
          <w:rFonts w:ascii="NewBaskerville" w:hAnsi="NewBaskerville"/>
          <w:bCs w:val="0"/>
          <w:sz w:val="24"/>
          <w:szCs w:val="24"/>
          <w:u w:val="none"/>
        </w:rPr>
        <w:t>1</w:t>
      </w:r>
      <w:r w:rsidR="00BF22FE" w:rsidRPr="009D2993">
        <w:rPr>
          <w:rFonts w:ascii="NewBaskerville" w:hAnsi="NewBaskerville"/>
          <w:bCs w:val="0"/>
          <w:sz w:val="24"/>
          <w:szCs w:val="24"/>
          <w:u w:val="none"/>
        </w:rPr>
        <w:t xml:space="preserve">. </w:t>
      </w:r>
      <w:r w:rsidR="002C4355" w:rsidRPr="009D2993">
        <w:rPr>
          <w:rFonts w:ascii="NewBaskerville" w:hAnsi="NewBaskerville"/>
          <w:bCs w:val="0"/>
          <w:sz w:val="24"/>
          <w:szCs w:val="24"/>
          <w:u w:val="none"/>
        </w:rPr>
        <w:t>Subvenciones, donaciones y legados</w:t>
      </w:r>
    </w:p>
    <w:p w:rsidR="00847A98" w:rsidRDefault="00EE215C">
      <w:pPr>
        <w:rPr>
          <w:rFonts w:ascii="NewBaskerville" w:hAnsi="NewBaskerville"/>
        </w:rPr>
      </w:pPr>
      <w:r w:rsidRPr="009D2993">
        <w:rPr>
          <w:rFonts w:ascii="NewBaskerville" w:hAnsi="NewBaskerville"/>
        </w:rPr>
        <w:t xml:space="preserve">     </w:t>
      </w:r>
      <w:r w:rsidR="002C4355" w:rsidRPr="009D2993">
        <w:rPr>
          <w:rFonts w:ascii="NewBaskerville" w:hAnsi="NewBaskerville"/>
        </w:rPr>
        <w:t xml:space="preserve">Las subvenciones que ha recibido esta Autoridad Portuaria son subvenciones de capital no reintegrables </w:t>
      </w:r>
      <w:r w:rsidR="00766EC1">
        <w:rPr>
          <w:rFonts w:ascii="NewBaskerville" w:hAnsi="NewBaskerville"/>
        </w:rPr>
        <w:t xml:space="preserve">básicamente </w:t>
      </w:r>
      <w:r w:rsidR="002C4355" w:rsidRPr="009D2993">
        <w:rPr>
          <w:rFonts w:ascii="NewBaskerville" w:hAnsi="NewBaskerville"/>
        </w:rPr>
        <w:t>para la construcción de unas determinadas infraestructuras.</w:t>
      </w:r>
    </w:p>
    <w:p w:rsidR="00E12B17" w:rsidRDefault="00E12B17"/>
    <w:tbl>
      <w:tblPr>
        <w:tblW w:w="13675" w:type="dxa"/>
        <w:tblCellMar>
          <w:left w:w="70" w:type="dxa"/>
          <w:right w:w="70" w:type="dxa"/>
        </w:tblCellMar>
        <w:tblLook w:val="04A0" w:firstRow="1" w:lastRow="0" w:firstColumn="1" w:lastColumn="0" w:noHBand="0" w:noVBand="1"/>
      </w:tblPr>
      <w:tblGrid>
        <w:gridCol w:w="4695"/>
        <w:gridCol w:w="1125"/>
        <w:gridCol w:w="1349"/>
        <w:gridCol w:w="1318"/>
        <w:gridCol w:w="1459"/>
        <w:gridCol w:w="1737"/>
        <w:gridCol w:w="867"/>
        <w:gridCol w:w="1125"/>
      </w:tblGrid>
      <w:tr w:rsidR="004555FE" w:rsidRPr="004555FE" w:rsidTr="00E12B17">
        <w:trPr>
          <w:cantSplit/>
          <w:trHeight w:val="158"/>
        </w:trPr>
        <w:tc>
          <w:tcPr>
            <w:tcW w:w="0" w:type="auto"/>
            <w:gridSpan w:val="6"/>
            <w:tcBorders>
              <w:top w:val="nil"/>
              <w:left w:val="nil"/>
              <w:bottom w:val="single" w:sz="4" w:space="0" w:color="auto"/>
              <w:right w:val="nil"/>
            </w:tcBorders>
            <w:shd w:val="clear" w:color="000000" w:fill="FFFFFF"/>
            <w:noWrap/>
            <w:vAlign w:val="bottom"/>
            <w:hideMark/>
          </w:tcPr>
          <w:p w:rsidR="004555FE" w:rsidRPr="004555FE" w:rsidRDefault="004555FE" w:rsidP="004555FE">
            <w:pPr>
              <w:rPr>
                <w:rFonts w:ascii="Lucida Bright" w:hAnsi="Lucida Bright" w:cs="Calibri"/>
                <w:b/>
                <w:bCs/>
                <w:sz w:val="18"/>
                <w:szCs w:val="18"/>
                <w:lang w:val="es-ES"/>
              </w:rPr>
            </w:pPr>
            <w:r w:rsidRPr="004555FE">
              <w:rPr>
                <w:rFonts w:ascii="Lucida Bright" w:hAnsi="Lucida Bright" w:cs="Calibri"/>
                <w:b/>
                <w:bCs/>
                <w:sz w:val="18"/>
                <w:szCs w:val="18"/>
                <w:lang w:val="es-ES"/>
              </w:rPr>
              <w:t>CUADRO: SUBVENCIONES, DONACIONES Y LEGADOS RECIBIDOS 2023</w:t>
            </w:r>
          </w:p>
        </w:tc>
        <w:tc>
          <w:tcPr>
            <w:tcW w:w="0" w:type="auto"/>
            <w:tcBorders>
              <w:top w:val="nil"/>
              <w:left w:val="nil"/>
              <w:bottom w:val="nil"/>
              <w:right w:val="nil"/>
            </w:tcBorders>
            <w:shd w:val="clear" w:color="000000" w:fill="FFFFFF"/>
            <w:noWrap/>
            <w:vAlign w:val="bottom"/>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(en euros)</w:t>
            </w:r>
          </w:p>
        </w:tc>
        <w:tc>
          <w:tcPr>
            <w:tcW w:w="0" w:type="auto"/>
            <w:tcBorders>
              <w:top w:val="nil"/>
              <w:left w:val="nil"/>
              <w:bottom w:val="nil"/>
              <w:right w:val="nil"/>
            </w:tcBorders>
            <w:shd w:val="clear" w:color="000000" w:fill="FFFFFF"/>
            <w:noWrap/>
            <w:vAlign w:val="center"/>
            <w:hideMark/>
          </w:tcPr>
          <w:p w:rsidR="004555FE" w:rsidRPr="004555FE" w:rsidRDefault="004555FE" w:rsidP="004555FE">
            <w:pPr>
              <w:rPr>
                <w:rFonts w:ascii="Arial" w:hAnsi="Arial" w:cs="Arial"/>
                <w:lang w:val="es-ES"/>
              </w:rPr>
            </w:pPr>
            <w:r w:rsidRPr="004555FE">
              <w:rPr>
                <w:rFonts w:ascii="Arial" w:hAnsi="Arial" w:cs="Arial"/>
                <w:lang w:val="es-ES"/>
              </w:rPr>
              <w:t> </w:t>
            </w:r>
          </w:p>
        </w:tc>
      </w:tr>
      <w:tr w:rsidR="004555FE" w:rsidRPr="004555FE" w:rsidTr="00E12B17">
        <w:trPr>
          <w:cantSplit/>
          <w:trHeight w:val="158"/>
        </w:trPr>
        <w:tc>
          <w:tcPr>
            <w:tcW w:w="0" w:type="auto"/>
            <w:tcBorders>
              <w:top w:val="nil"/>
              <w:left w:val="single" w:sz="4" w:space="0" w:color="auto"/>
              <w:bottom w:val="nil"/>
              <w:right w:val="nil"/>
            </w:tcBorders>
            <w:shd w:val="clear" w:color="000000" w:fill="CCFFCC"/>
            <w:noWrap/>
            <w:vAlign w:val="center"/>
            <w:hideMark/>
          </w:tcPr>
          <w:p w:rsidR="004555FE" w:rsidRPr="004555FE" w:rsidRDefault="004555FE" w:rsidP="004555FE">
            <w:pPr>
              <w:jc w:val="center"/>
              <w:rPr>
                <w:rFonts w:ascii="Lucida Bright" w:hAnsi="Lucida Bright" w:cs="Calibri"/>
                <w:b/>
                <w:bCs/>
                <w:sz w:val="14"/>
                <w:szCs w:val="14"/>
                <w:lang w:val="es-ES"/>
              </w:rPr>
            </w:pPr>
            <w:r w:rsidRPr="004555FE">
              <w:rPr>
                <w:rFonts w:ascii="Lucida Bright" w:hAnsi="Lucida Bright" w:cs="Calibri"/>
                <w:b/>
                <w:bCs/>
                <w:sz w:val="14"/>
                <w:szCs w:val="14"/>
                <w:lang w:val="es-ES"/>
              </w:rPr>
              <w:t>CONCEPTO</w:t>
            </w:r>
          </w:p>
        </w:tc>
        <w:tc>
          <w:tcPr>
            <w:tcW w:w="0" w:type="auto"/>
            <w:tcBorders>
              <w:top w:val="nil"/>
              <w:left w:val="single" w:sz="4" w:space="0" w:color="auto"/>
              <w:bottom w:val="nil"/>
              <w:right w:val="single" w:sz="4" w:space="0" w:color="auto"/>
            </w:tcBorders>
            <w:shd w:val="clear" w:color="000000" w:fill="CCFFCC"/>
            <w:vAlign w:val="center"/>
            <w:hideMark/>
          </w:tcPr>
          <w:p w:rsidR="004555FE" w:rsidRPr="004555FE" w:rsidRDefault="004555FE" w:rsidP="004555FE">
            <w:pPr>
              <w:jc w:val="center"/>
              <w:rPr>
                <w:rFonts w:ascii="Lucida Bright" w:hAnsi="Lucida Bright" w:cs="Calibri"/>
                <w:sz w:val="14"/>
                <w:szCs w:val="14"/>
                <w:lang w:val="es-ES"/>
              </w:rPr>
            </w:pPr>
            <w:r w:rsidRPr="004555FE">
              <w:rPr>
                <w:rFonts w:ascii="Lucida Bright" w:hAnsi="Lucida Bright" w:cs="Calibri"/>
                <w:sz w:val="14"/>
                <w:szCs w:val="14"/>
                <w:lang w:val="es-ES"/>
              </w:rPr>
              <w:t>Saldo a</w:t>
            </w:r>
            <w:r w:rsidRPr="004555FE">
              <w:rPr>
                <w:rFonts w:ascii="Lucida Bright" w:hAnsi="Lucida Bright" w:cs="Calibri"/>
                <w:sz w:val="14"/>
                <w:szCs w:val="14"/>
                <w:lang w:val="es-ES"/>
              </w:rPr>
              <w:br/>
              <w:t>31-12-22</w:t>
            </w:r>
          </w:p>
        </w:tc>
        <w:tc>
          <w:tcPr>
            <w:tcW w:w="0" w:type="auto"/>
            <w:tcBorders>
              <w:top w:val="nil"/>
              <w:left w:val="nil"/>
              <w:bottom w:val="single" w:sz="4" w:space="0" w:color="auto"/>
              <w:right w:val="single" w:sz="4" w:space="0" w:color="auto"/>
            </w:tcBorders>
            <w:shd w:val="clear" w:color="000000" w:fill="CCFFCC"/>
            <w:vAlign w:val="center"/>
            <w:hideMark/>
          </w:tcPr>
          <w:p w:rsidR="004555FE" w:rsidRPr="004555FE" w:rsidRDefault="004555FE" w:rsidP="004555FE">
            <w:pPr>
              <w:jc w:val="center"/>
              <w:rPr>
                <w:rFonts w:ascii="Lucida Bright" w:hAnsi="Lucida Bright" w:cs="Calibri"/>
                <w:sz w:val="14"/>
                <w:szCs w:val="14"/>
                <w:lang w:val="es-ES"/>
              </w:rPr>
            </w:pPr>
            <w:r w:rsidRPr="004555FE">
              <w:rPr>
                <w:rFonts w:ascii="Lucida Bright" w:hAnsi="Lucida Bright" w:cs="Calibri"/>
                <w:sz w:val="14"/>
                <w:szCs w:val="14"/>
                <w:lang w:val="es-ES"/>
              </w:rPr>
              <w:t>Importe devengado en el ejercicio (+)</w:t>
            </w:r>
          </w:p>
        </w:tc>
        <w:tc>
          <w:tcPr>
            <w:tcW w:w="0" w:type="auto"/>
            <w:tcBorders>
              <w:top w:val="nil"/>
              <w:left w:val="nil"/>
              <w:bottom w:val="single" w:sz="4" w:space="0" w:color="auto"/>
              <w:right w:val="single" w:sz="4" w:space="0" w:color="auto"/>
            </w:tcBorders>
            <w:shd w:val="clear" w:color="000000" w:fill="CCFFCC"/>
            <w:vAlign w:val="center"/>
            <w:hideMark/>
          </w:tcPr>
          <w:p w:rsidR="004555FE" w:rsidRPr="004555FE" w:rsidRDefault="004555FE" w:rsidP="004555FE">
            <w:pPr>
              <w:jc w:val="center"/>
              <w:rPr>
                <w:rFonts w:ascii="Lucida Bright" w:hAnsi="Lucida Bright" w:cs="Calibri"/>
                <w:sz w:val="14"/>
                <w:szCs w:val="14"/>
                <w:lang w:val="es-ES"/>
              </w:rPr>
            </w:pPr>
            <w:r w:rsidRPr="004555FE">
              <w:rPr>
                <w:rFonts w:ascii="Lucida Bright" w:hAnsi="Lucida Bright" w:cs="Calibri"/>
                <w:sz w:val="14"/>
                <w:szCs w:val="14"/>
                <w:lang w:val="es-ES"/>
              </w:rPr>
              <w:t>Efecto impositivo de los devengos (-)</w:t>
            </w:r>
          </w:p>
        </w:tc>
        <w:tc>
          <w:tcPr>
            <w:tcW w:w="0" w:type="auto"/>
            <w:tcBorders>
              <w:top w:val="nil"/>
              <w:left w:val="nil"/>
              <w:bottom w:val="nil"/>
              <w:right w:val="single" w:sz="4" w:space="0" w:color="auto"/>
            </w:tcBorders>
            <w:shd w:val="clear" w:color="000000" w:fill="CCFFCC"/>
            <w:vAlign w:val="center"/>
            <w:hideMark/>
          </w:tcPr>
          <w:p w:rsidR="004555FE" w:rsidRPr="004555FE" w:rsidRDefault="004555FE" w:rsidP="004555FE">
            <w:pPr>
              <w:jc w:val="center"/>
              <w:rPr>
                <w:rFonts w:ascii="Lucida Bright" w:hAnsi="Lucida Bright" w:cs="Calibri"/>
                <w:sz w:val="14"/>
                <w:szCs w:val="14"/>
                <w:lang w:val="es-ES"/>
              </w:rPr>
            </w:pPr>
            <w:r w:rsidRPr="004555FE">
              <w:rPr>
                <w:rFonts w:ascii="Lucida Bright" w:hAnsi="Lucida Bright" w:cs="Calibri"/>
                <w:sz w:val="14"/>
                <w:szCs w:val="14"/>
                <w:lang w:val="es-ES"/>
              </w:rPr>
              <w:t>Importe traspasado al resultado del ejercicio (-)</w:t>
            </w:r>
          </w:p>
        </w:tc>
        <w:tc>
          <w:tcPr>
            <w:tcW w:w="0" w:type="auto"/>
            <w:tcBorders>
              <w:top w:val="nil"/>
              <w:left w:val="nil"/>
              <w:bottom w:val="nil"/>
              <w:right w:val="single" w:sz="4" w:space="0" w:color="auto"/>
            </w:tcBorders>
            <w:shd w:val="clear" w:color="000000" w:fill="CCFFCC"/>
            <w:vAlign w:val="center"/>
            <w:hideMark/>
          </w:tcPr>
          <w:p w:rsidR="004555FE" w:rsidRPr="004555FE" w:rsidRDefault="004555FE" w:rsidP="004555FE">
            <w:pPr>
              <w:jc w:val="center"/>
              <w:rPr>
                <w:rFonts w:ascii="Lucida Bright" w:hAnsi="Lucida Bright" w:cs="Calibri"/>
                <w:sz w:val="14"/>
                <w:szCs w:val="14"/>
                <w:lang w:val="es-ES"/>
              </w:rPr>
            </w:pPr>
            <w:proofErr w:type="spellStart"/>
            <w:r w:rsidRPr="004555FE">
              <w:rPr>
                <w:rFonts w:ascii="Lucida Bright" w:hAnsi="Lucida Bright" w:cs="Calibri"/>
                <w:sz w:val="14"/>
                <w:szCs w:val="14"/>
                <w:lang w:val="es-ES"/>
              </w:rPr>
              <w:t>Trasp</w:t>
            </w:r>
            <w:proofErr w:type="spellEnd"/>
            <w:r w:rsidRPr="004555FE">
              <w:rPr>
                <w:rFonts w:ascii="Lucida Bright" w:hAnsi="Lucida Bright" w:cs="Calibri"/>
                <w:sz w:val="14"/>
                <w:szCs w:val="14"/>
                <w:lang w:val="es-ES"/>
              </w:rPr>
              <w:t xml:space="preserve">. </w:t>
            </w:r>
            <w:proofErr w:type="gramStart"/>
            <w:r w:rsidRPr="004555FE">
              <w:rPr>
                <w:rFonts w:ascii="Lucida Bright" w:hAnsi="Lucida Bright" w:cs="Calibri"/>
                <w:sz w:val="14"/>
                <w:szCs w:val="14"/>
                <w:lang w:val="es-ES"/>
              </w:rPr>
              <w:t>a/de</w:t>
            </w:r>
            <w:proofErr w:type="gramEnd"/>
            <w:r w:rsidRPr="004555FE">
              <w:rPr>
                <w:rFonts w:ascii="Lucida Bright" w:hAnsi="Lucida Bright" w:cs="Calibri"/>
                <w:sz w:val="14"/>
                <w:szCs w:val="14"/>
                <w:lang w:val="es-ES"/>
              </w:rPr>
              <w:t xml:space="preserve"> deudas a </w:t>
            </w:r>
            <w:proofErr w:type="spellStart"/>
            <w:r w:rsidRPr="004555FE">
              <w:rPr>
                <w:rFonts w:ascii="Lucida Bright" w:hAnsi="Lucida Bright" w:cs="Calibri"/>
                <w:sz w:val="14"/>
                <w:szCs w:val="14"/>
                <w:lang w:val="es-ES"/>
              </w:rPr>
              <w:t>l.p</w:t>
            </w:r>
            <w:proofErr w:type="spellEnd"/>
            <w:r w:rsidRPr="004555FE">
              <w:rPr>
                <w:rFonts w:ascii="Lucida Bright" w:hAnsi="Lucida Bright" w:cs="Calibri"/>
                <w:sz w:val="14"/>
                <w:szCs w:val="14"/>
                <w:lang w:val="es-ES"/>
              </w:rPr>
              <w:t xml:space="preserve">. por </w:t>
            </w:r>
            <w:proofErr w:type="spellStart"/>
            <w:r w:rsidRPr="004555FE">
              <w:rPr>
                <w:rFonts w:ascii="Lucida Bright" w:hAnsi="Lucida Bright" w:cs="Calibri"/>
                <w:sz w:val="14"/>
                <w:szCs w:val="14"/>
                <w:lang w:val="es-ES"/>
              </w:rPr>
              <w:t>subvenc</w:t>
            </w:r>
            <w:proofErr w:type="spellEnd"/>
            <w:r w:rsidRPr="004555FE">
              <w:rPr>
                <w:rFonts w:ascii="Lucida Bright" w:hAnsi="Lucida Bright" w:cs="Calibri"/>
                <w:sz w:val="14"/>
                <w:szCs w:val="14"/>
                <w:lang w:val="es-ES"/>
              </w:rPr>
              <w:t xml:space="preserve">. </w:t>
            </w:r>
            <w:proofErr w:type="spellStart"/>
            <w:r w:rsidRPr="004555FE">
              <w:rPr>
                <w:rFonts w:ascii="Lucida Bright" w:hAnsi="Lucida Bright" w:cs="Calibri"/>
                <w:sz w:val="14"/>
                <w:szCs w:val="14"/>
                <w:lang w:val="es-ES"/>
              </w:rPr>
              <w:t>supceptibles</w:t>
            </w:r>
            <w:proofErr w:type="spellEnd"/>
            <w:r w:rsidRPr="004555FE">
              <w:rPr>
                <w:rFonts w:ascii="Lucida Bright" w:hAnsi="Lucida Bright" w:cs="Calibri"/>
                <w:sz w:val="14"/>
                <w:szCs w:val="14"/>
                <w:lang w:val="es-ES"/>
              </w:rPr>
              <w:t xml:space="preserve"> de reintegro (+/-)</w:t>
            </w:r>
          </w:p>
        </w:tc>
        <w:tc>
          <w:tcPr>
            <w:tcW w:w="0" w:type="auto"/>
            <w:tcBorders>
              <w:top w:val="single" w:sz="4" w:space="0" w:color="auto"/>
              <w:left w:val="nil"/>
              <w:bottom w:val="nil"/>
              <w:right w:val="single" w:sz="4" w:space="0" w:color="auto"/>
            </w:tcBorders>
            <w:shd w:val="clear" w:color="000000" w:fill="CCFFCC"/>
            <w:vAlign w:val="center"/>
            <w:hideMark/>
          </w:tcPr>
          <w:p w:rsidR="004555FE" w:rsidRPr="004555FE" w:rsidRDefault="004555FE" w:rsidP="004555FE">
            <w:pPr>
              <w:jc w:val="center"/>
              <w:rPr>
                <w:rFonts w:ascii="Lucida Bright" w:hAnsi="Lucida Bright" w:cs="Calibri"/>
                <w:sz w:val="14"/>
                <w:szCs w:val="14"/>
                <w:lang w:val="es-ES"/>
              </w:rPr>
            </w:pPr>
            <w:r w:rsidRPr="004555FE">
              <w:rPr>
                <w:rFonts w:ascii="Lucida Bright" w:hAnsi="Lucida Bright" w:cs="Calibri"/>
                <w:sz w:val="14"/>
                <w:szCs w:val="14"/>
                <w:lang w:val="es-ES"/>
              </w:rPr>
              <w:t>Otras bajas (-)</w:t>
            </w:r>
          </w:p>
        </w:tc>
        <w:tc>
          <w:tcPr>
            <w:tcW w:w="0" w:type="auto"/>
            <w:tcBorders>
              <w:top w:val="single" w:sz="4" w:space="0" w:color="auto"/>
              <w:left w:val="nil"/>
              <w:bottom w:val="nil"/>
              <w:right w:val="single" w:sz="4" w:space="0" w:color="auto"/>
            </w:tcBorders>
            <w:shd w:val="clear" w:color="000000" w:fill="CCFFCC"/>
            <w:vAlign w:val="center"/>
            <w:hideMark/>
          </w:tcPr>
          <w:p w:rsidR="004555FE" w:rsidRPr="004555FE" w:rsidRDefault="004555FE" w:rsidP="004555FE">
            <w:pPr>
              <w:jc w:val="center"/>
              <w:rPr>
                <w:rFonts w:ascii="Lucida Bright" w:hAnsi="Lucida Bright" w:cs="Calibri"/>
                <w:sz w:val="14"/>
                <w:szCs w:val="14"/>
                <w:lang w:val="es-ES"/>
              </w:rPr>
            </w:pPr>
            <w:r w:rsidRPr="004555FE">
              <w:rPr>
                <w:rFonts w:ascii="Lucida Bright" w:hAnsi="Lucida Bright" w:cs="Calibri"/>
                <w:sz w:val="14"/>
                <w:szCs w:val="14"/>
                <w:lang w:val="es-ES"/>
              </w:rPr>
              <w:t>Saldo a</w:t>
            </w:r>
            <w:r w:rsidRPr="004555FE">
              <w:rPr>
                <w:rFonts w:ascii="Lucida Bright" w:hAnsi="Lucida Bright" w:cs="Calibri"/>
                <w:sz w:val="14"/>
                <w:szCs w:val="14"/>
                <w:lang w:val="es-ES"/>
              </w:rPr>
              <w:br/>
              <w:t>31-12-23</w:t>
            </w:r>
          </w:p>
        </w:tc>
      </w:tr>
      <w:tr w:rsidR="004555FE" w:rsidRPr="004555FE" w:rsidTr="00E12B17">
        <w:trPr>
          <w:cantSplit/>
          <w:trHeight w:val="158"/>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roofErr w:type="spellStart"/>
            <w:r w:rsidRPr="004555FE">
              <w:rPr>
                <w:rFonts w:ascii="Lucida Bright" w:hAnsi="Lucida Bright" w:cs="Calibri"/>
                <w:b/>
                <w:bCs/>
                <w:sz w:val="14"/>
                <w:szCs w:val="14"/>
                <w:lang w:val="es-ES"/>
              </w:rPr>
              <w:t>Feder</w:t>
            </w:r>
            <w:proofErr w:type="spellEnd"/>
            <w:r w:rsidRPr="004555FE">
              <w:rPr>
                <w:rFonts w:ascii="Lucida Bright" w:hAnsi="Lucida Bright" w:cs="Calibri"/>
                <w:b/>
                <w:bCs/>
                <w:sz w:val="14"/>
                <w:szCs w:val="14"/>
                <w:lang w:val="es-ES"/>
              </w:rPr>
              <w:t xml:space="preserve"> M.C.A. 07/13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r>
      <w:tr w:rsidR="004555FE" w:rsidRPr="004555FE" w:rsidTr="00E12B17">
        <w:trPr>
          <w:cantSplit/>
          <w:trHeight w:val="158"/>
        </w:trPr>
        <w:tc>
          <w:tcPr>
            <w:tcW w:w="0" w:type="auto"/>
            <w:tcBorders>
              <w:top w:val="nil"/>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b/>
                <w:bCs/>
                <w:sz w:val="14"/>
                <w:szCs w:val="14"/>
                <w:lang w:val="es-ES"/>
              </w:rPr>
            </w:pPr>
            <w:r w:rsidRPr="004555FE">
              <w:rPr>
                <w:rFonts w:ascii="Lucida Bright" w:hAnsi="Lucida Bright" w:cs="Calibri"/>
                <w:b/>
                <w:bCs/>
                <w:sz w:val="14"/>
                <w:szCs w:val="14"/>
                <w:lang w:val="es-ES"/>
              </w:rPr>
              <w:t xml:space="preserve">   Fondos de Cohesión 07/13</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r>
      <w:tr w:rsidR="004555FE" w:rsidRPr="004555FE" w:rsidTr="00E12B17">
        <w:trPr>
          <w:cantSplit/>
          <w:trHeight w:val="158"/>
        </w:trPr>
        <w:tc>
          <w:tcPr>
            <w:tcW w:w="0" w:type="auto"/>
            <w:tcBorders>
              <w:top w:val="nil"/>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b/>
                <w:bCs/>
                <w:sz w:val="14"/>
                <w:szCs w:val="14"/>
                <w:lang w:val="es-ES"/>
              </w:rPr>
            </w:pPr>
            <w:r w:rsidRPr="004555FE">
              <w:rPr>
                <w:rFonts w:ascii="Lucida Bright" w:hAnsi="Lucida Bright" w:cs="Calibri"/>
                <w:b/>
                <w:bCs/>
                <w:sz w:val="14"/>
                <w:szCs w:val="14"/>
                <w:lang w:val="es-ES"/>
              </w:rPr>
              <w:t xml:space="preserve">   RUP. M.C.A. 07/13</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r>
      <w:tr w:rsidR="004555FE" w:rsidRPr="004555FE" w:rsidTr="00E12B17">
        <w:trPr>
          <w:cantSplit/>
          <w:trHeight w:val="158"/>
        </w:trPr>
        <w:tc>
          <w:tcPr>
            <w:tcW w:w="0" w:type="auto"/>
            <w:tcBorders>
              <w:top w:val="nil"/>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roofErr w:type="spellStart"/>
            <w:r w:rsidRPr="004555FE">
              <w:rPr>
                <w:rFonts w:ascii="Lucida Bright" w:hAnsi="Lucida Bright" w:cs="Calibri"/>
                <w:b/>
                <w:bCs/>
                <w:sz w:val="14"/>
                <w:szCs w:val="14"/>
                <w:lang w:val="es-ES"/>
              </w:rPr>
              <w:t>Feder</w:t>
            </w:r>
            <w:proofErr w:type="spellEnd"/>
            <w:r w:rsidRPr="004555FE">
              <w:rPr>
                <w:rFonts w:ascii="Lucida Bright" w:hAnsi="Lucida Bright" w:cs="Calibri"/>
                <w:b/>
                <w:bCs/>
                <w:sz w:val="14"/>
                <w:szCs w:val="14"/>
                <w:lang w:val="es-ES"/>
              </w:rPr>
              <w:t xml:space="preserve"> M.C.A. 14/20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180.244,85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(45.061,21)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(672,06)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134.511,58 </w:t>
            </w:r>
          </w:p>
        </w:tc>
      </w:tr>
      <w:tr w:rsidR="004555FE" w:rsidRPr="004555FE" w:rsidTr="00E12B17">
        <w:trPr>
          <w:cantSplit/>
          <w:trHeight w:val="158"/>
        </w:trPr>
        <w:tc>
          <w:tcPr>
            <w:tcW w:w="0" w:type="auto"/>
            <w:tcBorders>
              <w:top w:val="nil"/>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i/>
                <w:iCs/>
                <w:sz w:val="14"/>
                <w:szCs w:val="14"/>
                <w:lang w:val="es-ES"/>
              </w:rPr>
            </w:pPr>
            <w:r w:rsidRPr="004555FE">
              <w:rPr>
                <w:rFonts w:ascii="Lucida Bright" w:hAnsi="Lucida Bright" w:cs="Calibri"/>
                <w:i/>
                <w:iCs/>
                <w:sz w:val="14"/>
                <w:szCs w:val="14"/>
                <w:lang w:val="es-ES"/>
              </w:rPr>
              <w:t xml:space="preserve">Proyecto de renovación energética de </w:t>
            </w:r>
            <w:proofErr w:type="spellStart"/>
            <w:r w:rsidRPr="004555FE">
              <w:rPr>
                <w:rFonts w:ascii="Lucida Bright" w:hAnsi="Lucida Bright" w:cs="Calibri"/>
                <w:i/>
                <w:iCs/>
                <w:sz w:val="14"/>
                <w:szCs w:val="14"/>
                <w:lang w:val="es-ES"/>
              </w:rPr>
              <w:t>ed</w:t>
            </w:r>
            <w:proofErr w:type="spellEnd"/>
            <w:r w:rsidRPr="004555FE">
              <w:rPr>
                <w:rFonts w:ascii="Lucida Bright" w:hAnsi="Lucida Bright" w:cs="Calibri"/>
                <w:i/>
                <w:iCs/>
                <w:sz w:val="14"/>
                <w:szCs w:val="14"/>
                <w:lang w:val="es-ES"/>
              </w:rPr>
              <w:t xml:space="preserve"> e </w:t>
            </w:r>
            <w:proofErr w:type="spellStart"/>
            <w:r w:rsidRPr="004555FE">
              <w:rPr>
                <w:rFonts w:ascii="Lucida Bright" w:hAnsi="Lucida Bright" w:cs="Calibri"/>
                <w:i/>
                <w:iCs/>
                <w:sz w:val="14"/>
                <w:szCs w:val="14"/>
                <w:lang w:val="es-ES"/>
              </w:rPr>
              <w:t>infrae</w:t>
            </w:r>
            <w:proofErr w:type="spellEnd"/>
            <w:r w:rsidRPr="004555FE">
              <w:rPr>
                <w:rFonts w:ascii="Lucida Bright" w:hAnsi="Lucida Bright" w:cs="Calibri"/>
                <w:i/>
                <w:iCs/>
                <w:sz w:val="14"/>
                <w:szCs w:val="14"/>
                <w:lang w:val="es-ES"/>
              </w:rPr>
              <w:t xml:space="preserve"> AGE (IDAE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55FE" w:rsidRPr="004555FE" w:rsidRDefault="004555FE" w:rsidP="004555FE">
            <w:pPr>
              <w:rPr>
                <w:rFonts w:ascii="Lucida Bright" w:hAnsi="Lucida Bright" w:cs="Calibri"/>
                <w:i/>
                <w:iCs/>
                <w:sz w:val="14"/>
                <w:szCs w:val="14"/>
                <w:lang w:val="es-ES"/>
              </w:rPr>
            </w:pPr>
            <w:r w:rsidRPr="004555FE">
              <w:rPr>
                <w:rFonts w:ascii="Lucida Bright" w:hAnsi="Lucida Bright" w:cs="Calibri"/>
                <w:i/>
                <w:iCs/>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i/>
                <w:iCs/>
                <w:sz w:val="14"/>
                <w:szCs w:val="14"/>
                <w:lang w:val="es-ES"/>
              </w:rPr>
            </w:pPr>
            <w:r w:rsidRPr="004555FE">
              <w:rPr>
                <w:rFonts w:ascii="Lucida Bright" w:hAnsi="Lucida Bright" w:cs="Calibri"/>
                <w:i/>
                <w:iCs/>
                <w:sz w:val="14"/>
                <w:szCs w:val="14"/>
                <w:lang w:val="es-ES"/>
              </w:rPr>
              <w:t xml:space="preserve">180.244,85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i/>
                <w:iCs/>
                <w:sz w:val="14"/>
                <w:szCs w:val="14"/>
                <w:lang w:val="es-ES"/>
              </w:rPr>
            </w:pPr>
            <w:r w:rsidRPr="004555FE">
              <w:rPr>
                <w:rFonts w:ascii="Lucida Bright" w:hAnsi="Lucida Bright" w:cs="Calibri"/>
                <w:i/>
                <w:iCs/>
                <w:sz w:val="14"/>
                <w:szCs w:val="14"/>
                <w:lang w:val="es-ES"/>
              </w:rPr>
              <w:t xml:space="preserve">(45.061,21)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i/>
                <w:iCs/>
                <w:sz w:val="14"/>
                <w:szCs w:val="14"/>
                <w:lang w:val="es-ES"/>
              </w:rPr>
            </w:pPr>
            <w:r w:rsidRPr="004555FE">
              <w:rPr>
                <w:rFonts w:ascii="Lucida Bright" w:hAnsi="Lucida Bright" w:cs="Calibri"/>
                <w:i/>
                <w:iCs/>
                <w:sz w:val="14"/>
                <w:szCs w:val="14"/>
                <w:lang w:val="es-ES"/>
              </w:rPr>
              <w:t xml:space="preserve">(672,06)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rPr>
                <w:rFonts w:ascii="Lucida Bright" w:hAnsi="Lucida Bright" w:cs="Calibri"/>
                <w:i/>
                <w:iCs/>
                <w:sz w:val="14"/>
                <w:szCs w:val="14"/>
                <w:lang w:val="es-ES"/>
              </w:rPr>
            </w:pPr>
            <w:r w:rsidRPr="004555FE">
              <w:rPr>
                <w:rFonts w:ascii="Lucida Bright" w:hAnsi="Lucida Bright" w:cs="Calibri"/>
                <w:i/>
                <w:iCs/>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rPr>
                <w:rFonts w:ascii="Lucida Bright" w:hAnsi="Lucida Bright" w:cs="Calibri"/>
                <w:i/>
                <w:iCs/>
                <w:sz w:val="14"/>
                <w:szCs w:val="14"/>
                <w:lang w:val="es-ES"/>
              </w:rPr>
            </w:pPr>
            <w:r w:rsidRPr="004555FE">
              <w:rPr>
                <w:rFonts w:ascii="Lucida Bright" w:hAnsi="Lucida Bright" w:cs="Calibri"/>
                <w:i/>
                <w:iCs/>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i/>
                <w:iCs/>
                <w:sz w:val="14"/>
                <w:szCs w:val="14"/>
                <w:lang w:val="es-ES"/>
              </w:rPr>
            </w:pPr>
            <w:r w:rsidRPr="004555FE">
              <w:rPr>
                <w:rFonts w:ascii="Lucida Bright" w:hAnsi="Lucida Bright" w:cs="Calibri"/>
                <w:i/>
                <w:iCs/>
                <w:sz w:val="14"/>
                <w:szCs w:val="14"/>
                <w:lang w:val="es-ES"/>
              </w:rPr>
              <w:t xml:space="preserve">134.511,58 </w:t>
            </w:r>
          </w:p>
        </w:tc>
      </w:tr>
      <w:tr w:rsidR="004555FE" w:rsidRPr="004555FE" w:rsidTr="00E12B17">
        <w:trPr>
          <w:cantSplit/>
          <w:trHeight w:val="158"/>
        </w:trPr>
        <w:tc>
          <w:tcPr>
            <w:tcW w:w="0" w:type="auto"/>
            <w:tcBorders>
              <w:top w:val="nil"/>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b/>
                <w:bCs/>
                <w:sz w:val="14"/>
                <w:szCs w:val="14"/>
                <w:lang w:val="es-ES"/>
              </w:rPr>
            </w:pPr>
            <w:r w:rsidRPr="004555FE">
              <w:rPr>
                <w:rFonts w:ascii="Lucida Bright" w:hAnsi="Lucida Bright" w:cs="Calibri"/>
                <w:b/>
                <w:bCs/>
                <w:sz w:val="14"/>
                <w:szCs w:val="14"/>
                <w:lang w:val="es-ES"/>
              </w:rPr>
              <w:t xml:space="preserve">   RUP M.C.A. 14/20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r>
      <w:tr w:rsidR="004555FE" w:rsidRPr="004555FE" w:rsidTr="00E12B17">
        <w:trPr>
          <w:cantSplit/>
          <w:trHeight w:val="158"/>
        </w:trPr>
        <w:tc>
          <w:tcPr>
            <w:tcW w:w="0" w:type="auto"/>
            <w:tcBorders>
              <w:top w:val="nil"/>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b/>
                <w:bCs/>
                <w:sz w:val="14"/>
                <w:szCs w:val="14"/>
                <w:lang w:val="es-ES"/>
              </w:rPr>
            </w:pPr>
            <w:r w:rsidRPr="004555FE">
              <w:rPr>
                <w:rFonts w:ascii="Lucida Bright" w:hAnsi="Lucida Bright" w:cs="Calibri"/>
                <w:b/>
                <w:bCs/>
                <w:sz w:val="14"/>
                <w:szCs w:val="14"/>
                <w:lang w:val="es-ES"/>
              </w:rPr>
              <w:t xml:space="preserve">   Otras de la Unión Europea</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18.837.525,55</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89.933,86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(22.483,46)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(598.471,49)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18.306.504,46 </w:t>
            </w:r>
          </w:p>
        </w:tc>
      </w:tr>
      <w:tr w:rsidR="004555FE" w:rsidRPr="004555FE" w:rsidTr="00E12B17">
        <w:trPr>
          <w:cantSplit/>
          <w:trHeight w:val="158"/>
        </w:trPr>
        <w:tc>
          <w:tcPr>
            <w:tcW w:w="0" w:type="auto"/>
            <w:tcBorders>
              <w:top w:val="nil"/>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sz w:val="14"/>
                <w:szCs w:val="14"/>
                <w:lang w:val="es-ES"/>
              </w:rPr>
            </w:pPr>
            <w:proofErr w:type="spellStart"/>
            <w:r w:rsidRPr="004555FE">
              <w:rPr>
                <w:rFonts w:ascii="Lucida Bright" w:hAnsi="Lucida Bright" w:cs="Calibri"/>
                <w:sz w:val="14"/>
                <w:szCs w:val="14"/>
                <w:lang w:val="es-ES"/>
              </w:rPr>
              <w:t>Feder</w:t>
            </w:r>
            <w:proofErr w:type="spellEnd"/>
            <w:r w:rsidRPr="004555FE">
              <w:rPr>
                <w:rFonts w:ascii="Lucida Bright" w:hAnsi="Lucida Bright" w:cs="Calibri"/>
                <w:sz w:val="14"/>
                <w:szCs w:val="14"/>
                <w:lang w:val="es-ES"/>
              </w:rPr>
              <w:t xml:space="preserve"> M.C.A. 89/93</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r>
      <w:tr w:rsidR="004555FE" w:rsidRPr="004555FE" w:rsidTr="00E12B17">
        <w:trPr>
          <w:cantSplit/>
          <w:trHeight w:val="158"/>
        </w:trPr>
        <w:tc>
          <w:tcPr>
            <w:tcW w:w="0" w:type="auto"/>
            <w:tcBorders>
              <w:top w:val="nil"/>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sz w:val="14"/>
                <w:szCs w:val="14"/>
                <w:lang w:val="es-ES"/>
              </w:rPr>
            </w:pPr>
            <w:proofErr w:type="spellStart"/>
            <w:r w:rsidRPr="004555FE">
              <w:rPr>
                <w:rFonts w:ascii="Lucida Bright" w:hAnsi="Lucida Bright" w:cs="Calibri"/>
                <w:sz w:val="14"/>
                <w:szCs w:val="14"/>
                <w:lang w:val="es-ES"/>
              </w:rPr>
              <w:t>Feder</w:t>
            </w:r>
            <w:proofErr w:type="spellEnd"/>
            <w:r w:rsidRPr="004555FE">
              <w:rPr>
                <w:rFonts w:ascii="Lucida Bright" w:hAnsi="Lucida Bright" w:cs="Calibri"/>
                <w:sz w:val="14"/>
                <w:szCs w:val="14"/>
                <w:lang w:val="es-ES"/>
              </w:rPr>
              <w:t xml:space="preserve"> M.C.A. 94/99</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r>
      <w:tr w:rsidR="004555FE" w:rsidRPr="004555FE" w:rsidTr="00E12B17">
        <w:trPr>
          <w:cantSplit/>
          <w:trHeight w:val="158"/>
        </w:trPr>
        <w:tc>
          <w:tcPr>
            <w:tcW w:w="0" w:type="auto"/>
            <w:tcBorders>
              <w:top w:val="nil"/>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sz w:val="14"/>
                <w:szCs w:val="14"/>
                <w:lang w:val="es-ES"/>
              </w:rPr>
            </w:pPr>
            <w:proofErr w:type="spellStart"/>
            <w:r w:rsidRPr="004555FE">
              <w:rPr>
                <w:rFonts w:ascii="Lucida Bright" w:hAnsi="Lucida Bright" w:cs="Calibri"/>
                <w:sz w:val="14"/>
                <w:szCs w:val="14"/>
                <w:lang w:val="es-ES"/>
              </w:rPr>
              <w:t>Feder</w:t>
            </w:r>
            <w:proofErr w:type="spellEnd"/>
            <w:r w:rsidRPr="004555FE">
              <w:rPr>
                <w:rFonts w:ascii="Lucida Bright" w:hAnsi="Lucida Bright" w:cs="Calibri"/>
                <w:sz w:val="14"/>
                <w:szCs w:val="14"/>
                <w:lang w:val="es-ES"/>
              </w:rPr>
              <w:t xml:space="preserve"> M.C.A. 00/06</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r>
      <w:tr w:rsidR="004555FE" w:rsidRPr="004555FE" w:rsidTr="00E12B17">
        <w:trPr>
          <w:cantSplit/>
          <w:trHeight w:val="158"/>
        </w:trPr>
        <w:tc>
          <w:tcPr>
            <w:tcW w:w="0" w:type="auto"/>
            <w:tcBorders>
              <w:top w:val="nil"/>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Fondos de Cohesión 00/06</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18.418.365,41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(584.583,08)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17.833.782,33 </w:t>
            </w:r>
          </w:p>
        </w:tc>
      </w:tr>
      <w:tr w:rsidR="004555FE" w:rsidRPr="004555FE" w:rsidTr="00E12B17">
        <w:trPr>
          <w:cantSplit/>
          <w:trHeight w:val="158"/>
        </w:trPr>
        <w:tc>
          <w:tcPr>
            <w:tcW w:w="0" w:type="auto"/>
            <w:tcBorders>
              <w:top w:val="nil"/>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CEF (TEN,RTE,RET-T)</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49.902,84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89.933,86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(22.483,46)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(3.116,61)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114.236,63 </w:t>
            </w:r>
          </w:p>
        </w:tc>
      </w:tr>
      <w:tr w:rsidR="004555FE" w:rsidRPr="004555FE" w:rsidTr="00E12B17">
        <w:trPr>
          <w:cantSplit/>
          <w:trHeight w:val="158"/>
        </w:trPr>
        <w:tc>
          <w:tcPr>
            <w:tcW w:w="0" w:type="auto"/>
            <w:tcBorders>
              <w:top w:val="nil"/>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i/>
                <w:iCs/>
                <w:sz w:val="14"/>
                <w:szCs w:val="14"/>
                <w:lang w:val="es-ES"/>
              </w:rPr>
            </w:pPr>
            <w:r w:rsidRPr="004555FE">
              <w:rPr>
                <w:rFonts w:ascii="Lucida Bright" w:hAnsi="Lucida Bright" w:cs="Calibri"/>
                <w:i/>
                <w:iCs/>
                <w:sz w:val="14"/>
                <w:szCs w:val="14"/>
                <w:lang w:val="es-ES"/>
              </w:rPr>
              <w:t xml:space="preserve">OPS Master Plan </w:t>
            </w:r>
            <w:proofErr w:type="spellStart"/>
            <w:r w:rsidRPr="004555FE">
              <w:rPr>
                <w:rFonts w:ascii="Lucida Bright" w:hAnsi="Lucida Bright" w:cs="Calibri"/>
                <w:i/>
                <w:iCs/>
                <w:sz w:val="14"/>
                <w:szCs w:val="14"/>
                <w:lang w:val="es-ES"/>
              </w:rPr>
              <w:t>for</w:t>
            </w:r>
            <w:proofErr w:type="spellEnd"/>
            <w:r w:rsidRPr="004555FE">
              <w:rPr>
                <w:rFonts w:ascii="Lucida Bright" w:hAnsi="Lucida Bright" w:cs="Calibri"/>
                <w:i/>
                <w:iCs/>
                <w:sz w:val="14"/>
                <w:szCs w:val="14"/>
                <w:lang w:val="es-ES"/>
              </w:rPr>
              <w:t xml:space="preserve"> </w:t>
            </w:r>
            <w:proofErr w:type="spellStart"/>
            <w:r w:rsidRPr="004555FE">
              <w:rPr>
                <w:rFonts w:ascii="Lucida Bright" w:hAnsi="Lucida Bright" w:cs="Calibri"/>
                <w:i/>
                <w:iCs/>
                <w:sz w:val="14"/>
                <w:szCs w:val="14"/>
                <w:lang w:val="es-ES"/>
              </w:rPr>
              <w:t>Spanish</w:t>
            </w:r>
            <w:proofErr w:type="spellEnd"/>
            <w:r w:rsidRPr="004555FE">
              <w:rPr>
                <w:rFonts w:ascii="Lucida Bright" w:hAnsi="Lucida Bright" w:cs="Calibri"/>
                <w:i/>
                <w:iCs/>
                <w:sz w:val="14"/>
                <w:szCs w:val="14"/>
                <w:lang w:val="es-ES"/>
              </w:rPr>
              <w:t xml:space="preserve"> </w:t>
            </w:r>
            <w:proofErr w:type="spellStart"/>
            <w:r w:rsidRPr="004555FE">
              <w:rPr>
                <w:rFonts w:ascii="Lucida Bright" w:hAnsi="Lucida Bright" w:cs="Calibri"/>
                <w:i/>
                <w:iCs/>
                <w:sz w:val="14"/>
                <w:szCs w:val="14"/>
                <w:lang w:val="es-ES"/>
              </w:rPr>
              <w:t>Ports</w:t>
            </w:r>
            <w:proofErr w:type="spellEnd"/>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i/>
                <w:iCs/>
                <w:sz w:val="14"/>
                <w:szCs w:val="14"/>
                <w:lang w:val="es-ES"/>
              </w:rPr>
            </w:pPr>
            <w:r w:rsidRPr="004555FE">
              <w:rPr>
                <w:rFonts w:ascii="Lucida Bright" w:hAnsi="Lucida Bright" w:cs="Calibri"/>
                <w:i/>
                <w:iCs/>
                <w:sz w:val="14"/>
                <w:szCs w:val="14"/>
                <w:lang w:val="es-ES"/>
              </w:rPr>
              <w:t xml:space="preserve">49.902,84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i/>
                <w:iCs/>
                <w:sz w:val="14"/>
                <w:szCs w:val="14"/>
                <w:lang w:val="es-ES"/>
              </w:rPr>
            </w:pPr>
            <w:r w:rsidRPr="004555FE">
              <w:rPr>
                <w:rFonts w:ascii="Lucida Bright" w:hAnsi="Lucida Bright" w:cs="Calibri"/>
                <w:i/>
                <w:iCs/>
                <w:sz w:val="14"/>
                <w:szCs w:val="14"/>
                <w:lang w:val="es-ES"/>
              </w:rPr>
              <w:t xml:space="preserve">89.933,86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i/>
                <w:iCs/>
                <w:sz w:val="14"/>
                <w:szCs w:val="14"/>
                <w:lang w:val="es-ES"/>
              </w:rPr>
            </w:pPr>
            <w:r w:rsidRPr="004555FE">
              <w:rPr>
                <w:rFonts w:ascii="Lucida Bright" w:hAnsi="Lucida Bright" w:cs="Calibri"/>
                <w:i/>
                <w:iCs/>
                <w:sz w:val="14"/>
                <w:szCs w:val="14"/>
                <w:lang w:val="es-ES"/>
              </w:rPr>
              <w:t xml:space="preserve">(22.483,46)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i/>
                <w:iCs/>
                <w:sz w:val="14"/>
                <w:szCs w:val="14"/>
                <w:lang w:val="es-ES"/>
              </w:rPr>
            </w:pPr>
            <w:r w:rsidRPr="004555FE">
              <w:rPr>
                <w:rFonts w:ascii="Lucida Bright" w:hAnsi="Lucida Bright" w:cs="Calibri"/>
                <w:i/>
                <w:iCs/>
                <w:sz w:val="14"/>
                <w:szCs w:val="14"/>
                <w:lang w:val="es-ES"/>
              </w:rPr>
              <w:t xml:space="preserve">(3.116,61)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rPr>
                <w:rFonts w:ascii="Lucida Bright" w:hAnsi="Lucida Bright" w:cs="Calibri"/>
                <w:i/>
                <w:iCs/>
                <w:sz w:val="14"/>
                <w:szCs w:val="14"/>
                <w:lang w:val="es-ES"/>
              </w:rPr>
            </w:pPr>
            <w:r w:rsidRPr="004555FE">
              <w:rPr>
                <w:rFonts w:ascii="Lucida Bright" w:hAnsi="Lucida Bright" w:cs="Calibri"/>
                <w:i/>
                <w:iCs/>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rPr>
                <w:rFonts w:ascii="Lucida Bright" w:hAnsi="Lucida Bright" w:cs="Calibri"/>
                <w:i/>
                <w:iCs/>
                <w:sz w:val="14"/>
                <w:szCs w:val="14"/>
                <w:lang w:val="es-ES"/>
              </w:rPr>
            </w:pPr>
            <w:r w:rsidRPr="004555FE">
              <w:rPr>
                <w:rFonts w:ascii="Lucida Bright" w:hAnsi="Lucida Bright" w:cs="Calibri"/>
                <w:i/>
                <w:iCs/>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i/>
                <w:iCs/>
                <w:sz w:val="14"/>
                <w:szCs w:val="14"/>
                <w:lang w:val="es-ES"/>
              </w:rPr>
            </w:pPr>
            <w:r w:rsidRPr="004555FE">
              <w:rPr>
                <w:rFonts w:ascii="Lucida Bright" w:hAnsi="Lucida Bright" w:cs="Calibri"/>
                <w:i/>
                <w:iCs/>
                <w:sz w:val="14"/>
                <w:szCs w:val="14"/>
                <w:lang w:val="es-ES"/>
              </w:rPr>
              <w:t xml:space="preserve">114.236,63 </w:t>
            </w:r>
          </w:p>
        </w:tc>
      </w:tr>
      <w:tr w:rsidR="004555FE" w:rsidRPr="004555FE" w:rsidTr="00E12B17">
        <w:trPr>
          <w:cantSplit/>
          <w:trHeight w:val="158"/>
        </w:trPr>
        <w:tc>
          <w:tcPr>
            <w:tcW w:w="0" w:type="auto"/>
            <w:tcBorders>
              <w:top w:val="nil"/>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Otras de la U.E. (</w:t>
            </w:r>
            <w:proofErr w:type="spellStart"/>
            <w:r w:rsidRPr="004555FE">
              <w:rPr>
                <w:rFonts w:ascii="Lucida Bright" w:hAnsi="Lucida Bright" w:cs="Calibri"/>
                <w:sz w:val="14"/>
                <w:szCs w:val="14"/>
                <w:lang w:val="es-ES"/>
              </w:rPr>
              <w:t>Feoga</w:t>
            </w:r>
            <w:proofErr w:type="spellEnd"/>
            <w:r w:rsidRPr="004555FE">
              <w:rPr>
                <w:rFonts w:ascii="Lucida Bright" w:hAnsi="Lucida Bright" w:cs="Calibri"/>
                <w:sz w:val="14"/>
                <w:szCs w:val="14"/>
                <w:lang w:val="es-ES"/>
              </w:rPr>
              <w:t xml:space="preserve">, </w:t>
            </w:r>
            <w:proofErr w:type="spellStart"/>
            <w:r w:rsidRPr="004555FE">
              <w:rPr>
                <w:rFonts w:ascii="Lucida Bright" w:hAnsi="Lucida Bright" w:cs="Calibri"/>
                <w:sz w:val="14"/>
                <w:szCs w:val="14"/>
                <w:lang w:val="es-ES"/>
              </w:rPr>
              <w:t>Ifop</w:t>
            </w:r>
            <w:proofErr w:type="spellEnd"/>
            <w:r w:rsidRPr="004555FE">
              <w:rPr>
                <w:rFonts w:ascii="Lucida Bright" w:hAnsi="Lucida Bright" w:cs="Calibri"/>
                <w:sz w:val="14"/>
                <w:szCs w:val="14"/>
                <w:lang w:val="es-ES"/>
              </w:rPr>
              <w:t xml:space="preserve">, Hada, Red, </w:t>
            </w:r>
            <w:proofErr w:type="spellStart"/>
            <w:r w:rsidRPr="004555FE">
              <w:rPr>
                <w:rFonts w:ascii="Lucida Bright" w:hAnsi="Lucida Bright" w:cs="Calibri"/>
                <w:sz w:val="14"/>
                <w:szCs w:val="14"/>
                <w:lang w:val="es-ES"/>
              </w:rPr>
              <w:t>Poctefex</w:t>
            </w:r>
            <w:proofErr w:type="spellEnd"/>
            <w:r w:rsidRPr="004555FE">
              <w:rPr>
                <w:rFonts w:ascii="Lucida Bright" w:hAnsi="Lucida Bright" w:cs="Calibri"/>
                <w:sz w:val="14"/>
                <w:szCs w:val="14"/>
                <w:lang w:val="es-ES"/>
              </w:rPr>
              <w:t xml:space="preserve">, </w:t>
            </w:r>
            <w:proofErr w:type="spellStart"/>
            <w:r w:rsidRPr="004555FE">
              <w:rPr>
                <w:rFonts w:ascii="Lucida Bright" w:hAnsi="Lucida Bright" w:cs="Calibri"/>
                <w:sz w:val="14"/>
                <w:szCs w:val="14"/>
                <w:lang w:val="es-ES"/>
              </w:rPr>
              <w:t>etc</w:t>
            </w:r>
            <w:proofErr w:type="spellEnd"/>
            <w:r w:rsidRPr="004555FE">
              <w:rPr>
                <w:rFonts w:ascii="Lucida Bright" w:hAnsi="Lucida Bright" w:cs="Calibri"/>
                <w:sz w:val="14"/>
                <w:szCs w:val="14"/>
                <w:lang w:val="es-ES"/>
              </w:rPr>
              <w:t>)</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369.257,30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(10.771,80)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358.485,50 </w:t>
            </w:r>
          </w:p>
        </w:tc>
      </w:tr>
      <w:tr w:rsidR="004555FE" w:rsidRPr="004555FE" w:rsidTr="00E12B17">
        <w:trPr>
          <w:cantSplit/>
          <w:trHeight w:val="158"/>
        </w:trPr>
        <w:tc>
          <w:tcPr>
            <w:tcW w:w="0" w:type="auto"/>
            <w:tcBorders>
              <w:top w:val="nil"/>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i/>
                <w:iCs/>
                <w:sz w:val="14"/>
                <w:szCs w:val="14"/>
                <w:lang w:val="es-ES"/>
              </w:rPr>
            </w:pPr>
            <w:r w:rsidRPr="004555FE">
              <w:rPr>
                <w:rFonts w:ascii="Lucida Bright" w:hAnsi="Lucida Bright" w:cs="Calibri"/>
                <w:i/>
                <w:iCs/>
                <w:sz w:val="14"/>
                <w:szCs w:val="14"/>
                <w:lang w:val="es-ES"/>
              </w:rPr>
              <w:t xml:space="preserve">Mejora de edificio para utillaje y almacén en el </w:t>
            </w:r>
            <w:proofErr w:type="spellStart"/>
            <w:r w:rsidRPr="004555FE">
              <w:rPr>
                <w:rFonts w:ascii="Lucida Bright" w:hAnsi="Lucida Bright" w:cs="Calibri"/>
                <w:i/>
                <w:iCs/>
                <w:sz w:val="14"/>
                <w:szCs w:val="14"/>
                <w:lang w:val="es-ES"/>
              </w:rPr>
              <w:t>Pto</w:t>
            </w:r>
            <w:proofErr w:type="spellEnd"/>
            <w:r w:rsidRPr="004555FE">
              <w:rPr>
                <w:rFonts w:ascii="Lucida Bright" w:hAnsi="Lucida Bright" w:cs="Calibri"/>
                <w:i/>
                <w:iCs/>
                <w:sz w:val="14"/>
                <w:szCs w:val="14"/>
                <w:lang w:val="es-ES"/>
              </w:rPr>
              <w:t>. de Alcudia</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i/>
                <w:iCs/>
                <w:sz w:val="14"/>
                <w:szCs w:val="14"/>
                <w:lang w:val="es-ES"/>
              </w:rPr>
            </w:pPr>
            <w:r w:rsidRPr="004555FE">
              <w:rPr>
                <w:rFonts w:ascii="Lucida Bright" w:hAnsi="Lucida Bright" w:cs="Calibri"/>
                <w:i/>
                <w:iCs/>
                <w:sz w:val="14"/>
                <w:szCs w:val="14"/>
                <w:lang w:val="es-ES"/>
              </w:rPr>
              <w:t xml:space="preserve">137.418,46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rPr>
                <w:rFonts w:ascii="Lucida Bright" w:hAnsi="Lucida Bright" w:cs="Calibri"/>
                <w:i/>
                <w:iCs/>
                <w:sz w:val="14"/>
                <w:szCs w:val="14"/>
                <w:lang w:val="es-ES"/>
              </w:rPr>
            </w:pPr>
            <w:r w:rsidRPr="004555FE">
              <w:rPr>
                <w:rFonts w:ascii="Lucida Bright" w:hAnsi="Lucida Bright" w:cs="Calibri"/>
                <w:i/>
                <w:iCs/>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rPr>
                <w:rFonts w:ascii="Lucida Bright" w:hAnsi="Lucida Bright" w:cs="Calibri"/>
                <w:i/>
                <w:iCs/>
                <w:sz w:val="14"/>
                <w:szCs w:val="14"/>
                <w:lang w:val="es-ES"/>
              </w:rPr>
            </w:pPr>
            <w:r w:rsidRPr="004555FE">
              <w:rPr>
                <w:rFonts w:ascii="Lucida Bright" w:hAnsi="Lucida Bright" w:cs="Calibri"/>
                <w:i/>
                <w:iCs/>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i/>
                <w:iCs/>
                <w:sz w:val="14"/>
                <w:szCs w:val="14"/>
                <w:lang w:val="es-ES"/>
              </w:rPr>
            </w:pPr>
            <w:r w:rsidRPr="004555FE">
              <w:rPr>
                <w:rFonts w:ascii="Lucida Bright" w:hAnsi="Lucida Bright" w:cs="Calibri"/>
                <w:i/>
                <w:iCs/>
                <w:sz w:val="14"/>
                <w:szCs w:val="14"/>
                <w:lang w:val="es-ES"/>
              </w:rPr>
              <w:t xml:space="preserve">(4.256,40)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rPr>
                <w:rFonts w:ascii="Lucida Bright" w:hAnsi="Lucida Bright" w:cs="Calibri"/>
                <w:i/>
                <w:iCs/>
                <w:sz w:val="14"/>
                <w:szCs w:val="14"/>
                <w:lang w:val="es-ES"/>
              </w:rPr>
            </w:pPr>
            <w:r w:rsidRPr="004555FE">
              <w:rPr>
                <w:rFonts w:ascii="Lucida Bright" w:hAnsi="Lucida Bright" w:cs="Calibri"/>
                <w:i/>
                <w:iCs/>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rPr>
                <w:rFonts w:ascii="Lucida Bright" w:hAnsi="Lucida Bright" w:cs="Calibri"/>
                <w:i/>
                <w:iCs/>
                <w:sz w:val="14"/>
                <w:szCs w:val="14"/>
                <w:lang w:val="es-ES"/>
              </w:rPr>
            </w:pPr>
            <w:r w:rsidRPr="004555FE">
              <w:rPr>
                <w:rFonts w:ascii="Lucida Bright" w:hAnsi="Lucida Bright" w:cs="Calibri"/>
                <w:i/>
                <w:iCs/>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i/>
                <w:iCs/>
                <w:sz w:val="14"/>
                <w:szCs w:val="14"/>
                <w:lang w:val="es-ES"/>
              </w:rPr>
            </w:pPr>
            <w:r w:rsidRPr="004555FE">
              <w:rPr>
                <w:rFonts w:ascii="Lucida Bright" w:hAnsi="Lucida Bright" w:cs="Calibri"/>
                <w:i/>
                <w:iCs/>
                <w:sz w:val="14"/>
                <w:szCs w:val="14"/>
                <w:lang w:val="es-ES"/>
              </w:rPr>
              <w:t xml:space="preserve">133.162,06 </w:t>
            </w:r>
          </w:p>
        </w:tc>
      </w:tr>
      <w:tr w:rsidR="004555FE" w:rsidRPr="004555FE" w:rsidTr="00E12B17">
        <w:trPr>
          <w:cantSplit/>
          <w:trHeight w:val="158"/>
        </w:trPr>
        <w:tc>
          <w:tcPr>
            <w:tcW w:w="0" w:type="auto"/>
            <w:tcBorders>
              <w:top w:val="nil"/>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i/>
                <w:iCs/>
                <w:sz w:val="14"/>
                <w:szCs w:val="14"/>
                <w:lang w:val="es-ES"/>
              </w:rPr>
            </w:pPr>
            <w:r w:rsidRPr="004555FE">
              <w:rPr>
                <w:rFonts w:ascii="Lucida Bright" w:hAnsi="Lucida Bright" w:cs="Calibri"/>
                <w:i/>
                <w:iCs/>
                <w:sz w:val="14"/>
                <w:szCs w:val="14"/>
                <w:lang w:val="es-ES"/>
              </w:rPr>
              <w:t xml:space="preserve">Reforma del edificio de servicios pesqueros del </w:t>
            </w:r>
            <w:proofErr w:type="spellStart"/>
            <w:r w:rsidRPr="004555FE">
              <w:rPr>
                <w:rFonts w:ascii="Lucida Bright" w:hAnsi="Lucida Bright" w:cs="Calibri"/>
                <w:i/>
                <w:iCs/>
                <w:sz w:val="14"/>
                <w:szCs w:val="14"/>
                <w:lang w:val="es-ES"/>
              </w:rPr>
              <w:t>Pto</w:t>
            </w:r>
            <w:proofErr w:type="spellEnd"/>
            <w:r w:rsidRPr="004555FE">
              <w:rPr>
                <w:rFonts w:ascii="Lucida Bright" w:hAnsi="Lucida Bright" w:cs="Calibri"/>
                <w:i/>
                <w:iCs/>
                <w:sz w:val="14"/>
                <w:szCs w:val="14"/>
                <w:lang w:val="es-ES"/>
              </w:rPr>
              <w:t>. Ibiza</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i/>
                <w:iCs/>
                <w:sz w:val="14"/>
                <w:szCs w:val="14"/>
                <w:lang w:val="es-ES"/>
              </w:rPr>
            </w:pPr>
            <w:r w:rsidRPr="004555FE">
              <w:rPr>
                <w:rFonts w:ascii="Lucida Bright" w:hAnsi="Lucida Bright" w:cs="Calibri"/>
                <w:i/>
                <w:iCs/>
                <w:sz w:val="14"/>
                <w:szCs w:val="14"/>
                <w:lang w:val="es-ES"/>
              </w:rPr>
              <w:t xml:space="preserve">231.838,84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rPr>
                <w:rFonts w:ascii="Lucida Bright" w:hAnsi="Lucida Bright" w:cs="Calibri"/>
                <w:i/>
                <w:iCs/>
                <w:sz w:val="14"/>
                <w:szCs w:val="14"/>
                <w:lang w:val="es-ES"/>
              </w:rPr>
            </w:pPr>
            <w:r w:rsidRPr="004555FE">
              <w:rPr>
                <w:rFonts w:ascii="Lucida Bright" w:hAnsi="Lucida Bright" w:cs="Calibri"/>
                <w:i/>
                <w:iCs/>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rPr>
                <w:rFonts w:ascii="Lucida Bright" w:hAnsi="Lucida Bright" w:cs="Calibri"/>
                <w:i/>
                <w:iCs/>
                <w:sz w:val="14"/>
                <w:szCs w:val="14"/>
                <w:lang w:val="es-ES"/>
              </w:rPr>
            </w:pPr>
            <w:r w:rsidRPr="004555FE">
              <w:rPr>
                <w:rFonts w:ascii="Lucida Bright" w:hAnsi="Lucida Bright" w:cs="Calibri"/>
                <w:i/>
                <w:iCs/>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i/>
                <w:iCs/>
                <w:sz w:val="14"/>
                <w:szCs w:val="14"/>
                <w:lang w:val="es-ES"/>
              </w:rPr>
            </w:pPr>
            <w:r w:rsidRPr="004555FE">
              <w:rPr>
                <w:rFonts w:ascii="Lucida Bright" w:hAnsi="Lucida Bright" w:cs="Calibri"/>
                <w:i/>
                <w:iCs/>
                <w:sz w:val="14"/>
                <w:szCs w:val="14"/>
                <w:lang w:val="es-ES"/>
              </w:rPr>
              <w:t xml:space="preserve">(6.515,40)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rPr>
                <w:rFonts w:ascii="Lucida Bright" w:hAnsi="Lucida Bright" w:cs="Calibri"/>
                <w:i/>
                <w:iCs/>
                <w:sz w:val="14"/>
                <w:szCs w:val="14"/>
                <w:lang w:val="es-ES"/>
              </w:rPr>
            </w:pPr>
            <w:r w:rsidRPr="004555FE">
              <w:rPr>
                <w:rFonts w:ascii="Lucida Bright" w:hAnsi="Lucida Bright" w:cs="Calibri"/>
                <w:i/>
                <w:iCs/>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rPr>
                <w:rFonts w:ascii="Lucida Bright" w:hAnsi="Lucida Bright" w:cs="Calibri"/>
                <w:i/>
                <w:iCs/>
                <w:sz w:val="14"/>
                <w:szCs w:val="14"/>
                <w:lang w:val="es-ES"/>
              </w:rPr>
            </w:pPr>
            <w:r w:rsidRPr="004555FE">
              <w:rPr>
                <w:rFonts w:ascii="Lucida Bright" w:hAnsi="Lucida Bright" w:cs="Calibri"/>
                <w:i/>
                <w:iCs/>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i/>
                <w:iCs/>
                <w:sz w:val="14"/>
                <w:szCs w:val="14"/>
                <w:lang w:val="es-ES"/>
              </w:rPr>
            </w:pPr>
            <w:r w:rsidRPr="004555FE">
              <w:rPr>
                <w:rFonts w:ascii="Lucida Bright" w:hAnsi="Lucida Bright" w:cs="Calibri"/>
                <w:i/>
                <w:iCs/>
                <w:sz w:val="14"/>
                <w:szCs w:val="14"/>
                <w:lang w:val="es-ES"/>
              </w:rPr>
              <w:t xml:space="preserve">225.323,44 </w:t>
            </w:r>
          </w:p>
        </w:tc>
      </w:tr>
      <w:tr w:rsidR="004555FE" w:rsidRPr="004555FE" w:rsidTr="00E12B17">
        <w:trPr>
          <w:cantSplit/>
          <w:trHeight w:val="158"/>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b/>
                <w:bCs/>
                <w:sz w:val="14"/>
                <w:szCs w:val="14"/>
                <w:lang w:val="es-ES"/>
              </w:rPr>
            </w:pPr>
            <w:r w:rsidRPr="004555FE">
              <w:rPr>
                <w:rFonts w:ascii="Lucida Bright" w:hAnsi="Lucida Bright" w:cs="Calibri"/>
                <w:b/>
                <w:bCs/>
                <w:sz w:val="14"/>
                <w:szCs w:val="14"/>
                <w:lang w:val="es-ES"/>
              </w:rPr>
              <w:t xml:space="preserve">   Fondos MRR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925.981,86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(231.495,46)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694.486,40 </w:t>
            </w:r>
          </w:p>
        </w:tc>
      </w:tr>
      <w:tr w:rsidR="004555FE" w:rsidRPr="004555FE" w:rsidTr="00E12B17">
        <w:trPr>
          <w:cantSplit/>
          <w:trHeight w:val="158"/>
        </w:trPr>
        <w:tc>
          <w:tcPr>
            <w:tcW w:w="0" w:type="auto"/>
            <w:tcBorders>
              <w:top w:val="nil"/>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b/>
                <w:bCs/>
                <w:sz w:val="14"/>
                <w:szCs w:val="14"/>
                <w:lang w:val="es-ES"/>
              </w:rPr>
            </w:pPr>
            <w:r w:rsidRPr="004555FE">
              <w:rPr>
                <w:rFonts w:ascii="Lucida Bright" w:hAnsi="Lucida Bright" w:cs="Calibri"/>
                <w:b/>
                <w:bCs/>
                <w:sz w:val="14"/>
                <w:szCs w:val="14"/>
                <w:lang w:val="es-ES"/>
              </w:rPr>
              <w:t xml:space="preserve">   Otras subvenciones, donaciones y legados de capital</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650.549,70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(170.504,83)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480.044,87 </w:t>
            </w:r>
          </w:p>
        </w:tc>
      </w:tr>
      <w:tr w:rsidR="004555FE" w:rsidRPr="004555FE" w:rsidTr="00E12B17">
        <w:trPr>
          <w:cantSplit/>
          <w:trHeight w:val="158"/>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b/>
                <w:bCs/>
                <w:sz w:val="14"/>
                <w:szCs w:val="14"/>
                <w:lang w:val="es-ES"/>
              </w:rPr>
            </w:pPr>
            <w:r w:rsidRPr="004555FE">
              <w:rPr>
                <w:rFonts w:ascii="Lucida Bright" w:hAnsi="Lucida Bright" w:cs="Calibri"/>
                <w:b/>
                <w:bCs/>
                <w:sz w:val="14"/>
                <w:szCs w:val="14"/>
                <w:lang w:val="es-ES"/>
              </w:rPr>
              <w:t>Otras subvenciones de capital</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r>
      <w:tr w:rsidR="004555FE" w:rsidRPr="004555FE" w:rsidTr="00E12B17">
        <w:trPr>
          <w:cantSplit/>
          <w:trHeight w:val="158"/>
        </w:trPr>
        <w:tc>
          <w:tcPr>
            <w:tcW w:w="0" w:type="auto"/>
            <w:tcBorders>
              <w:top w:val="nil"/>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b/>
                <w:bCs/>
                <w:sz w:val="14"/>
                <w:szCs w:val="14"/>
                <w:lang w:val="es-ES"/>
              </w:rPr>
            </w:pPr>
            <w:r w:rsidRPr="004555FE">
              <w:rPr>
                <w:rFonts w:ascii="Lucida Bright" w:hAnsi="Lucida Bright" w:cs="Calibri"/>
                <w:b/>
                <w:bCs/>
                <w:sz w:val="14"/>
                <w:szCs w:val="14"/>
                <w:lang w:val="es-ES"/>
              </w:rPr>
              <w:t>Donaciones y legados de capital</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650.549,70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(170.504,83)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480.044,87 </w:t>
            </w:r>
          </w:p>
        </w:tc>
      </w:tr>
      <w:tr w:rsidR="004555FE" w:rsidRPr="004555FE" w:rsidTr="00E12B17">
        <w:trPr>
          <w:cantSplit/>
          <w:trHeight w:val="158"/>
        </w:trPr>
        <w:tc>
          <w:tcPr>
            <w:tcW w:w="0" w:type="auto"/>
            <w:tcBorders>
              <w:top w:val="nil"/>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VEHÍCULOS FORMA CENTRALIZADA 2021</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115.457,45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(20.679,00)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94.778,45 </w:t>
            </w:r>
          </w:p>
        </w:tc>
      </w:tr>
      <w:tr w:rsidR="004555FE" w:rsidRPr="004555FE" w:rsidTr="00E12B17">
        <w:trPr>
          <w:cantSplit/>
          <w:trHeight w:val="158"/>
        </w:trPr>
        <w:tc>
          <w:tcPr>
            <w:tcW w:w="0" w:type="auto"/>
            <w:tcBorders>
              <w:top w:val="nil"/>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VEHÍCULOS FORMA CENTRALIZADA 2022</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535.092,25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(149.825,83)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385.266,42 </w:t>
            </w:r>
          </w:p>
        </w:tc>
      </w:tr>
      <w:tr w:rsidR="004555FE" w:rsidRPr="004555FE" w:rsidTr="00E12B17">
        <w:trPr>
          <w:cantSplit/>
          <w:trHeight w:val="158"/>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b/>
                <w:bCs/>
                <w:sz w:val="14"/>
                <w:szCs w:val="14"/>
                <w:lang w:val="es-ES"/>
              </w:rPr>
            </w:pPr>
            <w:r w:rsidRPr="004555FE">
              <w:rPr>
                <w:rFonts w:ascii="Lucida Bright" w:hAnsi="Lucida Bright" w:cs="Calibri"/>
                <w:b/>
                <w:bCs/>
                <w:sz w:val="14"/>
                <w:szCs w:val="14"/>
                <w:lang w:val="es-ES"/>
              </w:rPr>
              <w:t xml:space="preserve"> TOTAL SUBVENCIONES, DONACIONES Y LEGADOS DE CAPITAL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19.488.075,25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1.196.160,57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(299.040,13)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(769.648,38)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19.615.547,31 </w:t>
            </w:r>
          </w:p>
        </w:tc>
      </w:tr>
      <w:tr w:rsidR="004555FE" w:rsidRPr="004555FE" w:rsidTr="00E12B17">
        <w:trPr>
          <w:cantSplit/>
          <w:trHeight w:val="158"/>
        </w:trPr>
        <w:tc>
          <w:tcPr>
            <w:tcW w:w="0" w:type="auto"/>
            <w:tcBorders>
              <w:top w:val="nil"/>
              <w:left w:val="single" w:sz="4" w:space="0" w:color="auto"/>
              <w:bottom w:val="nil"/>
              <w:right w:val="nil"/>
            </w:tcBorders>
            <w:shd w:val="clear" w:color="000000" w:fill="FFFFFF"/>
            <w:noWrap/>
            <w:vAlign w:val="bottom"/>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 </w:t>
            </w:r>
          </w:p>
        </w:tc>
        <w:tc>
          <w:tcPr>
            <w:tcW w:w="0" w:type="auto"/>
            <w:tcBorders>
              <w:top w:val="nil"/>
              <w:left w:val="nil"/>
              <w:bottom w:val="single" w:sz="4" w:space="0" w:color="auto"/>
              <w:right w:val="nil"/>
            </w:tcBorders>
            <w:shd w:val="clear" w:color="000000" w:fill="FFFFFF"/>
            <w:noWrap/>
            <w:vAlign w:val="bottom"/>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 </w:t>
            </w:r>
          </w:p>
        </w:tc>
        <w:tc>
          <w:tcPr>
            <w:tcW w:w="0" w:type="auto"/>
            <w:tcBorders>
              <w:top w:val="nil"/>
              <w:left w:val="nil"/>
              <w:bottom w:val="single" w:sz="4" w:space="0" w:color="auto"/>
              <w:right w:val="nil"/>
            </w:tcBorders>
            <w:shd w:val="clear" w:color="000000" w:fill="FFFFFF"/>
            <w:noWrap/>
            <w:vAlign w:val="bottom"/>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 </w:t>
            </w:r>
          </w:p>
        </w:tc>
        <w:tc>
          <w:tcPr>
            <w:tcW w:w="0" w:type="auto"/>
            <w:tcBorders>
              <w:top w:val="nil"/>
              <w:left w:val="nil"/>
              <w:bottom w:val="nil"/>
              <w:right w:val="nil"/>
            </w:tcBorders>
            <w:shd w:val="clear" w:color="000000" w:fill="FFFFFF"/>
            <w:noWrap/>
            <w:vAlign w:val="bottom"/>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 </w:t>
            </w:r>
          </w:p>
        </w:tc>
        <w:tc>
          <w:tcPr>
            <w:tcW w:w="0" w:type="auto"/>
            <w:tcBorders>
              <w:top w:val="nil"/>
              <w:left w:val="nil"/>
              <w:bottom w:val="nil"/>
              <w:right w:val="nil"/>
            </w:tcBorders>
            <w:shd w:val="clear" w:color="000000" w:fill="FFFFFF"/>
            <w:noWrap/>
            <w:vAlign w:val="bottom"/>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 </w:t>
            </w:r>
          </w:p>
        </w:tc>
        <w:tc>
          <w:tcPr>
            <w:tcW w:w="0" w:type="auto"/>
            <w:tcBorders>
              <w:top w:val="nil"/>
              <w:left w:val="nil"/>
              <w:bottom w:val="nil"/>
              <w:right w:val="nil"/>
            </w:tcBorders>
            <w:shd w:val="clear" w:color="000000" w:fill="FFFFFF"/>
            <w:noWrap/>
            <w:vAlign w:val="bottom"/>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 </w:t>
            </w:r>
          </w:p>
        </w:tc>
        <w:tc>
          <w:tcPr>
            <w:tcW w:w="0" w:type="auto"/>
            <w:tcBorders>
              <w:top w:val="nil"/>
              <w:left w:val="nil"/>
              <w:bottom w:val="nil"/>
              <w:right w:val="nil"/>
            </w:tcBorders>
            <w:shd w:val="clear" w:color="000000" w:fill="FFFFFF"/>
            <w:noWrap/>
            <w:vAlign w:val="bottom"/>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 </w:t>
            </w:r>
          </w:p>
        </w:tc>
      </w:tr>
      <w:tr w:rsidR="004555FE" w:rsidRPr="004555FE" w:rsidTr="00E12B17">
        <w:trPr>
          <w:cantSplit/>
          <w:trHeight w:val="158"/>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Otras subvenciones, donaciones y legados</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r>
      <w:tr w:rsidR="004555FE" w:rsidRPr="004555FE" w:rsidTr="00E12B17">
        <w:trPr>
          <w:cantSplit/>
          <w:trHeight w:val="158"/>
        </w:trPr>
        <w:tc>
          <w:tcPr>
            <w:tcW w:w="0" w:type="auto"/>
            <w:tcBorders>
              <w:top w:val="nil"/>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Ingresos diferidos por intereses subvencionados</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sz w:val="14"/>
                <w:szCs w:val="14"/>
                <w:lang w:val="es-ES"/>
              </w:rPr>
            </w:pPr>
            <w:r w:rsidRPr="004555FE">
              <w:rPr>
                <w:rFonts w:ascii="Lucida Bright" w:hAnsi="Lucida Bright" w:cs="Calibri"/>
                <w:sz w:val="14"/>
                <w:szCs w:val="14"/>
                <w:lang w:val="es-ES"/>
              </w:rPr>
              <w:t xml:space="preserve">- </w:t>
            </w:r>
          </w:p>
        </w:tc>
      </w:tr>
      <w:tr w:rsidR="004555FE" w:rsidRPr="004555FE" w:rsidTr="00E12B17">
        <w:trPr>
          <w:cantSplit/>
          <w:trHeight w:val="158"/>
        </w:trPr>
        <w:tc>
          <w:tcPr>
            <w:tcW w:w="0" w:type="auto"/>
            <w:tcBorders>
              <w:top w:val="nil"/>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b/>
                <w:bCs/>
                <w:sz w:val="14"/>
                <w:szCs w:val="14"/>
                <w:lang w:val="es-ES"/>
              </w:rPr>
            </w:pPr>
            <w:r w:rsidRPr="004555FE">
              <w:rPr>
                <w:rFonts w:ascii="Lucida Bright" w:hAnsi="Lucida Bright" w:cs="Calibri"/>
                <w:b/>
                <w:bCs/>
                <w:sz w:val="14"/>
                <w:szCs w:val="14"/>
                <w:lang w:val="es-ES"/>
              </w:rPr>
              <w:t xml:space="preserve"> TOTAL OTRAS SUBVENCIONES, DONACIONES Y LEGADOS</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r>
      <w:tr w:rsidR="004555FE" w:rsidRPr="004555FE" w:rsidTr="00E12B17">
        <w:trPr>
          <w:cantSplit/>
          <w:trHeight w:val="158"/>
        </w:trPr>
        <w:tc>
          <w:tcPr>
            <w:tcW w:w="0" w:type="auto"/>
            <w:tcBorders>
              <w:top w:val="nil"/>
              <w:left w:val="single" w:sz="4" w:space="0" w:color="auto"/>
              <w:bottom w:val="nil"/>
              <w:right w:val="nil"/>
            </w:tcBorders>
            <w:shd w:val="clear" w:color="000000" w:fill="FFFFFF"/>
            <w:noWrap/>
            <w:vAlign w:val="bottom"/>
            <w:hideMark/>
          </w:tcPr>
          <w:p w:rsidR="004555FE" w:rsidRPr="004555FE" w:rsidRDefault="004555FE" w:rsidP="004555FE">
            <w:pPr>
              <w:rPr>
                <w:rFonts w:ascii="Lucida Bright" w:hAnsi="Lucida Bright" w:cs="Calibri"/>
                <w:color w:val="000000"/>
                <w:sz w:val="14"/>
                <w:szCs w:val="14"/>
                <w:lang w:val="es-ES"/>
              </w:rPr>
            </w:pPr>
            <w:r w:rsidRPr="004555FE">
              <w:rPr>
                <w:rFonts w:ascii="Lucida Bright" w:hAnsi="Lucida Bright" w:cs="Calibri"/>
                <w:color w:val="000000"/>
                <w:sz w:val="14"/>
                <w:szCs w:val="14"/>
                <w:lang w:val="es-ES"/>
              </w:rPr>
              <w:t> </w:t>
            </w:r>
          </w:p>
        </w:tc>
        <w:tc>
          <w:tcPr>
            <w:tcW w:w="0" w:type="auto"/>
            <w:tcBorders>
              <w:top w:val="nil"/>
              <w:left w:val="nil"/>
              <w:bottom w:val="single" w:sz="4" w:space="0" w:color="auto"/>
              <w:right w:val="nil"/>
            </w:tcBorders>
            <w:shd w:val="clear" w:color="000000" w:fill="FFFFFF"/>
            <w:noWrap/>
            <w:vAlign w:val="bottom"/>
            <w:hideMark/>
          </w:tcPr>
          <w:p w:rsidR="004555FE" w:rsidRPr="004555FE" w:rsidRDefault="004555FE" w:rsidP="004555FE">
            <w:pPr>
              <w:rPr>
                <w:rFonts w:ascii="Lucida Bright" w:hAnsi="Lucida Bright" w:cs="Calibri"/>
                <w:color w:val="000000"/>
                <w:sz w:val="14"/>
                <w:szCs w:val="14"/>
                <w:lang w:val="es-ES"/>
              </w:rPr>
            </w:pPr>
            <w:r w:rsidRPr="004555FE">
              <w:rPr>
                <w:rFonts w:ascii="Lucida Bright" w:hAnsi="Lucida Bright" w:cs="Calibri"/>
                <w:color w:val="000000"/>
                <w:sz w:val="14"/>
                <w:szCs w:val="14"/>
                <w:lang w:val="es-ES"/>
              </w:rPr>
              <w:t> </w:t>
            </w:r>
          </w:p>
        </w:tc>
        <w:tc>
          <w:tcPr>
            <w:tcW w:w="0" w:type="auto"/>
            <w:tcBorders>
              <w:top w:val="nil"/>
              <w:left w:val="nil"/>
              <w:bottom w:val="single" w:sz="4" w:space="0" w:color="auto"/>
              <w:right w:val="nil"/>
            </w:tcBorders>
            <w:shd w:val="clear" w:color="000000" w:fill="FFFFFF"/>
            <w:noWrap/>
            <w:vAlign w:val="bottom"/>
            <w:hideMark/>
          </w:tcPr>
          <w:p w:rsidR="004555FE" w:rsidRPr="004555FE" w:rsidRDefault="004555FE" w:rsidP="004555FE">
            <w:pPr>
              <w:rPr>
                <w:rFonts w:ascii="Lucida Bright" w:hAnsi="Lucida Bright" w:cs="Calibri"/>
                <w:color w:val="000000"/>
                <w:sz w:val="14"/>
                <w:szCs w:val="14"/>
                <w:lang w:val="es-ES"/>
              </w:rPr>
            </w:pPr>
            <w:r w:rsidRPr="004555FE">
              <w:rPr>
                <w:rFonts w:ascii="Lucida Bright" w:hAnsi="Lucida Bright" w:cs="Calibri"/>
                <w:color w:val="000000"/>
                <w:sz w:val="14"/>
                <w:szCs w:val="14"/>
                <w:lang w:val="es-ES"/>
              </w:rPr>
              <w:t> </w:t>
            </w:r>
          </w:p>
        </w:tc>
        <w:tc>
          <w:tcPr>
            <w:tcW w:w="0" w:type="auto"/>
            <w:tcBorders>
              <w:top w:val="nil"/>
              <w:left w:val="nil"/>
              <w:bottom w:val="nil"/>
              <w:right w:val="nil"/>
            </w:tcBorders>
            <w:shd w:val="clear" w:color="000000" w:fill="FFFFFF"/>
            <w:noWrap/>
            <w:vAlign w:val="bottom"/>
            <w:hideMark/>
          </w:tcPr>
          <w:p w:rsidR="004555FE" w:rsidRPr="004555FE" w:rsidRDefault="004555FE" w:rsidP="004555FE">
            <w:pPr>
              <w:rPr>
                <w:rFonts w:ascii="Lucida Bright" w:hAnsi="Lucida Bright" w:cs="Calibri"/>
                <w:color w:val="000000"/>
                <w:sz w:val="14"/>
                <w:szCs w:val="14"/>
                <w:lang w:val="es-ES"/>
              </w:rPr>
            </w:pPr>
            <w:r w:rsidRPr="004555FE">
              <w:rPr>
                <w:rFonts w:ascii="Lucida Bright" w:hAnsi="Lucida Bright" w:cs="Calibri"/>
                <w:color w:val="000000"/>
                <w:sz w:val="14"/>
                <w:szCs w:val="14"/>
                <w:lang w:val="es-ES"/>
              </w:rPr>
              <w:t> </w:t>
            </w:r>
          </w:p>
        </w:tc>
        <w:tc>
          <w:tcPr>
            <w:tcW w:w="0" w:type="auto"/>
            <w:tcBorders>
              <w:top w:val="nil"/>
              <w:left w:val="nil"/>
              <w:bottom w:val="nil"/>
              <w:right w:val="nil"/>
            </w:tcBorders>
            <w:shd w:val="clear" w:color="000000" w:fill="FFFFFF"/>
            <w:noWrap/>
            <w:vAlign w:val="bottom"/>
            <w:hideMark/>
          </w:tcPr>
          <w:p w:rsidR="004555FE" w:rsidRPr="004555FE" w:rsidRDefault="004555FE" w:rsidP="004555FE">
            <w:pPr>
              <w:rPr>
                <w:rFonts w:ascii="Lucida Bright" w:hAnsi="Lucida Bright" w:cs="Calibri"/>
                <w:color w:val="000000"/>
                <w:sz w:val="14"/>
                <w:szCs w:val="14"/>
                <w:lang w:val="es-ES"/>
              </w:rPr>
            </w:pPr>
            <w:r w:rsidRPr="004555FE">
              <w:rPr>
                <w:rFonts w:ascii="Lucida Bright" w:hAnsi="Lucida Bright" w:cs="Calibri"/>
                <w:color w:val="000000"/>
                <w:sz w:val="14"/>
                <w:szCs w:val="14"/>
                <w:lang w:val="es-ES"/>
              </w:rPr>
              <w:t> </w:t>
            </w:r>
          </w:p>
        </w:tc>
        <w:tc>
          <w:tcPr>
            <w:tcW w:w="0" w:type="auto"/>
            <w:tcBorders>
              <w:top w:val="nil"/>
              <w:left w:val="nil"/>
              <w:bottom w:val="nil"/>
              <w:right w:val="nil"/>
            </w:tcBorders>
            <w:shd w:val="clear" w:color="000000" w:fill="FFFFFF"/>
            <w:noWrap/>
            <w:vAlign w:val="bottom"/>
            <w:hideMark/>
          </w:tcPr>
          <w:p w:rsidR="004555FE" w:rsidRPr="004555FE" w:rsidRDefault="004555FE" w:rsidP="004555FE">
            <w:pPr>
              <w:rPr>
                <w:rFonts w:ascii="Lucida Bright" w:hAnsi="Lucida Bright" w:cs="Calibri"/>
                <w:color w:val="000000"/>
                <w:sz w:val="14"/>
                <w:szCs w:val="14"/>
                <w:lang w:val="es-ES"/>
              </w:rPr>
            </w:pPr>
            <w:r w:rsidRPr="004555FE">
              <w:rPr>
                <w:rFonts w:ascii="Lucida Bright" w:hAnsi="Lucida Bright" w:cs="Calibri"/>
                <w:color w:val="000000"/>
                <w:sz w:val="14"/>
                <w:szCs w:val="14"/>
                <w:lang w:val="es-ES"/>
              </w:rPr>
              <w:t> </w:t>
            </w:r>
          </w:p>
        </w:tc>
        <w:tc>
          <w:tcPr>
            <w:tcW w:w="0" w:type="auto"/>
            <w:tcBorders>
              <w:top w:val="nil"/>
              <w:left w:val="nil"/>
              <w:bottom w:val="nil"/>
              <w:right w:val="nil"/>
            </w:tcBorders>
            <w:shd w:val="clear" w:color="000000" w:fill="FFFFFF"/>
            <w:noWrap/>
            <w:vAlign w:val="bottom"/>
            <w:hideMark/>
          </w:tcPr>
          <w:p w:rsidR="004555FE" w:rsidRPr="004555FE" w:rsidRDefault="004555FE" w:rsidP="004555FE">
            <w:pPr>
              <w:rPr>
                <w:rFonts w:ascii="Lucida Bright" w:hAnsi="Lucida Bright" w:cs="Calibri"/>
                <w:color w:val="000000"/>
                <w:sz w:val="14"/>
                <w:szCs w:val="14"/>
                <w:lang w:val="es-ES"/>
              </w:rPr>
            </w:pPr>
            <w:r w:rsidRPr="004555FE">
              <w:rPr>
                <w:rFonts w:ascii="Lucida Bright" w:hAnsi="Lucida Bright" w:cs="Calibri"/>
                <w:color w:val="000000"/>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4555FE" w:rsidRPr="004555FE" w:rsidRDefault="004555FE" w:rsidP="004555FE">
            <w:pPr>
              <w:rPr>
                <w:rFonts w:ascii="Lucida Bright" w:hAnsi="Lucida Bright" w:cs="Calibri"/>
                <w:color w:val="000000"/>
                <w:sz w:val="14"/>
                <w:szCs w:val="14"/>
                <w:lang w:val="es-ES"/>
              </w:rPr>
            </w:pPr>
            <w:r w:rsidRPr="004555FE">
              <w:rPr>
                <w:rFonts w:ascii="Lucida Bright" w:hAnsi="Lucida Bright" w:cs="Calibri"/>
                <w:color w:val="000000"/>
                <w:sz w:val="14"/>
                <w:szCs w:val="14"/>
                <w:lang w:val="es-ES"/>
              </w:rPr>
              <w:t> </w:t>
            </w:r>
          </w:p>
        </w:tc>
      </w:tr>
      <w:tr w:rsidR="004555FE" w:rsidRPr="004555FE" w:rsidTr="00E12B17">
        <w:trPr>
          <w:cantSplit/>
          <w:trHeight w:val="158"/>
        </w:trPr>
        <w:tc>
          <w:tcPr>
            <w:tcW w:w="0" w:type="auto"/>
            <w:tcBorders>
              <w:top w:val="single" w:sz="4" w:space="0" w:color="auto"/>
              <w:left w:val="single" w:sz="4" w:space="0" w:color="auto"/>
              <w:bottom w:val="single" w:sz="4" w:space="0" w:color="auto"/>
              <w:right w:val="nil"/>
            </w:tcBorders>
            <w:shd w:val="clear" w:color="000000" w:fill="FFFFFF"/>
            <w:noWrap/>
            <w:vAlign w:val="center"/>
            <w:hideMark/>
          </w:tcPr>
          <w:p w:rsidR="004555FE" w:rsidRPr="004555FE" w:rsidRDefault="004555FE" w:rsidP="004555FE">
            <w:pPr>
              <w:rPr>
                <w:rFonts w:ascii="Lucida Bright" w:hAnsi="Lucida Bright" w:cs="Calibri"/>
                <w:b/>
                <w:bCs/>
                <w:sz w:val="14"/>
                <w:szCs w:val="14"/>
                <w:lang w:val="es-ES"/>
              </w:rPr>
            </w:pPr>
            <w:r w:rsidRPr="004555FE">
              <w:rPr>
                <w:rFonts w:ascii="Lucida Bright" w:hAnsi="Lucida Bright" w:cs="Calibri"/>
                <w:b/>
                <w:bCs/>
                <w:sz w:val="14"/>
                <w:szCs w:val="14"/>
                <w:lang w:val="es-ES"/>
              </w:rPr>
              <w:t xml:space="preserve"> TOTAL INGRESOS POR REVERSIÓN DE CONCESIONES</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2.171.424,86 </w:t>
            </w:r>
          </w:p>
        </w:tc>
        <w:tc>
          <w:tcPr>
            <w:tcW w:w="0" w:type="auto"/>
            <w:tcBorders>
              <w:top w:val="nil"/>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(121.594,21)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2.049.830,65 </w:t>
            </w:r>
          </w:p>
        </w:tc>
      </w:tr>
      <w:tr w:rsidR="004555FE" w:rsidRPr="004555FE" w:rsidTr="00E12B17">
        <w:trPr>
          <w:cantSplit/>
          <w:trHeight w:val="158"/>
        </w:trPr>
        <w:tc>
          <w:tcPr>
            <w:tcW w:w="0" w:type="auto"/>
            <w:tcBorders>
              <w:top w:val="nil"/>
              <w:left w:val="single" w:sz="4" w:space="0" w:color="auto"/>
              <w:bottom w:val="nil"/>
              <w:right w:val="nil"/>
            </w:tcBorders>
            <w:shd w:val="clear" w:color="000000" w:fill="FFFFFF"/>
            <w:noWrap/>
            <w:vAlign w:val="bottom"/>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 </w:t>
            </w:r>
          </w:p>
        </w:tc>
        <w:tc>
          <w:tcPr>
            <w:tcW w:w="0" w:type="auto"/>
            <w:tcBorders>
              <w:top w:val="nil"/>
              <w:left w:val="nil"/>
              <w:bottom w:val="single" w:sz="4" w:space="0" w:color="auto"/>
              <w:right w:val="nil"/>
            </w:tcBorders>
            <w:shd w:val="clear" w:color="000000" w:fill="FFFFFF"/>
            <w:noWrap/>
            <w:vAlign w:val="bottom"/>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 </w:t>
            </w:r>
          </w:p>
        </w:tc>
        <w:tc>
          <w:tcPr>
            <w:tcW w:w="0" w:type="auto"/>
            <w:tcBorders>
              <w:top w:val="nil"/>
              <w:left w:val="nil"/>
              <w:bottom w:val="single" w:sz="4" w:space="0" w:color="auto"/>
              <w:right w:val="nil"/>
            </w:tcBorders>
            <w:shd w:val="clear" w:color="000000" w:fill="FFFFFF"/>
            <w:noWrap/>
            <w:vAlign w:val="bottom"/>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 </w:t>
            </w:r>
          </w:p>
        </w:tc>
        <w:tc>
          <w:tcPr>
            <w:tcW w:w="0" w:type="auto"/>
            <w:tcBorders>
              <w:top w:val="nil"/>
              <w:left w:val="nil"/>
              <w:bottom w:val="nil"/>
              <w:right w:val="nil"/>
            </w:tcBorders>
            <w:shd w:val="clear" w:color="000000" w:fill="FFFFFF"/>
            <w:noWrap/>
            <w:vAlign w:val="bottom"/>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 </w:t>
            </w:r>
          </w:p>
        </w:tc>
        <w:tc>
          <w:tcPr>
            <w:tcW w:w="0" w:type="auto"/>
            <w:tcBorders>
              <w:top w:val="nil"/>
              <w:left w:val="nil"/>
              <w:bottom w:val="nil"/>
              <w:right w:val="nil"/>
            </w:tcBorders>
            <w:shd w:val="clear" w:color="000000" w:fill="FFFFFF"/>
            <w:noWrap/>
            <w:vAlign w:val="bottom"/>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 </w:t>
            </w:r>
          </w:p>
        </w:tc>
        <w:tc>
          <w:tcPr>
            <w:tcW w:w="0" w:type="auto"/>
            <w:tcBorders>
              <w:top w:val="nil"/>
              <w:left w:val="nil"/>
              <w:bottom w:val="nil"/>
              <w:right w:val="nil"/>
            </w:tcBorders>
            <w:shd w:val="clear" w:color="000000" w:fill="FFFFFF"/>
            <w:noWrap/>
            <w:vAlign w:val="bottom"/>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 </w:t>
            </w:r>
          </w:p>
        </w:tc>
        <w:tc>
          <w:tcPr>
            <w:tcW w:w="0" w:type="auto"/>
            <w:tcBorders>
              <w:top w:val="nil"/>
              <w:left w:val="nil"/>
              <w:bottom w:val="nil"/>
              <w:right w:val="nil"/>
            </w:tcBorders>
            <w:shd w:val="clear" w:color="000000" w:fill="FFFFFF"/>
            <w:noWrap/>
            <w:vAlign w:val="bottom"/>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 </w:t>
            </w:r>
          </w:p>
        </w:tc>
        <w:tc>
          <w:tcPr>
            <w:tcW w:w="0" w:type="auto"/>
            <w:tcBorders>
              <w:top w:val="nil"/>
              <w:left w:val="nil"/>
              <w:bottom w:val="nil"/>
              <w:right w:val="single" w:sz="4" w:space="0" w:color="auto"/>
            </w:tcBorders>
            <w:shd w:val="clear" w:color="000000" w:fill="FFFFFF"/>
            <w:noWrap/>
            <w:vAlign w:val="bottom"/>
            <w:hideMark/>
          </w:tcPr>
          <w:p w:rsidR="004555FE" w:rsidRPr="004555FE" w:rsidRDefault="004555FE" w:rsidP="004555FE">
            <w:pPr>
              <w:rPr>
                <w:rFonts w:ascii="Lucida Bright" w:hAnsi="Lucida Bright" w:cs="Calibri"/>
                <w:sz w:val="14"/>
                <w:szCs w:val="14"/>
                <w:lang w:val="es-ES"/>
              </w:rPr>
            </w:pPr>
            <w:r w:rsidRPr="004555FE">
              <w:rPr>
                <w:rFonts w:ascii="Lucida Bright" w:hAnsi="Lucida Bright" w:cs="Calibri"/>
                <w:sz w:val="14"/>
                <w:szCs w:val="14"/>
                <w:lang w:val="es-ES"/>
              </w:rPr>
              <w:t> </w:t>
            </w:r>
          </w:p>
        </w:tc>
      </w:tr>
      <w:tr w:rsidR="004555FE" w:rsidRPr="004555FE" w:rsidTr="00E12B17">
        <w:trPr>
          <w:cantSplit/>
          <w:trHeight w:val="158"/>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rsidR="004555FE" w:rsidRPr="004555FE" w:rsidRDefault="004555FE" w:rsidP="004555FE">
            <w:pPr>
              <w:jc w:val="center"/>
              <w:rPr>
                <w:rFonts w:ascii="Lucida Bright" w:hAnsi="Lucida Bright" w:cs="Calibri"/>
                <w:b/>
                <w:bCs/>
                <w:sz w:val="14"/>
                <w:szCs w:val="14"/>
                <w:lang w:val="es-ES"/>
              </w:rPr>
            </w:pPr>
            <w:r w:rsidRPr="004555FE">
              <w:rPr>
                <w:rFonts w:ascii="Lucida Bright" w:hAnsi="Lucida Bright" w:cs="Calibri"/>
                <w:b/>
                <w:bCs/>
                <w:sz w:val="14"/>
                <w:szCs w:val="14"/>
                <w:lang w:val="es-ES"/>
              </w:rPr>
              <w:t>TOTAL SUBVENCIONES, DONACIONES Y LEGADOS RECIBIDOS</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21.659.500,11 </w:t>
            </w:r>
          </w:p>
        </w:tc>
        <w:tc>
          <w:tcPr>
            <w:tcW w:w="0" w:type="auto"/>
            <w:tcBorders>
              <w:top w:val="nil"/>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1.196.160,57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(299.040,13)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(891.242,59)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555FE" w:rsidRPr="004555FE" w:rsidRDefault="004555FE" w:rsidP="004555FE">
            <w:pPr>
              <w:jc w:val="right"/>
              <w:rPr>
                <w:rFonts w:ascii="Lucida Bright" w:hAnsi="Lucida Bright" w:cs="Calibri"/>
                <w:b/>
                <w:bCs/>
                <w:sz w:val="14"/>
                <w:szCs w:val="14"/>
                <w:lang w:val="es-ES"/>
              </w:rPr>
            </w:pPr>
            <w:r w:rsidRPr="004555FE">
              <w:rPr>
                <w:rFonts w:ascii="Lucida Bright" w:hAnsi="Lucida Bright" w:cs="Calibri"/>
                <w:b/>
                <w:bCs/>
                <w:sz w:val="14"/>
                <w:szCs w:val="14"/>
                <w:lang w:val="es-ES"/>
              </w:rPr>
              <w:t xml:space="preserve">21.665.377,96 </w:t>
            </w:r>
          </w:p>
        </w:tc>
      </w:tr>
    </w:tbl>
    <w:p w:rsidR="00BF0DDB" w:rsidRDefault="00BF0DDB">
      <w:pPr>
        <w:sectPr w:rsidR="00BF0DDB" w:rsidSect="00695D9E">
          <w:pgSz w:w="16840" w:h="11907" w:orient="landscape" w:code="9"/>
          <w:pgMar w:top="1985" w:right="1701" w:bottom="426" w:left="1701" w:header="567" w:footer="720" w:gutter="0"/>
          <w:cols w:space="720"/>
          <w:docGrid w:linePitch="272"/>
        </w:sectPr>
      </w:pPr>
    </w:p>
    <w:p w:rsidR="00BF0DDB" w:rsidRDefault="00BF0DDB"/>
    <w:p w:rsidR="00914B2C" w:rsidRPr="00500823" w:rsidRDefault="00914B2C" w:rsidP="00914B2C">
      <w:pPr>
        <w:numPr>
          <w:ilvl w:val="0"/>
          <w:numId w:val="2"/>
        </w:numPr>
        <w:tabs>
          <w:tab w:val="right" w:pos="8364"/>
        </w:tabs>
        <w:ind w:hanging="219"/>
        <w:jc w:val="both"/>
        <w:rPr>
          <w:rFonts w:ascii="NewBaskerville" w:hAnsi="NewBaskerville"/>
          <w:b/>
          <w:bCs/>
        </w:rPr>
      </w:pPr>
      <w:r w:rsidRPr="00500823">
        <w:rPr>
          <w:rFonts w:ascii="NewBaskerville" w:hAnsi="NewBaskerville"/>
        </w:rPr>
        <w:t>Subvención Fondos de Cohesión</w:t>
      </w:r>
    </w:p>
    <w:p w:rsidR="00914B2C" w:rsidRPr="00500823" w:rsidRDefault="00914B2C" w:rsidP="00914B2C">
      <w:pPr>
        <w:tabs>
          <w:tab w:val="right" w:pos="8364"/>
        </w:tabs>
        <w:jc w:val="both"/>
        <w:rPr>
          <w:rFonts w:ascii="NewBaskerville" w:hAnsi="NewBaskerville"/>
        </w:rPr>
      </w:pPr>
    </w:p>
    <w:p w:rsidR="00914B2C" w:rsidRDefault="00A861CC" w:rsidP="00914B2C">
      <w:pPr>
        <w:tabs>
          <w:tab w:val="right" w:pos="8364"/>
        </w:tabs>
        <w:ind w:firstLine="567"/>
        <w:jc w:val="both"/>
      </w:pPr>
      <w:r>
        <w:rPr>
          <w:rFonts w:ascii="NewBaskerville" w:hAnsi="NewBaskerville"/>
        </w:rPr>
        <w:t>La</w:t>
      </w:r>
      <w:r w:rsidR="00914B2C" w:rsidRPr="00500823">
        <w:rPr>
          <w:rFonts w:ascii="NewBaskerville" w:hAnsi="NewBaskerville"/>
        </w:rPr>
        <w:t xml:space="preserve"> AP</w:t>
      </w:r>
      <w:r w:rsidR="00500823">
        <w:rPr>
          <w:rFonts w:ascii="NewBaskerville" w:hAnsi="NewBaskerville"/>
        </w:rPr>
        <w:t>B</w:t>
      </w:r>
      <w:r w:rsidR="00914B2C" w:rsidRPr="00500823">
        <w:rPr>
          <w:rFonts w:ascii="NewBaskerville" w:hAnsi="NewBaskerville"/>
        </w:rPr>
        <w:t xml:space="preserve"> ha recibido Fondos de Cohesión para la construcción del Dique de </w:t>
      </w:r>
      <w:proofErr w:type="spellStart"/>
      <w:r w:rsidR="00914B2C" w:rsidRPr="00500823">
        <w:rPr>
          <w:rFonts w:ascii="NewBaskerville" w:hAnsi="NewBaskerville"/>
        </w:rPr>
        <w:t>Botafoc</w:t>
      </w:r>
      <w:proofErr w:type="spellEnd"/>
      <w:r w:rsidR="00914B2C" w:rsidRPr="00500823">
        <w:rPr>
          <w:rFonts w:ascii="NewBaskerville" w:hAnsi="NewBaskerville"/>
        </w:rPr>
        <w:t xml:space="preserve"> en el puerto de Ibiza, la Ampliación de la explanada sur de los Muelles Comerciales del puerto de Palma y la Ampliación y mejora de los Muelles del </w:t>
      </w:r>
      <w:proofErr w:type="spellStart"/>
      <w:r w:rsidR="00914B2C" w:rsidRPr="00500823">
        <w:rPr>
          <w:rFonts w:ascii="NewBaskerville" w:hAnsi="NewBaskerville"/>
        </w:rPr>
        <w:t>Cos</w:t>
      </w:r>
      <w:proofErr w:type="spellEnd"/>
      <w:r w:rsidR="00914B2C" w:rsidRPr="00500823">
        <w:rPr>
          <w:rFonts w:ascii="NewBaskerville" w:hAnsi="NewBaskerville"/>
        </w:rPr>
        <w:t xml:space="preserve"> </w:t>
      </w:r>
      <w:proofErr w:type="spellStart"/>
      <w:r w:rsidR="00914B2C" w:rsidRPr="00500823">
        <w:rPr>
          <w:rFonts w:ascii="NewBaskerville" w:hAnsi="NewBaskerville"/>
        </w:rPr>
        <w:t>Nou</w:t>
      </w:r>
      <w:proofErr w:type="spellEnd"/>
      <w:r w:rsidR="00914B2C" w:rsidRPr="00500823">
        <w:rPr>
          <w:rFonts w:ascii="NewBaskerville" w:hAnsi="NewBaskerville"/>
        </w:rPr>
        <w:t xml:space="preserve"> en el puerto de Mahón. Todos estos activos ya se han incorporado al inmovilizado por lo que se han traspasado determinados importes al </w:t>
      </w:r>
      <w:r w:rsidR="003F5177" w:rsidRPr="00500823">
        <w:rPr>
          <w:rFonts w:ascii="NewBaskerville" w:hAnsi="NewBaskerville"/>
        </w:rPr>
        <w:t>r</w:t>
      </w:r>
      <w:r w:rsidR="00E12B17">
        <w:rPr>
          <w:rFonts w:ascii="NewBaskerville" w:hAnsi="NewBaskerville"/>
        </w:rPr>
        <w:t>esultado</w:t>
      </w:r>
      <w:r w:rsidR="00FA699C" w:rsidRPr="00500823">
        <w:rPr>
          <w:rFonts w:ascii="NewBaskerville" w:hAnsi="NewBaskerville"/>
        </w:rPr>
        <w:t xml:space="preserve"> del ejercicio 202</w:t>
      </w:r>
      <w:r w:rsidR="00E12B17">
        <w:rPr>
          <w:rFonts w:ascii="NewBaskerville" w:hAnsi="NewBaskerville"/>
        </w:rPr>
        <w:t>3</w:t>
      </w:r>
      <w:r w:rsidR="00FA699C" w:rsidRPr="00500823">
        <w:rPr>
          <w:rFonts w:ascii="NewBaskerville" w:hAnsi="NewBaskerville"/>
        </w:rPr>
        <w:t xml:space="preserve"> </w:t>
      </w:r>
      <w:r w:rsidR="00914B2C" w:rsidRPr="00500823">
        <w:rPr>
          <w:rFonts w:ascii="NewBaskerville" w:hAnsi="NewBaskerville"/>
        </w:rPr>
        <w:t xml:space="preserve">según se detalla en </w:t>
      </w:r>
      <w:r w:rsidR="00E12B17">
        <w:rPr>
          <w:rFonts w:ascii="NewBaskerville" w:hAnsi="NewBaskerville"/>
        </w:rPr>
        <w:t>el cuadro</w:t>
      </w:r>
      <w:r w:rsidR="00914B2C" w:rsidRPr="00AE63D4">
        <w:t>.</w:t>
      </w:r>
    </w:p>
    <w:p w:rsidR="00E12B17" w:rsidRPr="00BF1AFD" w:rsidRDefault="00E12B17" w:rsidP="00914B2C">
      <w:pPr>
        <w:tabs>
          <w:tab w:val="right" w:pos="8364"/>
        </w:tabs>
        <w:ind w:firstLine="567"/>
        <w:jc w:val="both"/>
      </w:pPr>
    </w:p>
    <w:tbl>
      <w:tblPr>
        <w:tblW w:w="5000" w:type="pct"/>
        <w:tblCellMar>
          <w:left w:w="70" w:type="dxa"/>
          <w:right w:w="70" w:type="dxa"/>
        </w:tblCellMar>
        <w:tblLook w:val="04A0" w:firstRow="1" w:lastRow="0" w:firstColumn="1" w:lastColumn="0" w:noHBand="0" w:noVBand="1"/>
      </w:tblPr>
      <w:tblGrid>
        <w:gridCol w:w="2372"/>
        <w:gridCol w:w="272"/>
        <w:gridCol w:w="336"/>
        <w:gridCol w:w="1207"/>
        <w:gridCol w:w="1073"/>
        <w:gridCol w:w="1054"/>
        <w:gridCol w:w="1205"/>
        <w:gridCol w:w="1125"/>
      </w:tblGrid>
      <w:tr w:rsidR="00E12B17" w:rsidRPr="00E12B17" w:rsidTr="00E12B17">
        <w:trPr>
          <w:trHeight w:val="555"/>
        </w:trPr>
        <w:tc>
          <w:tcPr>
            <w:tcW w:w="1568" w:type="pct"/>
            <w:gridSpan w:val="3"/>
            <w:tcBorders>
              <w:top w:val="single" w:sz="8" w:space="0" w:color="auto"/>
              <w:left w:val="single" w:sz="8" w:space="0" w:color="auto"/>
              <w:bottom w:val="single" w:sz="8" w:space="0" w:color="auto"/>
              <w:right w:val="single" w:sz="8" w:space="0" w:color="000000"/>
            </w:tcBorders>
            <w:shd w:val="clear" w:color="000000" w:fill="CCFFCC"/>
            <w:noWrap/>
            <w:vAlign w:val="center"/>
            <w:hideMark/>
          </w:tcPr>
          <w:p w:rsidR="00E12B17" w:rsidRPr="00E12B17" w:rsidRDefault="00E12B17" w:rsidP="00E12B17">
            <w:pPr>
              <w:jc w:val="center"/>
              <w:rPr>
                <w:rFonts w:ascii="Lucida Bright" w:hAnsi="Lucida Bright" w:cs="Calibri"/>
                <w:b/>
                <w:bCs/>
                <w:color w:val="000000"/>
                <w:sz w:val="18"/>
                <w:szCs w:val="18"/>
                <w:lang w:val="es-ES"/>
              </w:rPr>
            </w:pPr>
            <w:r w:rsidRPr="00E12B17">
              <w:rPr>
                <w:rFonts w:ascii="Lucida Bright" w:hAnsi="Lucida Bright" w:cs="Calibri"/>
                <w:b/>
                <w:bCs/>
                <w:color w:val="000000"/>
                <w:sz w:val="18"/>
                <w:szCs w:val="18"/>
                <w:lang w:val="es-ES"/>
              </w:rPr>
              <w:t>Fondos de Cohesión</w:t>
            </w:r>
          </w:p>
        </w:tc>
        <w:tc>
          <w:tcPr>
            <w:tcW w:w="737" w:type="pct"/>
            <w:tcBorders>
              <w:top w:val="single" w:sz="8" w:space="0" w:color="auto"/>
              <w:left w:val="nil"/>
              <w:bottom w:val="single" w:sz="8" w:space="0" w:color="auto"/>
              <w:right w:val="single" w:sz="8" w:space="0" w:color="auto"/>
            </w:tcBorders>
            <w:shd w:val="clear" w:color="000000" w:fill="CCFFCC"/>
            <w:vAlign w:val="center"/>
            <w:hideMark/>
          </w:tcPr>
          <w:p w:rsidR="00E12B17" w:rsidRPr="00E12B17" w:rsidRDefault="00E12B17" w:rsidP="00E12B17">
            <w:pPr>
              <w:jc w:val="center"/>
              <w:rPr>
                <w:rFonts w:ascii="Lucida Bright" w:hAnsi="Lucida Bright" w:cs="Calibri"/>
                <w:b/>
                <w:bCs/>
                <w:color w:val="000000"/>
                <w:sz w:val="14"/>
                <w:szCs w:val="14"/>
                <w:lang w:val="es-ES"/>
              </w:rPr>
            </w:pPr>
            <w:r w:rsidRPr="00E12B17">
              <w:rPr>
                <w:rFonts w:ascii="Lucida Bright" w:hAnsi="Lucida Bright" w:cs="Calibri"/>
                <w:b/>
                <w:bCs/>
                <w:color w:val="000000"/>
                <w:sz w:val="14"/>
                <w:szCs w:val="14"/>
                <w:lang w:val="es-ES"/>
              </w:rPr>
              <w:t>Saldo a 31/12/2022</w:t>
            </w:r>
          </w:p>
        </w:tc>
        <w:tc>
          <w:tcPr>
            <w:tcW w:w="659" w:type="pct"/>
            <w:tcBorders>
              <w:top w:val="single" w:sz="8" w:space="0" w:color="auto"/>
              <w:left w:val="nil"/>
              <w:bottom w:val="single" w:sz="8" w:space="0" w:color="auto"/>
              <w:right w:val="single" w:sz="8" w:space="0" w:color="auto"/>
            </w:tcBorders>
            <w:shd w:val="clear" w:color="000000" w:fill="CCFFCC"/>
            <w:vAlign w:val="center"/>
            <w:hideMark/>
          </w:tcPr>
          <w:p w:rsidR="00E12B17" w:rsidRPr="00E12B17" w:rsidRDefault="00E12B17" w:rsidP="00E12B17">
            <w:pPr>
              <w:jc w:val="center"/>
              <w:rPr>
                <w:rFonts w:ascii="Lucida Bright" w:hAnsi="Lucida Bright" w:cs="Calibri"/>
                <w:b/>
                <w:bCs/>
                <w:color w:val="000000"/>
                <w:sz w:val="14"/>
                <w:szCs w:val="14"/>
                <w:lang w:val="es-ES"/>
              </w:rPr>
            </w:pPr>
            <w:r w:rsidRPr="00E12B17">
              <w:rPr>
                <w:rFonts w:ascii="Lucida Bright" w:hAnsi="Lucida Bright" w:cs="Calibri"/>
                <w:b/>
                <w:bCs/>
                <w:color w:val="000000"/>
                <w:sz w:val="14"/>
                <w:szCs w:val="14"/>
                <w:lang w:val="es-ES"/>
              </w:rPr>
              <w:t>Importe devengado en el ejerci</w:t>
            </w:r>
            <w:r w:rsidR="00355986">
              <w:rPr>
                <w:rFonts w:ascii="Lucida Bright" w:hAnsi="Lucida Bright" w:cs="Calibri"/>
                <w:b/>
                <w:bCs/>
                <w:color w:val="000000"/>
                <w:sz w:val="14"/>
                <w:szCs w:val="14"/>
                <w:lang w:val="es-ES"/>
              </w:rPr>
              <w:t>ci</w:t>
            </w:r>
            <w:r w:rsidRPr="00E12B17">
              <w:rPr>
                <w:rFonts w:ascii="Lucida Bright" w:hAnsi="Lucida Bright" w:cs="Calibri"/>
                <w:b/>
                <w:bCs/>
                <w:color w:val="000000"/>
                <w:sz w:val="14"/>
                <w:szCs w:val="14"/>
                <w:lang w:val="es-ES"/>
              </w:rPr>
              <w:t>o</w:t>
            </w:r>
          </w:p>
        </w:tc>
        <w:tc>
          <w:tcPr>
            <w:tcW w:w="648" w:type="pct"/>
            <w:tcBorders>
              <w:top w:val="single" w:sz="8" w:space="0" w:color="auto"/>
              <w:left w:val="nil"/>
              <w:bottom w:val="single" w:sz="8" w:space="0" w:color="auto"/>
              <w:right w:val="single" w:sz="8" w:space="0" w:color="auto"/>
            </w:tcBorders>
            <w:shd w:val="clear" w:color="000000" w:fill="CCFFCC"/>
            <w:vAlign w:val="center"/>
            <w:hideMark/>
          </w:tcPr>
          <w:p w:rsidR="00E12B17" w:rsidRPr="00E12B17" w:rsidRDefault="00E12B17" w:rsidP="00E12B17">
            <w:pPr>
              <w:jc w:val="center"/>
              <w:rPr>
                <w:rFonts w:ascii="Lucida Bright" w:hAnsi="Lucida Bright" w:cs="Calibri"/>
                <w:b/>
                <w:bCs/>
                <w:color w:val="000000"/>
                <w:sz w:val="14"/>
                <w:szCs w:val="14"/>
                <w:lang w:val="es-ES"/>
              </w:rPr>
            </w:pPr>
            <w:r w:rsidRPr="00E12B17">
              <w:rPr>
                <w:rFonts w:ascii="Lucida Bright" w:hAnsi="Lucida Bright" w:cs="Calibri"/>
                <w:b/>
                <w:bCs/>
                <w:color w:val="000000"/>
                <w:sz w:val="14"/>
                <w:szCs w:val="14"/>
                <w:lang w:val="es-ES"/>
              </w:rPr>
              <w:t>Efecto impositivo devengo</w:t>
            </w:r>
          </w:p>
        </w:tc>
        <w:tc>
          <w:tcPr>
            <w:tcW w:w="735" w:type="pct"/>
            <w:tcBorders>
              <w:top w:val="single" w:sz="8" w:space="0" w:color="auto"/>
              <w:left w:val="nil"/>
              <w:bottom w:val="single" w:sz="8" w:space="0" w:color="auto"/>
              <w:right w:val="single" w:sz="8" w:space="0" w:color="auto"/>
            </w:tcBorders>
            <w:shd w:val="clear" w:color="000000" w:fill="CCFFCC"/>
            <w:vAlign w:val="center"/>
            <w:hideMark/>
          </w:tcPr>
          <w:p w:rsidR="00E12B17" w:rsidRPr="00E12B17" w:rsidRDefault="00E12B17" w:rsidP="00E12B17">
            <w:pPr>
              <w:jc w:val="center"/>
              <w:rPr>
                <w:rFonts w:ascii="Lucida Bright" w:hAnsi="Lucida Bright" w:cs="Calibri"/>
                <w:b/>
                <w:bCs/>
                <w:color w:val="000000"/>
                <w:sz w:val="14"/>
                <w:szCs w:val="14"/>
                <w:lang w:val="es-ES"/>
              </w:rPr>
            </w:pPr>
            <w:r w:rsidRPr="00E12B17">
              <w:rPr>
                <w:rFonts w:ascii="Lucida Bright" w:hAnsi="Lucida Bright" w:cs="Calibri"/>
                <w:b/>
                <w:bCs/>
                <w:color w:val="000000"/>
                <w:sz w:val="14"/>
                <w:szCs w:val="14"/>
                <w:lang w:val="es-ES"/>
              </w:rPr>
              <w:t>Importe traspas</w:t>
            </w:r>
            <w:r w:rsidR="00355986">
              <w:rPr>
                <w:rFonts w:ascii="Lucida Bright" w:hAnsi="Lucida Bright" w:cs="Calibri"/>
                <w:b/>
                <w:bCs/>
                <w:color w:val="000000"/>
                <w:sz w:val="14"/>
                <w:szCs w:val="14"/>
                <w:lang w:val="es-ES"/>
              </w:rPr>
              <w:t>a</w:t>
            </w:r>
            <w:r w:rsidRPr="00E12B17">
              <w:rPr>
                <w:rFonts w:ascii="Lucida Bright" w:hAnsi="Lucida Bright" w:cs="Calibri"/>
                <w:b/>
                <w:bCs/>
                <w:color w:val="000000"/>
                <w:sz w:val="14"/>
                <w:szCs w:val="14"/>
                <w:lang w:val="es-ES"/>
              </w:rPr>
              <w:t>do al resultado</w:t>
            </w:r>
          </w:p>
        </w:tc>
        <w:tc>
          <w:tcPr>
            <w:tcW w:w="654" w:type="pct"/>
            <w:tcBorders>
              <w:top w:val="single" w:sz="8" w:space="0" w:color="auto"/>
              <w:left w:val="nil"/>
              <w:bottom w:val="single" w:sz="8" w:space="0" w:color="auto"/>
              <w:right w:val="single" w:sz="8" w:space="0" w:color="auto"/>
            </w:tcBorders>
            <w:shd w:val="clear" w:color="000000" w:fill="CCFFCC"/>
            <w:vAlign w:val="center"/>
            <w:hideMark/>
          </w:tcPr>
          <w:p w:rsidR="00E12B17" w:rsidRPr="00E12B17" w:rsidRDefault="00E12B17" w:rsidP="00E12B17">
            <w:pPr>
              <w:jc w:val="center"/>
              <w:rPr>
                <w:rFonts w:ascii="Lucida Bright" w:hAnsi="Lucida Bright" w:cs="Calibri"/>
                <w:b/>
                <w:bCs/>
                <w:color w:val="000000"/>
                <w:sz w:val="14"/>
                <w:szCs w:val="14"/>
                <w:lang w:val="es-ES"/>
              </w:rPr>
            </w:pPr>
            <w:r w:rsidRPr="00E12B17">
              <w:rPr>
                <w:rFonts w:ascii="Lucida Bright" w:hAnsi="Lucida Bright" w:cs="Calibri"/>
                <w:b/>
                <w:bCs/>
                <w:color w:val="000000"/>
                <w:sz w:val="14"/>
                <w:szCs w:val="14"/>
                <w:lang w:val="es-ES"/>
              </w:rPr>
              <w:t>Saldo a 31/12/2023</w:t>
            </w:r>
          </w:p>
        </w:tc>
      </w:tr>
      <w:tr w:rsidR="00E12B17" w:rsidRPr="00E12B17" w:rsidTr="00E12B17">
        <w:trPr>
          <w:trHeight w:val="315"/>
        </w:trPr>
        <w:tc>
          <w:tcPr>
            <w:tcW w:w="1568"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12B17" w:rsidRPr="00E12B17" w:rsidRDefault="00E12B17" w:rsidP="00E12B17">
            <w:pPr>
              <w:rPr>
                <w:rFonts w:ascii="Lucida Bright" w:hAnsi="Lucida Bright" w:cs="Calibri"/>
                <w:color w:val="000000"/>
                <w:sz w:val="14"/>
                <w:szCs w:val="14"/>
                <w:lang w:val="es-ES"/>
              </w:rPr>
            </w:pPr>
            <w:r w:rsidRPr="00E12B17">
              <w:rPr>
                <w:rFonts w:ascii="Lucida Bright" w:hAnsi="Lucida Bright" w:cs="Calibri"/>
                <w:color w:val="000000"/>
                <w:sz w:val="14"/>
                <w:szCs w:val="14"/>
                <w:lang w:val="es-ES"/>
              </w:rPr>
              <w:t xml:space="preserve">Dique de </w:t>
            </w:r>
            <w:proofErr w:type="spellStart"/>
            <w:r w:rsidRPr="00E12B17">
              <w:rPr>
                <w:rFonts w:ascii="Lucida Bright" w:hAnsi="Lucida Bright" w:cs="Calibri"/>
                <w:color w:val="000000"/>
                <w:sz w:val="14"/>
                <w:szCs w:val="14"/>
                <w:lang w:val="es-ES"/>
              </w:rPr>
              <w:t>Botafoc</w:t>
            </w:r>
            <w:proofErr w:type="spellEnd"/>
            <w:r w:rsidRPr="00E12B17">
              <w:rPr>
                <w:rFonts w:ascii="Lucida Bright" w:hAnsi="Lucida Bright" w:cs="Calibri"/>
                <w:color w:val="000000"/>
                <w:sz w:val="14"/>
                <w:szCs w:val="14"/>
                <w:lang w:val="es-ES"/>
              </w:rPr>
              <w:t xml:space="preserve"> del </w:t>
            </w:r>
            <w:proofErr w:type="spellStart"/>
            <w:r w:rsidRPr="00E12B17">
              <w:rPr>
                <w:rFonts w:ascii="Lucida Bright" w:hAnsi="Lucida Bright" w:cs="Calibri"/>
                <w:color w:val="000000"/>
                <w:sz w:val="14"/>
                <w:szCs w:val="14"/>
                <w:lang w:val="es-ES"/>
              </w:rPr>
              <w:t>Pto</w:t>
            </w:r>
            <w:proofErr w:type="spellEnd"/>
            <w:r w:rsidRPr="00E12B17">
              <w:rPr>
                <w:rFonts w:ascii="Lucida Bright" w:hAnsi="Lucida Bright" w:cs="Calibri"/>
                <w:color w:val="000000"/>
                <w:sz w:val="14"/>
                <w:szCs w:val="14"/>
                <w:lang w:val="es-ES"/>
              </w:rPr>
              <w:t>. Ibiza</w:t>
            </w:r>
          </w:p>
        </w:tc>
        <w:tc>
          <w:tcPr>
            <w:tcW w:w="737" w:type="pct"/>
            <w:tcBorders>
              <w:top w:val="nil"/>
              <w:left w:val="nil"/>
              <w:bottom w:val="single" w:sz="4" w:space="0" w:color="auto"/>
              <w:right w:val="single" w:sz="4" w:space="0" w:color="auto"/>
            </w:tcBorders>
            <w:shd w:val="clear" w:color="auto" w:fill="auto"/>
            <w:noWrap/>
            <w:vAlign w:val="center"/>
            <w:hideMark/>
          </w:tcPr>
          <w:p w:rsidR="00E12B17" w:rsidRPr="00E12B17" w:rsidRDefault="00E12B17" w:rsidP="00E12B17">
            <w:pPr>
              <w:jc w:val="right"/>
              <w:rPr>
                <w:rFonts w:ascii="Lucida Bright" w:hAnsi="Lucida Bright" w:cs="Calibri"/>
                <w:color w:val="000000"/>
                <w:sz w:val="14"/>
                <w:szCs w:val="14"/>
                <w:lang w:val="es-ES"/>
              </w:rPr>
            </w:pPr>
            <w:r w:rsidRPr="00E12B17">
              <w:rPr>
                <w:rFonts w:ascii="Lucida Bright" w:hAnsi="Lucida Bright" w:cs="Calibri"/>
                <w:color w:val="000000"/>
                <w:sz w:val="14"/>
                <w:szCs w:val="14"/>
                <w:lang w:val="es-ES"/>
              </w:rPr>
              <w:t xml:space="preserve">8.624.192,40 </w:t>
            </w:r>
          </w:p>
        </w:tc>
        <w:tc>
          <w:tcPr>
            <w:tcW w:w="659"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E12B17" w:rsidRPr="00E12B17" w:rsidRDefault="00E12B17" w:rsidP="00E12B17">
            <w:pPr>
              <w:rPr>
                <w:color w:val="000000"/>
                <w:sz w:val="14"/>
                <w:szCs w:val="14"/>
                <w:lang w:val="es-ES"/>
              </w:rPr>
            </w:pPr>
            <w:r w:rsidRPr="00E12B17">
              <w:rPr>
                <w:color w:val="000000"/>
                <w:sz w:val="14"/>
                <w:szCs w:val="14"/>
                <w:lang w:val="es-ES"/>
              </w:rPr>
              <w:t> </w:t>
            </w:r>
          </w:p>
        </w:tc>
        <w:tc>
          <w:tcPr>
            <w:tcW w:w="648" w:type="pct"/>
            <w:tcBorders>
              <w:top w:val="single" w:sz="8" w:space="0" w:color="auto"/>
              <w:left w:val="nil"/>
              <w:bottom w:val="single" w:sz="4" w:space="0" w:color="auto"/>
              <w:right w:val="single" w:sz="4" w:space="0" w:color="auto"/>
            </w:tcBorders>
            <w:shd w:val="clear" w:color="auto" w:fill="auto"/>
            <w:noWrap/>
            <w:vAlign w:val="center"/>
            <w:hideMark/>
          </w:tcPr>
          <w:p w:rsidR="00E12B17" w:rsidRPr="00E12B17" w:rsidRDefault="00E12B17" w:rsidP="00E12B17">
            <w:pPr>
              <w:rPr>
                <w:color w:val="000000"/>
                <w:sz w:val="14"/>
                <w:szCs w:val="14"/>
                <w:lang w:val="es-ES"/>
              </w:rPr>
            </w:pPr>
            <w:r w:rsidRPr="00E12B17">
              <w:rPr>
                <w:color w:val="000000"/>
                <w:sz w:val="14"/>
                <w:szCs w:val="14"/>
                <w:lang w:val="es-ES"/>
              </w:rPr>
              <w:t> </w:t>
            </w:r>
          </w:p>
        </w:tc>
        <w:tc>
          <w:tcPr>
            <w:tcW w:w="735" w:type="pct"/>
            <w:tcBorders>
              <w:top w:val="single" w:sz="8" w:space="0" w:color="auto"/>
              <w:left w:val="nil"/>
              <w:bottom w:val="single" w:sz="4" w:space="0" w:color="auto"/>
              <w:right w:val="single" w:sz="4" w:space="0" w:color="auto"/>
            </w:tcBorders>
            <w:shd w:val="clear" w:color="auto" w:fill="auto"/>
            <w:noWrap/>
            <w:vAlign w:val="center"/>
            <w:hideMark/>
          </w:tcPr>
          <w:p w:rsidR="00E12B17" w:rsidRPr="00E12B17" w:rsidRDefault="00E12B17" w:rsidP="00E12B17">
            <w:pPr>
              <w:jc w:val="right"/>
              <w:rPr>
                <w:rFonts w:ascii="Lucida Bright" w:hAnsi="Lucida Bright" w:cs="Calibri"/>
                <w:color w:val="000000"/>
                <w:sz w:val="14"/>
                <w:szCs w:val="14"/>
                <w:lang w:val="es-ES"/>
              </w:rPr>
            </w:pPr>
            <w:r w:rsidRPr="00E12B17">
              <w:rPr>
                <w:rFonts w:ascii="Lucida Bright" w:hAnsi="Lucida Bright" w:cs="Calibri"/>
                <w:color w:val="000000"/>
                <w:sz w:val="14"/>
                <w:szCs w:val="14"/>
                <w:lang w:val="es-ES"/>
              </w:rPr>
              <w:t xml:space="preserve">(279.759,72) </w:t>
            </w:r>
          </w:p>
        </w:tc>
        <w:tc>
          <w:tcPr>
            <w:tcW w:w="654" w:type="pct"/>
            <w:tcBorders>
              <w:top w:val="single" w:sz="8" w:space="0" w:color="auto"/>
              <w:left w:val="nil"/>
              <w:bottom w:val="single" w:sz="4" w:space="0" w:color="auto"/>
              <w:right w:val="single" w:sz="8" w:space="0" w:color="auto"/>
            </w:tcBorders>
            <w:shd w:val="clear" w:color="auto" w:fill="auto"/>
            <w:noWrap/>
            <w:vAlign w:val="center"/>
            <w:hideMark/>
          </w:tcPr>
          <w:p w:rsidR="00E12B17" w:rsidRPr="00694956" w:rsidRDefault="00E12B17" w:rsidP="00E12B17">
            <w:pPr>
              <w:jc w:val="right"/>
              <w:rPr>
                <w:rFonts w:ascii="Lucida Bright" w:hAnsi="Lucida Bright"/>
                <w:color w:val="000000"/>
                <w:sz w:val="14"/>
                <w:szCs w:val="14"/>
                <w:lang w:val="es-ES"/>
              </w:rPr>
            </w:pPr>
            <w:r w:rsidRPr="00694956">
              <w:rPr>
                <w:rFonts w:ascii="Lucida Bright" w:hAnsi="Lucida Bright"/>
                <w:color w:val="000000"/>
                <w:sz w:val="14"/>
                <w:szCs w:val="14"/>
                <w:lang w:val="es-ES"/>
              </w:rPr>
              <w:t xml:space="preserve">8.344.432,68 </w:t>
            </w:r>
          </w:p>
        </w:tc>
      </w:tr>
      <w:tr w:rsidR="00E12B17" w:rsidRPr="00E12B17" w:rsidTr="00E12B17">
        <w:trPr>
          <w:trHeight w:val="315"/>
        </w:trPr>
        <w:tc>
          <w:tcPr>
            <w:tcW w:w="1568"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12B17" w:rsidRPr="00E12B17" w:rsidRDefault="00E12B17" w:rsidP="00E12B17">
            <w:pPr>
              <w:rPr>
                <w:rFonts w:ascii="Lucida Bright" w:hAnsi="Lucida Bright" w:cs="Calibri"/>
                <w:color w:val="000000"/>
                <w:sz w:val="14"/>
                <w:szCs w:val="14"/>
                <w:lang w:val="es-ES"/>
              </w:rPr>
            </w:pPr>
            <w:proofErr w:type="spellStart"/>
            <w:r w:rsidRPr="00E12B17">
              <w:rPr>
                <w:rFonts w:ascii="Lucida Bright" w:hAnsi="Lucida Bright" w:cs="Calibri"/>
                <w:color w:val="000000"/>
                <w:sz w:val="14"/>
                <w:szCs w:val="14"/>
                <w:lang w:val="es-ES"/>
              </w:rPr>
              <w:t>Ampl</w:t>
            </w:r>
            <w:proofErr w:type="spellEnd"/>
            <w:r w:rsidRPr="00E12B17">
              <w:rPr>
                <w:rFonts w:ascii="Lucida Bright" w:hAnsi="Lucida Bright" w:cs="Calibri"/>
                <w:color w:val="000000"/>
                <w:sz w:val="14"/>
                <w:szCs w:val="14"/>
                <w:lang w:val="es-ES"/>
              </w:rPr>
              <w:t>. Explanada sur MMCC de Palma</w:t>
            </w:r>
          </w:p>
        </w:tc>
        <w:tc>
          <w:tcPr>
            <w:tcW w:w="737" w:type="pct"/>
            <w:tcBorders>
              <w:top w:val="nil"/>
              <w:left w:val="nil"/>
              <w:bottom w:val="single" w:sz="4" w:space="0" w:color="auto"/>
              <w:right w:val="single" w:sz="4" w:space="0" w:color="auto"/>
            </w:tcBorders>
            <w:shd w:val="clear" w:color="auto" w:fill="auto"/>
            <w:noWrap/>
            <w:vAlign w:val="center"/>
            <w:hideMark/>
          </w:tcPr>
          <w:p w:rsidR="00E12B17" w:rsidRPr="00E12B17" w:rsidRDefault="00E12B17" w:rsidP="00E12B17">
            <w:pPr>
              <w:jc w:val="right"/>
              <w:rPr>
                <w:rFonts w:ascii="Lucida Bright" w:hAnsi="Lucida Bright" w:cs="Calibri"/>
                <w:color w:val="000000"/>
                <w:sz w:val="14"/>
                <w:szCs w:val="14"/>
                <w:lang w:val="es-ES"/>
              </w:rPr>
            </w:pPr>
            <w:r w:rsidRPr="00E12B17">
              <w:rPr>
                <w:rFonts w:ascii="Lucida Bright" w:hAnsi="Lucida Bright" w:cs="Calibri"/>
                <w:color w:val="000000"/>
                <w:sz w:val="14"/>
                <w:szCs w:val="14"/>
                <w:lang w:val="es-ES"/>
              </w:rPr>
              <w:t xml:space="preserve">6.884.299,32 </w:t>
            </w:r>
          </w:p>
        </w:tc>
        <w:tc>
          <w:tcPr>
            <w:tcW w:w="659" w:type="pct"/>
            <w:tcBorders>
              <w:top w:val="single" w:sz="4" w:space="0" w:color="auto"/>
              <w:left w:val="nil"/>
              <w:bottom w:val="single" w:sz="4" w:space="0" w:color="auto"/>
              <w:right w:val="single" w:sz="4" w:space="0" w:color="auto"/>
            </w:tcBorders>
            <w:shd w:val="clear" w:color="auto" w:fill="auto"/>
            <w:noWrap/>
            <w:vAlign w:val="center"/>
            <w:hideMark/>
          </w:tcPr>
          <w:p w:rsidR="00E12B17" w:rsidRPr="00E12B17" w:rsidRDefault="00E12B17" w:rsidP="00E12B17">
            <w:pPr>
              <w:rPr>
                <w:color w:val="000000"/>
                <w:sz w:val="14"/>
                <w:szCs w:val="14"/>
                <w:lang w:val="es-ES"/>
              </w:rPr>
            </w:pPr>
            <w:r w:rsidRPr="00E12B17">
              <w:rPr>
                <w:color w:val="000000"/>
                <w:sz w:val="14"/>
                <w:szCs w:val="14"/>
                <w:lang w:val="es-ES"/>
              </w:rPr>
              <w:t> </w:t>
            </w:r>
          </w:p>
        </w:tc>
        <w:tc>
          <w:tcPr>
            <w:tcW w:w="648" w:type="pct"/>
            <w:tcBorders>
              <w:top w:val="single" w:sz="4" w:space="0" w:color="auto"/>
              <w:left w:val="nil"/>
              <w:bottom w:val="single" w:sz="4" w:space="0" w:color="auto"/>
              <w:right w:val="single" w:sz="4" w:space="0" w:color="auto"/>
            </w:tcBorders>
            <w:shd w:val="clear" w:color="auto" w:fill="auto"/>
            <w:noWrap/>
            <w:vAlign w:val="center"/>
            <w:hideMark/>
          </w:tcPr>
          <w:p w:rsidR="00E12B17" w:rsidRPr="00E12B17" w:rsidRDefault="00E12B17" w:rsidP="00E12B17">
            <w:pPr>
              <w:rPr>
                <w:color w:val="000000"/>
                <w:sz w:val="14"/>
                <w:szCs w:val="14"/>
                <w:lang w:val="es-ES"/>
              </w:rPr>
            </w:pPr>
            <w:r w:rsidRPr="00E12B17">
              <w:rPr>
                <w:color w:val="000000"/>
                <w:sz w:val="14"/>
                <w:szCs w:val="14"/>
                <w:lang w:val="es-ES"/>
              </w:rPr>
              <w:t> </w:t>
            </w:r>
          </w:p>
        </w:tc>
        <w:tc>
          <w:tcPr>
            <w:tcW w:w="735" w:type="pct"/>
            <w:tcBorders>
              <w:top w:val="single" w:sz="4" w:space="0" w:color="auto"/>
              <w:left w:val="nil"/>
              <w:bottom w:val="single" w:sz="4" w:space="0" w:color="auto"/>
              <w:right w:val="single" w:sz="4" w:space="0" w:color="auto"/>
            </w:tcBorders>
            <w:shd w:val="clear" w:color="auto" w:fill="auto"/>
            <w:noWrap/>
            <w:vAlign w:val="center"/>
            <w:hideMark/>
          </w:tcPr>
          <w:p w:rsidR="00E12B17" w:rsidRPr="00E12B17" w:rsidRDefault="00E12B17" w:rsidP="00E12B17">
            <w:pPr>
              <w:jc w:val="right"/>
              <w:rPr>
                <w:rFonts w:ascii="Lucida Bright" w:hAnsi="Lucida Bright" w:cs="Calibri"/>
                <w:color w:val="000000"/>
                <w:sz w:val="14"/>
                <w:szCs w:val="14"/>
                <w:lang w:val="es-ES"/>
              </w:rPr>
            </w:pPr>
            <w:r w:rsidRPr="00E12B17">
              <w:rPr>
                <w:rFonts w:ascii="Lucida Bright" w:hAnsi="Lucida Bright" w:cs="Calibri"/>
                <w:color w:val="000000"/>
                <w:sz w:val="14"/>
                <w:szCs w:val="14"/>
                <w:lang w:val="es-ES"/>
              </w:rPr>
              <w:t xml:space="preserve">(104.895,71) </w:t>
            </w:r>
          </w:p>
        </w:tc>
        <w:tc>
          <w:tcPr>
            <w:tcW w:w="654" w:type="pct"/>
            <w:tcBorders>
              <w:top w:val="nil"/>
              <w:left w:val="single" w:sz="4" w:space="0" w:color="auto"/>
              <w:bottom w:val="single" w:sz="4" w:space="0" w:color="auto"/>
              <w:right w:val="single" w:sz="8" w:space="0" w:color="auto"/>
            </w:tcBorders>
            <w:shd w:val="clear" w:color="auto" w:fill="auto"/>
            <w:noWrap/>
            <w:vAlign w:val="center"/>
            <w:hideMark/>
          </w:tcPr>
          <w:p w:rsidR="00E12B17" w:rsidRPr="00694956" w:rsidRDefault="00E12B17" w:rsidP="00E12B17">
            <w:pPr>
              <w:jc w:val="right"/>
              <w:rPr>
                <w:rFonts w:ascii="Lucida Bright" w:hAnsi="Lucida Bright"/>
                <w:color w:val="000000"/>
                <w:sz w:val="14"/>
                <w:szCs w:val="14"/>
                <w:lang w:val="es-ES"/>
              </w:rPr>
            </w:pPr>
            <w:r w:rsidRPr="00694956">
              <w:rPr>
                <w:rFonts w:ascii="Lucida Bright" w:hAnsi="Lucida Bright"/>
                <w:color w:val="000000"/>
                <w:sz w:val="14"/>
                <w:szCs w:val="14"/>
                <w:lang w:val="es-ES"/>
              </w:rPr>
              <w:t xml:space="preserve">6.779.403,61 </w:t>
            </w:r>
          </w:p>
        </w:tc>
      </w:tr>
      <w:tr w:rsidR="00E12B17" w:rsidRPr="00E12B17" w:rsidTr="00E12B17">
        <w:trPr>
          <w:trHeight w:val="315"/>
        </w:trPr>
        <w:tc>
          <w:tcPr>
            <w:tcW w:w="1568"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12B17" w:rsidRPr="00E12B17" w:rsidRDefault="00E12B17" w:rsidP="00E12B17">
            <w:pPr>
              <w:rPr>
                <w:rFonts w:ascii="Lucida Bright" w:hAnsi="Lucida Bright" w:cs="Calibri"/>
                <w:color w:val="000000"/>
                <w:sz w:val="14"/>
                <w:szCs w:val="14"/>
                <w:lang w:val="es-ES"/>
              </w:rPr>
            </w:pPr>
            <w:proofErr w:type="spellStart"/>
            <w:r w:rsidRPr="00E12B17">
              <w:rPr>
                <w:rFonts w:ascii="Lucida Bright" w:hAnsi="Lucida Bright" w:cs="Calibri"/>
                <w:color w:val="000000"/>
                <w:sz w:val="14"/>
                <w:szCs w:val="14"/>
                <w:lang w:val="es-ES"/>
              </w:rPr>
              <w:t>Ampl</w:t>
            </w:r>
            <w:proofErr w:type="spellEnd"/>
            <w:r w:rsidRPr="00E12B17">
              <w:rPr>
                <w:rFonts w:ascii="Lucida Bright" w:hAnsi="Lucida Bright" w:cs="Calibri"/>
                <w:color w:val="000000"/>
                <w:sz w:val="14"/>
                <w:szCs w:val="14"/>
                <w:lang w:val="es-ES"/>
              </w:rPr>
              <w:t xml:space="preserve">. Muelles del </w:t>
            </w:r>
            <w:proofErr w:type="spellStart"/>
            <w:r w:rsidRPr="00E12B17">
              <w:rPr>
                <w:rFonts w:ascii="Lucida Bright" w:hAnsi="Lucida Bright" w:cs="Calibri"/>
                <w:color w:val="000000"/>
                <w:sz w:val="14"/>
                <w:szCs w:val="14"/>
                <w:lang w:val="es-ES"/>
              </w:rPr>
              <w:t>Cos</w:t>
            </w:r>
            <w:proofErr w:type="spellEnd"/>
            <w:r w:rsidRPr="00E12B17">
              <w:rPr>
                <w:rFonts w:ascii="Lucida Bright" w:hAnsi="Lucida Bright" w:cs="Calibri"/>
                <w:color w:val="000000"/>
                <w:sz w:val="14"/>
                <w:szCs w:val="14"/>
                <w:lang w:val="es-ES"/>
              </w:rPr>
              <w:t xml:space="preserve"> </w:t>
            </w:r>
            <w:proofErr w:type="spellStart"/>
            <w:r w:rsidRPr="00E12B17">
              <w:rPr>
                <w:rFonts w:ascii="Lucida Bright" w:hAnsi="Lucida Bright" w:cs="Calibri"/>
                <w:color w:val="000000"/>
                <w:sz w:val="14"/>
                <w:szCs w:val="14"/>
                <w:lang w:val="es-ES"/>
              </w:rPr>
              <w:t>Nou</w:t>
            </w:r>
            <w:proofErr w:type="spellEnd"/>
            <w:r w:rsidRPr="00E12B17">
              <w:rPr>
                <w:rFonts w:ascii="Lucida Bright" w:hAnsi="Lucida Bright" w:cs="Calibri"/>
                <w:color w:val="000000"/>
                <w:sz w:val="14"/>
                <w:szCs w:val="14"/>
                <w:lang w:val="es-ES"/>
              </w:rPr>
              <w:t xml:space="preserve"> del </w:t>
            </w:r>
            <w:proofErr w:type="spellStart"/>
            <w:r w:rsidRPr="00E12B17">
              <w:rPr>
                <w:rFonts w:ascii="Lucida Bright" w:hAnsi="Lucida Bright" w:cs="Calibri"/>
                <w:color w:val="000000"/>
                <w:sz w:val="14"/>
                <w:szCs w:val="14"/>
                <w:lang w:val="es-ES"/>
              </w:rPr>
              <w:t>Pto.Mahón</w:t>
            </w:r>
            <w:proofErr w:type="spellEnd"/>
          </w:p>
        </w:tc>
        <w:tc>
          <w:tcPr>
            <w:tcW w:w="737" w:type="pct"/>
            <w:tcBorders>
              <w:top w:val="nil"/>
              <w:left w:val="nil"/>
              <w:bottom w:val="nil"/>
              <w:right w:val="single" w:sz="4" w:space="0" w:color="auto"/>
            </w:tcBorders>
            <w:shd w:val="clear" w:color="auto" w:fill="auto"/>
            <w:noWrap/>
            <w:vAlign w:val="center"/>
            <w:hideMark/>
          </w:tcPr>
          <w:p w:rsidR="00E12B17" w:rsidRPr="00E12B17" w:rsidRDefault="00E12B17" w:rsidP="00E12B17">
            <w:pPr>
              <w:jc w:val="right"/>
              <w:rPr>
                <w:rFonts w:ascii="Lucida Bright" w:hAnsi="Lucida Bright" w:cs="Calibri"/>
                <w:color w:val="000000"/>
                <w:sz w:val="14"/>
                <w:szCs w:val="14"/>
                <w:lang w:val="es-ES"/>
              </w:rPr>
            </w:pPr>
            <w:r w:rsidRPr="00E12B17">
              <w:rPr>
                <w:rFonts w:ascii="Lucida Bright" w:hAnsi="Lucida Bright" w:cs="Calibri"/>
                <w:color w:val="000000"/>
                <w:sz w:val="14"/>
                <w:szCs w:val="14"/>
                <w:lang w:val="es-ES"/>
              </w:rPr>
              <w:t xml:space="preserve">2.909.873,69 </w:t>
            </w:r>
          </w:p>
        </w:tc>
        <w:tc>
          <w:tcPr>
            <w:tcW w:w="659" w:type="pct"/>
            <w:tcBorders>
              <w:top w:val="nil"/>
              <w:left w:val="nil"/>
              <w:bottom w:val="nil"/>
              <w:right w:val="single" w:sz="4" w:space="0" w:color="auto"/>
            </w:tcBorders>
            <w:shd w:val="clear" w:color="auto" w:fill="auto"/>
            <w:noWrap/>
            <w:vAlign w:val="center"/>
            <w:hideMark/>
          </w:tcPr>
          <w:p w:rsidR="00E12B17" w:rsidRPr="00E12B17" w:rsidRDefault="00E12B17" w:rsidP="00E12B17">
            <w:pPr>
              <w:rPr>
                <w:color w:val="000000"/>
                <w:sz w:val="14"/>
                <w:szCs w:val="14"/>
                <w:lang w:val="es-ES"/>
              </w:rPr>
            </w:pPr>
            <w:r w:rsidRPr="00E12B17">
              <w:rPr>
                <w:color w:val="000000"/>
                <w:sz w:val="14"/>
                <w:szCs w:val="14"/>
                <w:lang w:val="es-ES"/>
              </w:rPr>
              <w:t> </w:t>
            </w:r>
          </w:p>
        </w:tc>
        <w:tc>
          <w:tcPr>
            <w:tcW w:w="648" w:type="pct"/>
            <w:tcBorders>
              <w:top w:val="nil"/>
              <w:left w:val="nil"/>
              <w:bottom w:val="nil"/>
              <w:right w:val="single" w:sz="4" w:space="0" w:color="auto"/>
            </w:tcBorders>
            <w:shd w:val="clear" w:color="auto" w:fill="auto"/>
            <w:noWrap/>
            <w:vAlign w:val="center"/>
            <w:hideMark/>
          </w:tcPr>
          <w:p w:rsidR="00E12B17" w:rsidRPr="00E12B17" w:rsidRDefault="00E12B17" w:rsidP="00E12B17">
            <w:pPr>
              <w:rPr>
                <w:color w:val="000000"/>
                <w:sz w:val="14"/>
                <w:szCs w:val="14"/>
                <w:lang w:val="es-ES"/>
              </w:rPr>
            </w:pPr>
            <w:r w:rsidRPr="00E12B17">
              <w:rPr>
                <w:color w:val="000000"/>
                <w:sz w:val="14"/>
                <w:szCs w:val="14"/>
                <w:lang w:val="es-ES"/>
              </w:rPr>
              <w:t> </w:t>
            </w:r>
          </w:p>
        </w:tc>
        <w:tc>
          <w:tcPr>
            <w:tcW w:w="735" w:type="pct"/>
            <w:tcBorders>
              <w:top w:val="nil"/>
              <w:left w:val="nil"/>
              <w:bottom w:val="nil"/>
              <w:right w:val="single" w:sz="4" w:space="0" w:color="auto"/>
            </w:tcBorders>
            <w:shd w:val="clear" w:color="auto" w:fill="auto"/>
            <w:noWrap/>
            <w:vAlign w:val="center"/>
            <w:hideMark/>
          </w:tcPr>
          <w:p w:rsidR="00E12B17" w:rsidRPr="00694956" w:rsidRDefault="00E12B17" w:rsidP="00E12B17">
            <w:pPr>
              <w:jc w:val="right"/>
              <w:rPr>
                <w:rFonts w:ascii="Lucida Bright" w:hAnsi="Lucida Bright"/>
                <w:color w:val="000000"/>
                <w:sz w:val="14"/>
                <w:szCs w:val="14"/>
                <w:lang w:val="es-ES"/>
              </w:rPr>
            </w:pPr>
            <w:r w:rsidRPr="00694956">
              <w:rPr>
                <w:rFonts w:ascii="Lucida Bright" w:hAnsi="Lucida Bright"/>
                <w:color w:val="000000"/>
                <w:sz w:val="14"/>
                <w:szCs w:val="14"/>
                <w:lang w:val="es-ES"/>
              </w:rPr>
              <w:t xml:space="preserve">(199.927,65) </w:t>
            </w:r>
          </w:p>
        </w:tc>
        <w:tc>
          <w:tcPr>
            <w:tcW w:w="654" w:type="pct"/>
            <w:tcBorders>
              <w:top w:val="nil"/>
              <w:left w:val="single" w:sz="4" w:space="0" w:color="auto"/>
              <w:bottom w:val="nil"/>
              <w:right w:val="single" w:sz="8" w:space="0" w:color="auto"/>
            </w:tcBorders>
            <w:shd w:val="clear" w:color="auto" w:fill="auto"/>
            <w:noWrap/>
            <w:vAlign w:val="center"/>
            <w:hideMark/>
          </w:tcPr>
          <w:p w:rsidR="00E12B17" w:rsidRPr="00694956" w:rsidRDefault="00E12B17" w:rsidP="00E12B17">
            <w:pPr>
              <w:jc w:val="right"/>
              <w:rPr>
                <w:rFonts w:ascii="Lucida Bright" w:hAnsi="Lucida Bright"/>
                <w:color w:val="000000"/>
                <w:sz w:val="14"/>
                <w:szCs w:val="14"/>
                <w:lang w:val="es-ES"/>
              </w:rPr>
            </w:pPr>
            <w:r w:rsidRPr="00694956">
              <w:rPr>
                <w:rFonts w:ascii="Lucida Bright" w:hAnsi="Lucida Bright"/>
                <w:color w:val="000000"/>
                <w:sz w:val="14"/>
                <w:szCs w:val="14"/>
                <w:lang w:val="es-ES"/>
              </w:rPr>
              <w:t xml:space="preserve">2.709.946,04 </w:t>
            </w:r>
          </w:p>
        </w:tc>
      </w:tr>
      <w:tr w:rsidR="00E12B17" w:rsidRPr="00E12B17" w:rsidTr="00E12B17">
        <w:trPr>
          <w:trHeight w:val="315"/>
        </w:trPr>
        <w:tc>
          <w:tcPr>
            <w:tcW w:w="1248" w:type="pct"/>
            <w:tcBorders>
              <w:top w:val="nil"/>
              <w:left w:val="single" w:sz="8" w:space="0" w:color="auto"/>
              <w:bottom w:val="single" w:sz="8" w:space="0" w:color="auto"/>
              <w:right w:val="nil"/>
            </w:tcBorders>
            <w:shd w:val="clear" w:color="auto" w:fill="auto"/>
            <w:noWrap/>
            <w:vAlign w:val="center"/>
            <w:hideMark/>
          </w:tcPr>
          <w:p w:rsidR="00E12B17" w:rsidRPr="00E12B17" w:rsidRDefault="00E12B17" w:rsidP="00E12B17">
            <w:pPr>
              <w:rPr>
                <w:rFonts w:ascii="Lucida Bright" w:hAnsi="Lucida Bright" w:cs="Calibri"/>
                <w:b/>
                <w:bCs/>
                <w:color w:val="000000"/>
                <w:sz w:val="14"/>
                <w:szCs w:val="14"/>
                <w:lang w:val="es-ES"/>
              </w:rPr>
            </w:pPr>
            <w:r w:rsidRPr="00E12B17">
              <w:rPr>
                <w:rFonts w:ascii="Lucida Bright" w:hAnsi="Lucida Bright" w:cs="Calibri"/>
                <w:b/>
                <w:bCs/>
                <w:color w:val="000000"/>
                <w:sz w:val="14"/>
                <w:szCs w:val="14"/>
                <w:lang w:val="es-ES"/>
              </w:rPr>
              <w:t>Total</w:t>
            </w:r>
          </w:p>
        </w:tc>
        <w:tc>
          <w:tcPr>
            <w:tcW w:w="143" w:type="pct"/>
            <w:tcBorders>
              <w:top w:val="nil"/>
              <w:left w:val="nil"/>
              <w:bottom w:val="single" w:sz="8" w:space="0" w:color="auto"/>
              <w:right w:val="nil"/>
            </w:tcBorders>
            <w:shd w:val="clear" w:color="auto" w:fill="auto"/>
            <w:noWrap/>
            <w:vAlign w:val="center"/>
            <w:hideMark/>
          </w:tcPr>
          <w:p w:rsidR="00E12B17" w:rsidRPr="00E12B17" w:rsidRDefault="00E12B17" w:rsidP="00E12B17">
            <w:pPr>
              <w:rPr>
                <w:rFonts w:ascii="Lucida Bright" w:hAnsi="Lucida Bright" w:cs="Calibri"/>
                <w:color w:val="000000"/>
                <w:sz w:val="14"/>
                <w:szCs w:val="14"/>
                <w:lang w:val="es-ES"/>
              </w:rPr>
            </w:pPr>
            <w:r w:rsidRPr="00E12B17">
              <w:rPr>
                <w:rFonts w:ascii="Lucida Bright" w:hAnsi="Lucida Bright" w:cs="Calibri"/>
                <w:color w:val="000000"/>
                <w:sz w:val="14"/>
                <w:szCs w:val="14"/>
                <w:lang w:val="es-ES"/>
              </w:rPr>
              <w:t> </w:t>
            </w:r>
          </w:p>
        </w:tc>
        <w:tc>
          <w:tcPr>
            <w:tcW w:w="177" w:type="pct"/>
            <w:tcBorders>
              <w:top w:val="nil"/>
              <w:left w:val="nil"/>
              <w:bottom w:val="single" w:sz="8" w:space="0" w:color="auto"/>
              <w:right w:val="single" w:sz="8" w:space="0" w:color="auto"/>
            </w:tcBorders>
            <w:shd w:val="clear" w:color="auto" w:fill="auto"/>
            <w:noWrap/>
            <w:vAlign w:val="center"/>
            <w:hideMark/>
          </w:tcPr>
          <w:p w:rsidR="00E12B17" w:rsidRPr="00E12B17" w:rsidRDefault="00E12B17" w:rsidP="00E12B17">
            <w:pPr>
              <w:rPr>
                <w:rFonts w:ascii="Lucida Bright" w:hAnsi="Lucida Bright" w:cs="Calibri"/>
                <w:color w:val="000000"/>
                <w:sz w:val="14"/>
                <w:szCs w:val="14"/>
                <w:lang w:val="es-ES"/>
              </w:rPr>
            </w:pPr>
            <w:r w:rsidRPr="00E12B17">
              <w:rPr>
                <w:rFonts w:ascii="Lucida Bright" w:hAnsi="Lucida Bright" w:cs="Calibri"/>
                <w:color w:val="000000"/>
                <w:sz w:val="14"/>
                <w:szCs w:val="14"/>
                <w:lang w:val="es-ES"/>
              </w:rPr>
              <w:t> </w:t>
            </w:r>
          </w:p>
        </w:tc>
        <w:tc>
          <w:tcPr>
            <w:tcW w:w="737" w:type="pct"/>
            <w:tcBorders>
              <w:top w:val="single" w:sz="8" w:space="0" w:color="auto"/>
              <w:left w:val="nil"/>
              <w:bottom w:val="single" w:sz="8" w:space="0" w:color="auto"/>
              <w:right w:val="single" w:sz="8" w:space="0" w:color="auto"/>
            </w:tcBorders>
            <w:shd w:val="clear" w:color="auto" w:fill="auto"/>
            <w:noWrap/>
            <w:vAlign w:val="center"/>
            <w:hideMark/>
          </w:tcPr>
          <w:p w:rsidR="00E12B17" w:rsidRPr="00E12B17" w:rsidRDefault="00E12B17" w:rsidP="00E12B17">
            <w:pPr>
              <w:jc w:val="right"/>
              <w:rPr>
                <w:rFonts w:ascii="Lucida Bright" w:hAnsi="Lucida Bright" w:cs="Calibri"/>
                <w:b/>
                <w:bCs/>
                <w:color w:val="000000"/>
                <w:sz w:val="14"/>
                <w:szCs w:val="14"/>
                <w:lang w:val="es-ES"/>
              </w:rPr>
            </w:pPr>
            <w:r w:rsidRPr="00E12B17">
              <w:rPr>
                <w:rFonts w:ascii="Lucida Bright" w:hAnsi="Lucida Bright" w:cs="Calibri"/>
                <w:b/>
                <w:bCs/>
                <w:color w:val="000000"/>
                <w:sz w:val="14"/>
                <w:szCs w:val="14"/>
                <w:lang w:val="es-ES"/>
              </w:rPr>
              <w:t xml:space="preserve">18.418.365,41 </w:t>
            </w:r>
          </w:p>
        </w:tc>
        <w:tc>
          <w:tcPr>
            <w:tcW w:w="659" w:type="pct"/>
            <w:tcBorders>
              <w:top w:val="single" w:sz="8" w:space="0" w:color="auto"/>
              <w:left w:val="nil"/>
              <w:bottom w:val="single" w:sz="8" w:space="0" w:color="auto"/>
              <w:right w:val="single" w:sz="8" w:space="0" w:color="auto"/>
            </w:tcBorders>
            <w:shd w:val="clear" w:color="auto" w:fill="auto"/>
            <w:noWrap/>
            <w:vAlign w:val="center"/>
            <w:hideMark/>
          </w:tcPr>
          <w:p w:rsidR="00E12B17" w:rsidRPr="00E12B17" w:rsidRDefault="00E12B17" w:rsidP="00E12B17">
            <w:pPr>
              <w:jc w:val="right"/>
              <w:rPr>
                <w:rFonts w:ascii="Lucida Bright" w:hAnsi="Lucida Bright" w:cs="Calibri"/>
                <w:b/>
                <w:bCs/>
                <w:color w:val="000000"/>
                <w:sz w:val="14"/>
                <w:szCs w:val="14"/>
                <w:lang w:val="es-ES"/>
              </w:rPr>
            </w:pPr>
            <w:r w:rsidRPr="00E12B17">
              <w:rPr>
                <w:rFonts w:ascii="Lucida Bright" w:hAnsi="Lucida Bright" w:cs="Calibri"/>
                <w:b/>
                <w:bCs/>
                <w:color w:val="000000"/>
                <w:sz w:val="14"/>
                <w:szCs w:val="14"/>
                <w:lang w:val="es-ES"/>
              </w:rPr>
              <w:t> </w:t>
            </w:r>
          </w:p>
        </w:tc>
        <w:tc>
          <w:tcPr>
            <w:tcW w:w="648" w:type="pct"/>
            <w:tcBorders>
              <w:top w:val="single" w:sz="8" w:space="0" w:color="auto"/>
              <w:left w:val="nil"/>
              <w:bottom w:val="single" w:sz="8" w:space="0" w:color="auto"/>
              <w:right w:val="single" w:sz="8" w:space="0" w:color="auto"/>
            </w:tcBorders>
            <w:shd w:val="clear" w:color="auto" w:fill="auto"/>
            <w:noWrap/>
            <w:vAlign w:val="center"/>
            <w:hideMark/>
          </w:tcPr>
          <w:p w:rsidR="00E12B17" w:rsidRPr="00E12B17" w:rsidRDefault="00E12B17" w:rsidP="00E12B17">
            <w:pPr>
              <w:jc w:val="right"/>
              <w:rPr>
                <w:rFonts w:ascii="Lucida Bright" w:hAnsi="Lucida Bright" w:cs="Calibri"/>
                <w:b/>
                <w:bCs/>
                <w:color w:val="000000"/>
                <w:sz w:val="14"/>
                <w:szCs w:val="14"/>
                <w:lang w:val="es-ES"/>
              </w:rPr>
            </w:pPr>
            <w:r w:rsidRPr="00E12B17">
              <w:rPr>
                <w:rFonts w:ascii="Lucida Bright" w:hAnsi="Lucida Bright" w:cs="Calibri"/>
                <w:b/>
                <w:bCs/>
                <w:color w:val="000000"/>
                <w:sz w:val="14"/>
                <w:szCs w:val="14"/>
                <w:lang w:val="es-ES"/>
              </w:rPr>
              <w:t> </w:t>
            </w:r>
          </w:p>
        </w:tc>
        <w:tc>
          <w:tcPr>
            <w:tcW w:w="735" w:type="pct"/>
            <w:tcBorders>
              <w:top w:val="single" w:sz="8" w:space="0" w:color="auto"/>
              <w:left w:val="nil"/>
              <w:bottom w:val="single" w:sz="8" w:space="0" w:color="auto"/>
              <w:right w:val="single" w:sz="8" w:space="0" w:color="auto"/>
            </w:tcBorders>
            <w:shd w:val="clear" w:color="auto" w:fill="auto"/>
            <w:noWrap/>
            <w:vAlign w:val="center"/>
            <w:hideMark/>
          </w:tcPr>
          <w:p w:rsidR="00E12B17" w:rsidRPr="00E12B17" w:rsidRDefault="00E12B17" w:rsidP="00E12B17">
            <w:pPr>
              <w:jc w:val="right"/>
              <w:rPr>
                <w:rFonts w:ascii="Lucida Bright" w:hAnsi="Lucida Bright" w:cs="Calibri"/>
                <w:b/>
                <w:bCs/>
                <w:color w:val="000000"/>
                <w:sz w:val="14"/>
                <w:szCs w:val="14"/>
                <w:lang w:val="es-ES"/>
              </w:rPr>
            </w:pPr>
            <w:r w:rsidRPr="00E12B17">
              <w:rPr>
                <w:rFonts w:ascii="Lucida Bright" w:hAnsi="Lucida Bright" w:cs="Calibri"/>
                <w:b/>
                <w:bCs/>
                <w:color w:val="000000"/>
                <w:sz w:val="14"/>
                <w:szCs w:val="14"/>
                <w:lang w:val="es-ES"/>
              </w:rPr>
              <w:t xml:space="preserve">(584.583,08) </w:t>
            </w:r>
          </w:p>
        </w:tc>
        <w:tc>
          <w:tcPr>
            <w:tcW w:w="654" w:type="pct"/>
            <w:tcBorders>
              <w:top w:val="single" w:sz="8" w:space="0" w:color="auto"/>
              <w:left w:val="nil"/>
              <w:bottom w:val="single" w:sz="8" w:space="0" w:color="auto"/>
              <w:right w:val="single" w:sz="8" w:space="0" w:color="auto"/>
            </w:tcBorders>
            <w:shd w:val="clear" w:color="auto" w:fill="auto"/>
            <w:noWrap/>
            <w:vAlign w:val="center"/>
            <w:hideMark/>
          </w:tcPr>
          <w:p w:rsidR="00E12B17" w:rsidRPr="00E12B17" w:rsidRDefault="00E12B17" w:rsidP="00E12B17">
            <w:pPr>
              <w:jc w:val="right"/>
              <w:rPr>
                <w:rFonts w:ascii="Lucida Bright" w:hAnsi="Lucida Bright" w:cs="Calibri"/>
                <w:b/>
                <w:bCs/>
                <w:color w:val="000000"/>
                <w:sz w:val="14"/>
                <w:szCs w:val="14"/>
                <w:lang w:val="es-ES"/>
              </w:rPr>
            </w:pPr>
            <w:r w:rsidRPr="00E12B17">
              <w:rPr>
                <w:rFonts w:ascii="Lucida Bright" w:hAnsi="Lucida Bright" w:cs="Calibri"/>
                <w:b/>
                <w:bCs/>
                <w:color w:val="000000"/>
                <w:sz w:val="14"/>
                <w:szCs w:val="14"/>
                <w:lang w:val="es-ES"/>
              </w:rPr>
              <w:t xml:space="preserve">17.833.782,33 </w:t>
            </w:r>
          </w:p>
        </w:tc>
      </w:tr>
    </w:tbl>
    <w:p w:rsidR="00181994" w:rsidRDefault="00181994" w:rsidP="00C22A45">
      <w:pPr>
        <w:tabs>
          <w:tab w:val="right" w:pos="8364"/>
        </w:tabs>
        <w:jc w:val="both"/>
      </w:pPr>
    </w:p>
    <w:p w:rsidR="008016E5" w:rsidRDefault="008016E5" w:rsidP="00C22A45">
      <w:pPr>
        <w:tabs>
          <w:tab w:val="right" w:pos="8364"/>
        </w:tabs>
        <w:jc w:val="both"/>
      </w:pPr>
    </w:p>
    <w:p w:rsidR="00446CF7" w:rsidRDefault="00446CF7" w:rsidP="00C22A45">
      <w:pPr>
        <w:tabs>
          <w:tab w:val="right" w:pos="8364"/>
        </w:tabs>
        <w:jc w:val="both"/>
      </w:pPr>
    </w:p>
    <w:p w:rsidR="002C4355" w:rsidRPr="00653857" w:rsidRDefault="002C4355" w:rsidP="005D0B44">
      <w:pPr>
        <w:pStyle w:val="Sangradetextonormal"/>
        <w:numPr>
          <w:ilvl w:val="0"/>
          <w:numId w:val="2"/>
        </w:numPr>
        <w:ind w:hanging="219"/>
        <w:rPr>
          <w:rFonts w:ascii="NewBaskerville" w:hAnsi="NewBaskerville"/>
          <w:sz w:val="20"/>
        </w:rPr>
      </w:pPr>
      <w:r w:rsidRPr="00653857">
        <w:rPr>
          <w:rFonts w:ascii="NewBaskerville" w:hAnsi="NewBaskerville"/>
          <w:sz w:val="20"/>
        </w:rPr>
        <w:t>Subvenciones IFOP</w:t>
      </w:r>
    </w:p>
    <w:p w:rsidR="00605444" w:rsidRPr="00653857" w:rsidRDefault="00605444">
      <w:pPr>
        <w:tabs>
          <w:tab w:val="right" w:pos="8364"/>
        </w:tabs>
        <w:jc w:val="both"/>
        <w:rPr>
          <w:rFonts w:ascii="NewBaskerville" w:hAnsi="NewBaskerville"/>
        </w:rPr>
      </w:pPr>
    </w:p>
    <w:p w:rsidR="00605444" w:rsidRDefault="002C4355" w:rsidP="002537FF">
      <w:pPr>
        <w:pStyle w:val="Textoindependiente2"/>
        <w:ind w:firstLine="540"/>
        <w:rPr>
          <w:rFonts w:ascii="NewBaskerville" w:hAnsi="NewBaskerville"/>
          <w:sz w:val="20"/>
          <w:szCs w:val="20"/>
        </w:rPr>
      </w:pPr>
      <w:r w:rsidRPr="00653857">
        <w:rPr>
          <w:rFonts w:ascii="NewBaskerville" w:hAnsi="NewBaskerville"/>
          <w:sz w:val="20"/>
          <w:szCs w:val="20"/>
        </w:rPr>
        <w:t xml:space="preserve">Se recibieron subvenciones con cargo a los fondos IFOP para las obras “Mejora de edificio para utillaje y almacén en el </w:t>
      </w:r>
      <w:proofErr w:type="spellStart"/>
      <w:r w:rsidRPr="00653857">
        <w:rPr>
          <w:rFonts w:ascii="NewBaskerville" w:hAnsi="NewBaskerville"/>
          <w:sz w:val="20"/>
          <w:szCs w:val="20"/>
        </w:rPr>
        <w:t>Pto</w:t>
      </w:r>
      <w:proofErr w:type="spellEnd"/>
      <w:r w:rsidRPr="00653857">
        <w:rPr>
          <w:rFonts w:ascii="NewBaskerville" w:hAnsi="NewBaskerville"/>
          <w:sz w:val="20"/>
          <w:szCs w:val="20"/>
        </w:rPr>
        <w:t xml:space="preserve">. </w:t>
      </w:r>
      <w:proofErr w:type="gramStart"/>
      <w:r w:rsidRPr="00653857">
        <w:rPr>
          <w:rFonts w:ascii="NewBaskerville" w:hAnsi="NewBaskerville"/>
          <w:sz w:val="20"/>
          <w:szCs w:val="20"/>
        </w:rPr>
        <w:t>de</w:t>
      </w:r>
      <w:proofErr w:type="gramEnd"/>
      <w:r w:rsidRPr="00653857">
        <w:rPr>
          <w:rFonts w:ascii="NewBaskerville" w:hAnsi="NewBaskerville"/>
          <w:sz w:val="20"/>
          <w:szCs w:val="20"/>
        </w:rPr>
        <w:t xml:space="preserve"> </w:t>
      </w:r>
      <w:proofErr w:type="spellStart"/>
      <w:r w:rsidRPr="00653857">
        <w:rPr>
          <w:rFonts w:ascii="NewBaskerville" w:hAnsi="NewBaskerville"/>
          <w:sz w:val="20"/>
          <w:szCs w:val="20"/>
        </w:rPr>
        <w:t>Alc</w:t>
      </w:r>
      <w:r w:rsidR="00A861CC">
        <w:rPr>
          <w:rFonts w:ascii="NewBaskerville" w:hAnsi="NewBaskerville"/>
          <w:sz w:val="20"/>
          <w:szCs w:val="20"/>
        </w:rPr>
        <w:t>ú</w:t>
      </w:r>
      <w:r w:rsidRPr="00653857">
        <w:rPr>
          <w:rFonts w:ascii="NewBaskerville" w:hAnsi="NewBaskerville"/>
          <w:sz w:val="20"/>
          <w:szCs w:val="20"/>
        </w:rPr>
        <w:t>dia</w:t>
      </w:r>
      <w:proofErr w:type="spellEnd"/>
      <w:r w:rsidRPr="00653857">
        <w:rPr>
          <w:rFonts w:ascii="NewBaskerville" w:hAnsi="NewBaskerville"/>
          <w:sz w:val="20"/>
          <w:szCs w:val="20"/>
        </w:rPr>
        <w:t xml:space="preserve">” y “Reforma del edificio de servicios pesqueros del </w:t>
      </w:r>
      <w:proofErr w:type="spellStart"/>
      <w:r w:rsidRPr="00653857">
        <w:rPr>
          <w:rFonts w:ascii="NewBaskerville" w:hAnsi="NewBaskerville"/>
          <w:sz w:val="20"/>
          <w:szCs w:val="20"/>
        </w:rPr>
        <w:t>Pto</w:t>
      </w:r>
      <w:proofErr w:type="spellEnd"/>
      <w:r w:rsidRPr="00653857">
        <w:rPr>
          <w:rFonts w:ascii="NewBaskerville" w:hAnsi="NewBaskerville"/>
          <w:sz w:val="20"/>
          <w:szCs w:val="20"/>
        </w:rPr>
        <w:t>. Ibiza”. Estas inversiones se incorporaron al inmovilizado en ejercicios anteriores por lo que se han traspasado al resultado</w:t>
      </w:r>
      <w:r w:rsidR="00184A43" w:rsidRPr="00653857">
        <w:rPr>
          <w:rFonts w:ascii="NewBaskerville" w:hAnsi="NewBaskerville"/>
          <w:sz w:val="20"/>
          <w:szCs w:val="20"/>
        </w:rPr>
        <w:t xml:space="preserve"> del</w:t>
      </w:r>
      <w:r w:rsidRPr="00653857">
        <w:rPr>
          <w:rFonts w:ascii="NewBaskerville" w:hAnsi="NewBaskerville"/>
          <w:sz w:val="20"/>
          <w:szCs w:val="20"/>
        </w:rPr>
        <w:t xml:space="preserve"> ejercicio 20</w:t>
      </w:r>
      <w:r w:rsidR="00FA699C" w:rsidRPr="00653857">
        <w:rPr>
          <w:rFonts w:ascii="NewBaskerville" w:hAnsi="NewBaskerville"/>
          <w:sz w:val="20"/>
          <w:szCs w:val="20"/>
        </w:rPr>
        <w:t>2</w:t>
      </w:r>
      <w:r w:rsidR="00FF4194">
        <w:rPr>
          <w:rFonts w:ascii="NewBaskerville" w:hAnsi="NewBaskerville"/>
          <w:sz w:val="20"/>
          <w:szCs w:val="20"/>
        </w:rPr>
        <w:t>3 según se detalla en el cuadro</w:t>
      </w:r>
      <w:r w:rsidR="00653857">
        <w:rPr>
          <w:rFonts w:ascii="NewBaskerville" w:hAnsi="NewBaskerville"/>
          <w:sz w:val="20"/>
          <w:szCs w:val="20"/>
        </w:rPr>
        <w:t>.</w:t>
      </w:r>
    </w:p>
    <w:p w:rsidR="00FF4194" w:rsidRDefault="00FF4194" w:rsidP="002537FF">
      <w:pPr>
        <w:pStyle w:val="Textoindependiente2"/>
        <w:ind w:firstLine="540"/>
        <w:rPr>
          <w:rFonts w:ascii="NewBaskerville" w:hAnsi="NewBaskerville"/>
          <w:sz w:val="20"/>
          <w:szCs w:val="20"/>
        </w:rPr>
      </w:pPr>
    </w:p>
    <w:tbl>
      <w:tblPr>
        <w:tblW w:w="5000" w:type="pct"/>
        <w:tblCellMar>
          <w:left w:w="70" w:type="dxa"/>
          <w:right w:w="70" w:type="dxa"/>
        </w:tblCellMar>
        <w:tblLook w:val="04A0" w:firstRow="1" w:lastRow="0" w:firstColumn="1" w:lastColumn="0" w:noHBand="0" w:noVBand="1"/>
      </w:tblPr>
      <w:tblGrid>
        <w:gridCol w:w="2096"/>
        <w:gridCol w:w="240"/>
        <w:gridCol w:w="297"/>
        <w:gridCol w:w="1290"/>
        <w:gridCol w:w="1157"/>
        <w:gridCol w:w="1138"/>
        <w:gridCol w:w="1290"/>
        <w:gridCol w:w="1136"/>
      </w:tblGrid>
      <w:tr w:rsidR="00FF4194" w:rsidRPr="00FF4194" w:rsidTr="00FF4194">
        <w:trPr>
          <w:trHeight w:val="555"/>
        </w:trPr>
        <w:tc>
          <w:tcPr>
            <w:tcW w:w="1524" w:type="pct"/>
            <w:gridSpan w:val="3"/>
            <w:tcBorders>
              <w:top w:val="single" w:sz="8" w:space="0" w:color="auto"/>
              <w:left w:val="single" w:sz="8" w:space="0" w:color="auto"/>
              <w:bottom w:val="single" w:sz="8" w:space="0" w:color="auto"/>
              <w:right w:val="single" w:sz="8" w:space="0" w:color="000000"/>
            </w:tcBorders>
            <w:shd w:val="clear" w:color="000000" w:fill="CCFFCC"/>
            <w:noWrap/>
            <w:vAlign w:val="center"/>
            <w:hideMark/>
          </w:tcPr>
          <w:p w:rsidR="00FF4194" w:rsidRPr="00FF4194" w:rsidRDefault="00FF4194" w:rsidP="00FF4194">
            <w:pPr>
              <w:jc w:val="center"/>
              <w:rPr>
                <w:rFonts w:ascii="Lucida Bright" w:hAnsi="Lucida Bright" w:cs="Calibri"/>
                <w:b/>
                <w:bCs/>
                <w:color w:val="000000"/>
                <w:sz w:val="18"/>
                <w:szCs w:val="18"/>
                <w:lang w:val="es-ES"/>
              </w:rPr>
            </w:pPr>
            <w:r w:rsidRPr="00FF4194">
              <w:rPr>
                <w:rFonts w:ascii="Lucida Bright" w:hAnsi="Lucida Bright" w:cs="Calibri"/>
                <w:b/>
                <w:bCs/>
                <w:color w:val="000000"/>
                <w:sz w:val="18"/>
                <w:szCs w:val="18"/>
                <w:lang w:val="es-ES"/>
              </w:rPr>
              <w:t>IFOP</w:t>
            </w:r>
          </w:p>
        </w:tc>
        <w:tc>
          <w:tcPr>
            <w:tcW w:w="746" w:type="pct"/>
            <w:tcBorders>
              <w:top w:val="single" w:sz="8" w:space="0" w:color="auto"/>
              <w:left w:val="nil"/>
              <w:bottom w:val="single" w:sz="8" w:space="0" w:color="auto"/>
              <w:right w:val="single" w:sz="8" w:space="0" w:color="auto"/>
            </w:tcBorders>
            <w:shd w:val="clear" w:color="000000" w:fill="CCFFCC"/>
            <w:vAlign w:val="center"/>
            <w:hideMark/>
          </w:tcPr>
          <w:p w:rsidR="00FF4194" w:rsidRPr="00FF4194" w:rsidRDefault="00FF4194" w:rsidP="00FF4194">
            <w:pPr>
              <w:jc w:val="center"/>
              <w:rPr>
                <w:rFonts w:ascii="Lucida Bright" w:hAnsi="Lucida Bright" w:cs="Calibri"/>
                <w:b/>
                <w:bCs/>
                <w:color w:val="000000"/>
                <w:sz w:val="14"/>
                <w:szCs w:val="14"/>
                <w:lang w:val="es-ES"/>
              </w:rPr>
            </w:pPr>
            <w:r w:rsidRPr="00FF4194">
              <w:rPr>
                <w:rFonts w:ascii="Lucida Bright" w:hAnsi="Lucida Bright" w:cs="Calibri"/>
                <w:b/>
                <w:bCs/>
                <w:color w:val="000000"/>
                <w:sz w:val="14"/>
                <w:szCs w:val="14"/>
                <w:lang w:val="es-ES"/>
              </w:rPr>
              <w:t>Saldo a 31/12/2022</w:t>
            </w:r>
          </w:p>
        </w:tc>
        <w:tc>
          <w:tcPr>
            <w:tcW w:w="669" w:type="pct"/>
            <w:tcBorders>
              <w:top w:val="single" w:sz="8" w:space="0" w:color="auto"/>
              <w:left w:val="nil"/>
              <w:bottom w:val="single" w:sz="8" w:space="0" w:color="auto"/>
              <w:right w:val="single" w:sz="8" w:space="0" w:color="auto"/>
            </w:tcBorders>
            <w:shd w:val="clear" w:color="000000" w:fill="CCFFCC"/>
            <w:vAlign w:val="center"/>
            <w:hideMark/>
          </w:tcPr>
          <w:p w:rsidR="00FF4194" w:rsidRPr="00FF4194" w:rsidRDefault="00FF4194" w:rsidP="00FF4194">
            <w:pPr>
              <w:jc w:val="center"/>
              <w:rPr>
                <w:rFonts w:ascii="Lucida Bright" w:hAnsi="Lucida Bright" w:cs="Calibri"/>
                <w:b/>
                <w:bCs/>
                <w:color w:val="000000"/>
                <w:sz w:val="14"/>
                <w:szCs w:val="14"/>
                <w:lang w:val="es-ES"/>
              </w:rPr>
            </w:pPr>
            <w:r w:rsidRPr="00FF4194">
              <w:rPr>
                <w:rFonts w:ascii="Lucida Bright" w:hAnsi="Lucida Bright" w:cs="Calibri"/>
                <w:b/>
                <w:bCs/>
                <w:color w:val="000000"/>
                <w:sz w:val="14"/>
                <w:szCs w:val="14"/>
                <w:lang w:val="es-ES"/>
              </w:rPr>
              <w:t>Importe devengado en el ejerci</w:t>
            </w:r>
            <w:r w:rsidR="00355986">
              <w:rPr>
                <w:rFonts w:ascii="Lucida Bright" w:hAnsi="Lucida Bright" w:cs="Calibri"/>
                <w:b/>
                <w:bCs/>
                <w:color w:val="000000"/>
                <w:sz w:val="14"/>
                <w:szCs w:val="14"/>
                <w:lang w:val="es-ES"/>
              </w:rPr>
              <w:t>ci</w:t>
            </w:r>
            <w:r w:rsidRPr="00FF4194">
              <w:rPr>
                <w:rFonts w:ascii="Lucida Bright" w:hAnsi="Lucida Bright" w:cs="Calibri"/>
                <w:b/>
                <w:bCs/>
                <w:color w:val="000000"/>
                <w:sz w:val="14"/>
                <w:szCs w:val="14"/>
                <w:lang w:val="es-ES"/>
              </w:rPr>
              <w:t>o</w:t>
            </w:r>
          </w:p>
        </w:tc>
        <w:tc>
          <w:tcPr>
            <w:tcW w:w="658" w:type="pct"/>
            <w:tcBorders>
              <w:top w:val="single" w:sz="8" w:space="0" w:color="auto"/>
              <w:left w:val="nil"/>
              <w:bottom w:val="single" w:sz="8" w:space="0" w:color="auto"/>
              <w:right w:val="single" w:sz="8" w:space="0" w:color="auto"/>
            </w:tcBorders>
            <w:shd w:val="clear" w:color="000000" w:fill="CCFFCC"/>
            <w:vAlign w:val="center"/>
            <w:hideMark/>
          </w:tcPr>
          <w:p w:rsidR="00FF4194" w:rsidRPr="00FF4194" w:rsidRDefault="00FF4194" w:rsidP="00FF4194">
            <w:pPr>
              <w:jc w:val="center"/>
              <w:rPr>
                <w:rFonts w:ascii="Lucida Bright" w:hAnsi="Lucida Bright" w:cs="Calibri"/>
                <w:b/>
                <w:bCs/>
                <w:color w:val="000000"/>
                <w:sz w:val="14"/>
                <w:szCs w:val="14"/>
                <w:lang w:val="es-ES"/>
              </w:rPr>
            </w:pPr>
            <w:r w:rsidRPr="00FF4194">
              <w:rPr>
                <w:rFonts w:ascii="Lucida Bright" w:hAnsi="Lucida Bright" w:cs="Calibri"/>
                <w:b/>
                <w:bCs/>
                <w:color w:val="000000"/>
                <w:sz w:val="14"/>
                <w:szCs w:val="14"/>
                <w:lang w:val="es-ES"/>
              </w:rPr>
              <w:t>Efecto impositivo devengo</w:t>
            </w:r>
          </w:p>
        </w:tc>
        <w:tc>
          <w:tcPr>
            <w:tcW w:w="746" w:type="pct"/>
            <w:tcBorders>
              <w:top w:val="single" w:sz="8" w:space="0" w:color="auto"/>
              <w:left w:val="nil"/>
              <w:bottom w:val="single" w:sz="8" w:space="0" w:color="auto"/>
              <w:right w:val="single" w:sz="8" w:space="0" w:color="auto"/>
            </w:tcBorders>
            <w:shd w:val="clear" w:color="000000" w:fill="CCFFCC"/>
            <w:vAlign w:val="center"/>
            <w:hideMark/>
          </w:tcPr>
          <w:p w:rsidR="00FF4194" w:rsidRPr="00FF4194" w:rsidRDefault="00FF4194" w:rsidP="00FF4194">
            <w:pPr>
              <w:jc w:val="center"/>
              <w:rPr>
                <w:rFonts w:ascii="Lucida Bright" w:hAnsi="Lucida Bright" w:cs="Calibri"/>
                <w:b/>
                <w:bCs/>
                <w:color w:val="000000"/>
                <w:sz w:val="14"/>
                <w:szCs w:val="14"/>
                <w:lang w:val="es-ES"/>
              </w:rPr>
            </w:pPr>
            <w:r w:rsidRPr="00FF4194">
              <w:rPr>
                <w:rFonts w:ascii="Lucida Bright" w:hAnsi="Lucida Bright" w:cs="Calibri"/>
                <w:b/>
                <w:bCs/>
                <w:color w:val="000000"/>
                <w:sz w:val="14"/>
                <w:szCs w:val="14"/>
                <w:lang w:val="es-ES"/>
              </w:rPr>
              <w:t>Importe traspas</w:t>
            </w:r>
            <w:r w:rsidR="00355986">
              <w:rPr>
                <w:rFonts w:ascii="Lucida Bright" w:hAnsi="Lucida Bright" w:cs="Calibri"/>
                <w:b/>
                <w:bCs/>
                <w:color w:val="000000"/>
                <w:sz w:val="14"/>
                <w:szCs w:val="14"/>
                <w:lang w:val="es-ES"/>
              </w:rPr>
              <w:t>a</w:t>
            </w:r>
            <w:r w:rsidRPr="00FF4194">
              <w:rPr>
                <w:rFonts w:ascii="Lucida Bright" w:hAnsi="Lucida Bright" w:cs="Calibri"/>
                <w:b/>
                <w:bCs/>
                <w:color w:val="000000"/>
                <w:sz w:val="14"/>
                <w:szCs w:val="14"/>
                <w:lang w:val="es-ES"/>
              </w:rPr>
              <w:t>do al resultado</w:t>
            </w:r>
          </w:p>
        </w:tc>
        <w:tc>
          <w:tcPr>
            <w:tcW w:w="658" w:type="pct"/>
            <w:tcBorders>
              <w:top w:val="single" w:sz="8" w:space="0" w:color="auto"/>
              <w:left w:val="nil"/>
              <w:bottom w:val="single" w:sz="8" w:space="0" w:color="auto"/>
              <w:right w:val="single" w:sz="8" w:space="0" w:color="auto"/>
            </w:tcBorders>
            <w:shd w:val="clear" w:color="000000" w:fill="CCFFCC"/>
            <w:vAlign w:val="center"/>
            <w:hideMark/>
          </w:tcPr>
          <w:p w:rsidR="00FF4194" w:rsidRPr="00FF4194" w:rsidRDefault="00FF4194" w:rsidP="00FF4194">
            <w:pPr>
              <w:jc w:val="center"/>
              <w:rPr>
                <w:rFonts w:ascii="Lucida Bright" w:hAnsi="Lucida Bright" w:cs="Calibri"/>
                <w:b/>
                <w:bCs/>
                <w:color w:val="000000"/>
                <w:sz w:val="14"/>
                <w:szCs w:val="14"/>
                <w:lang w:val="es-ES"/>
              </w:rPr>
            </w:pPr>
            <w:r w:rsidRPr="00FF4194">
              <w:rPr>
                <w:rFonts w:ascii="Lucida Bright" w:hAnsi="Lucida Bright" w:cs="Calibri"/>
                <w:b/>
                <w:bCs/>
                <w:color w:val="000000"/>
                <w:sz w:val="14"/>
                <w:szCs w:val="14"/>
                <w:lang w:val="es-ES"/>
              </w:rPr>
              <w:t>Saldo a 31/12/2023</w:t>
            </w:r>
          </w:p>
        </w:tc>
      </w:tr>
      <w:tr w:rsidR="00FF4194" w:rsidRPr="00FF4194" w:rsidTr="00FF4194">
        <w:trPr>
          <w:trHeight w:val="510"/>
        </w:trPr>
        <w:tc>
          <w:tcPr>
            <w:tcW w:w="152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F4194" w:rsidRPr="00FF4194" w:rsidRDefault="00FF4194" w:rsidP="00FF4194">
            <w:pPr>
              <w:rPr>
                <w:rFonts w:ascii="Lucida Bright" w:hAnsi="Lucida Bright" w:cs="Calibri"/>
                <w:color w:val="000000"/>
                <w:sz w:val="14"/>
                <w:szCs w:val="14"/>
                <w:lang w:val="es-ES"/>
              </w:rPr>
            </w:pPr>
            <w:r w:rsidRPr="00FF4194">
              <w:rPr>
                <w:rFonts w:ascii="Lucida Bright" w:hAnsi="Lucida Bright" w:cs="Calibri"/>
                <w:color w:val="000000"/>
                <w:sz w:val="14"/>
                <w:szCs w:val="14"/>
                <w:lang w:val="es-ES"/>
              </w:rPr>
              <w:t xml:space="preserve">Mejora edificio para utillaje y almacén </w:t>
            </w:r>
            <w:proofErr w:type="spellStart"/>
            <w:r w:rsidRPr="00FF4194">
              <w:rPr>
                <w:rFonts w:ascii="Lucida Bright" w:hAnsi="Lucida Bright" w:cs="Calibri"/>
                <w:color w:val="000000"/>
                <w:sz w:val="14"/>
                <w:szCs w:val="14"/>
                <w:lang w:val="es-ES"/>
              </w:rPr>
              <w:t>Pto</w:t>
            </w:r>
            <w:proofErr w:type="spellEnd"/>
            <w:r w:rsidRPr="00FF4194">
              <w:rPr>
                <w:rFonts w:ascii="Lucida Bright" w:hAnsi="Lucida Bright" w:cs="Calibri"/>
                <w:color w:val="000000"/>
                <w:sz w:val="14"/>
                <w:szCs w:val="14"/>
                <w:lang w:val="es-ES"/>
              </w:rPr>
              <w:t xml:space="preserve"> Alcudia</w:t>
            </w:r>
          </w:p>
        </w:tc>
        <w:tc>
          <w:tcPr>
            <w:tcW w:w="746" w:type="pct"/>
            <w:tcBorders>
              <w:top w:val="single" w:sz="4" w:space="0" w:color="auto"/>
              <w:left w:val="nil"/>
              <w:bottom w:val="single" w:sz="4" w:space="0" w:color="auto"/>
              <w:right w:val="single" w:sz="4" w:space="0" w:color="auto"/>
            </w:tcBorders>
            <w:shd w:val="clear" w:color="auto" w:fill="auto"/>
            <w:noWrap/>
            <w:vAlign w:val="center"/>
            <w:hideMark/>
          </w:tcPr>
          <w:p w:rsidR="00FF4194" w:rsidRPr="00FF4194" w:rsidRDefault="00FF4194" w:rsidP="00FF4194">
            <w:pPr>
              <w:jc w:val="right"/>
              <w:rPr>
                <w:rFonts w:ascii="Lucida Bright" w:hAnsi="Lucida Bright" w:cs="Calibri"/>
                <w:color w:val="000000"/>
                <w:sz w:val="14"/>
                <w:szCs w:val="14"/>
                <w:lang w:val="es-ES"/>
              </w:rPr>
            </w:pPr>
            <w:r w:rsidRPr="00FF4194">
              <w:rPr>
                <w:rFonts w:ascii="Lucida Bright" w:hAnsi="Lucida Bright" w:cs="Calibri"/>
                <w:color w:val="000000"/>
                <w:sz w:val="14"/>
                <w:szCs w:val="14"/>
                <w:lang w:val="es-ES"/>
              </w:rPr>
              <w:t xml:space="preserve">137.418,46 </w:t>
            </w:r>
          </w:p>
        </w:tc>
        <w:tc>
          <w:tcPr>
            <w:tcW w:w="669" w:type="pct"/>
            <w:tcBorders>
              <w:top w:val="single" w:sz="4" w:space="0" w:color="auto"/>
              <w:left w:val="nil"/>
              <w:bottom w:val="single" w:sz="4" w:space="0" w:color="auto"/>
              <w:right w:val="single" w:sz="4" w:space="0" w:color="auto"/>
            </w:tcBorders>
            <w:shd w:val="clear" w:color="auto" w:fill="auto"/>
            <w:noWrap/>
            <w:vAlign w:val="center"/>
            <w:hideMark/>
          </w:tcPr>
          <w:p w:rsidR="00FF4194" w:rsidRPr="00FF4194" w:rsidRDefault="00FF4194" w:rsidP="00FF4194">
            <w:pPr>
              <w:rPr>
                <w:rFonts w:ascii="Lucida Bright" w:hAnsi="Lucida Bright" w:cs="Calibri"/>
                <w:color w:val="000000"/>
                <w:sz w:val="14"/>
                <w:szCs w:val="14"/>
                <w:lang w:val="es-ES"/>
              </w:rPr>
            </w:pPr>
            <w:r w:rsidRPr="00FF4194">
              <w:rPr>
                <w:rFonts w:ascii="Lucida Bright" w:hAnsi="Lucida Bright" w:cs="Calibri"/>
                <w:color w:val="000000"/>
                <w:sz w:val="14"/>
                <w:szCs w:val="14"/>
                <w:lang w:val="es-ES"/>
              </w:rPr>
              <w:t> </w:t>
            </w:r>
          </w:p>
        </w:tc>
        <w:tc>
          <w:tcPr>
            <w:tcW w:w="658" w:type="pct"/>
            <w:tcBorders>
              <w:top w:val="single" w:sz="4" w:space="0" w:color="auto"/>
              <w:left w:val="nil"/>
              <w:bottom w:val="single" w:sz="4" w:space="0" w:color="auto"/>
              <w:right w:val="single" w:sz="4" w:space="0" w:color="auto"/>
            </w:tcBorders>
            <w:shd w:val="clear" w:color="auto" w:fill="auto"/>
            <w:noWrap/>
            <w:vAlign w:val="center"/>
            <w:hideMark/>
          </w:tcPr>
          <w:p w:rsidR="00FF4194" w:rsidRPr="00FF4194" w:rsidRDefault="00FF4194" w:rsidP="00FF4194">
            <w:pPr>
              <w:rPr>
                <w:rFonts w:ascii="Lucida Bright" w:hAnsi="Lucida Bright" w:cs="Calibri"/>
                <w:color w:val="000000"/>
                <w:sz w:val="14"/>
                <w:szCs w:val="14"/>
                <w:lang w:val="es-ES"/>
              </w:rPr>
            </w:pPr>
            <w:r w:rsidRPr="00FF4194">
              <w:rPr>
                <w:rFonts w:ascii="Lucida Bright" w:hAnsi="Lucida Bright" w:cs="Calibri"/>
                <w:color w:val="000000"/>
                <w:sz w:val="14"/>
                <w:szCs w:val="14"/>
                <w:lang w:val="es-ES"/>
              </w:rPr>
              <w:t> </w:t>
            </w:r>
          </w:p>
        </w:tc>
        <w:tc>
          <w:tcPr>
            <w:tcW w:w="746" w:type="pct"/>
            <w:tcBorders>
              <w:top w:val="single" w:sz="4" w:space="0" w:color="auto"/>
              <w:left w:val="nil"/>
              <w:bottom w:val="single" w:sz="4" w:space="0" w:color="auto"/>
              <w:right w:val="single" w:sz="4" w:space="0" w:color="auto"/>
            </w:tcBorders>
            <w:shd w:val="clear" w:color="auto" w:fill="auto"/>
            <w:noWrap/>
            <w:vAlign w:val="center"/>
            <w:hideMark/>
          </w:tcPr>
          <w:p w:rsidR="00FF4194" w:rsidRPr="00FF4194" w:rsidRDefault="00FF4194" w:rsidP="00FF4194">
            <w:pPr>
              <w:jc w:val="right"/>
              <w:rPr>
                <w:rFonts w:ascii="Lucida Bright" w:hAnsi="Lucida Bright" w:cs="Calibri"/>
                <w:color w:val="000000"/>
                <w:sz w:val="14"/>
                <w:szCs w:val="14"/>
                <w:lang w:val="es-ES"/>
              </w:rPr>
            </w:pPr>
            <w:r w:rsidRPr="00FF4194">
              <w:rPr>
                <w:rFonts w:ascii="Lucida Bright" w:hAnsi="Lucida Bright" w:cs="Calibri"/>
                <w:color w:val="000000"/>
                <w:sz w:val="14"/>
                <w:szCs w:val="14"/>
                <w:lang w:val="es-ES"/>
              </w:rPr>
              <w:t xml:space="preserve">(4.256,40) </w:t>
            </w:r>
          </w:p>
        </w:tc>
        <w:tc>
          <w:tcPr>
            <w:tcW w:w="658"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F4194" w:rsidRPr="00FF4194" w:rsidRDefault="00FF4194" w:rsidP="00FF4194">
            <w:pPr>
              <w:jc w:val="right"/>
              <w:rPr>
                <w:rFonts w:ascii="Lucida Bright" w:hAnsi="Lucida Bright" w:cs="Calibri"/>
                <w:color w:val="000000"/>
                <w:sz w:val="14"/>
                <w:szCs w:val="14"/>
                <w:lang w:val="es-ES"/>
              </w:rPr>
            </w:pPr>
            <w:r w:rsidRPr="00FF4194">
              <w:rPr>
                <w:rFonts w:ascii="Lucida Bright" w:hAnsi="Lucida Bright" w:cs="Calibri"/>
                <w:color w:val="000000"/>
                <w:sz w:val="14"/>
                <w:szCs w:val="14"/>
                <w:lang w:val="es-ES"/>
              </w:rPr>
              <w:t xml:space="preserve">133.162,06 </w:t>
            </w:r>
          </w:p>
        </w:tc>
      </w:tr>
      <w:tr w:rsidR="00FF4194" w:rsidRPr="00FF4194" w:rsidTr="00FF4194">
        <w:trPr>
          <w:trHeight w:val="510"/>
        </w:trPr>
        <w:tc>
          <w:tcPr>
            <w:tcW w:w="152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F4194" w:rsidRPr="00FF4194" w:rsidRDefault="00FF4194" w:rsidP="00FF4194">
            <w:pPr>
              <w:rPr>
                <w:rFonts w:ascii="Lucida Bright" w:hAnsi="Lucida Bright" w:cs="Calibri"/>
                <w:color w:val="000000"/>
                <w:sz w:val="14"/>
                <w:szCs w:val="14"/>
                <w:lang w:val="es-ES"/>
              </w:rPr>
            </w:pPr>
            <w:r w:rsidRPr="00FF4194">
              <w:rPr>
                <w:rFonts w:ascii="Lucida Bright" w:hAnsi="Lucida Bright" w:cs="Calibri"/>
                <w:color w:val="000000"/>
                <w:sz w:val="14"/>
                <w:szCs w:val="14"/>
                <w:lang w:val="es-ES"/>
              </w:rPr>
              <w:t xml:space="preserve">Reforma del edificio de servicios pesqueros del </w:t>
            </w:r>
            <w:proofErr w:type="spellStart"/>
            <w:r w:rsidRPr="00FF4194">
              <w:rPr>
                <w:rFonts w:ascii="Lucida Bright" w:hAnsi="Lucida Bright" w:cs="Calibri"/>
                <w:color w:val="000000"/>
                <w:sz w:val="14"/>
                <w:szCs w:val="14"/>
                <w:lang w:val="es-ES"/>
              </w:rPr>
              <w:t>Pto</w:t>
            </w:r>
            <w:proofErr w:type="spellEnd"/>
            <w:r w:rsidRPr="00FF4194">
              <w:rPr>
                <w:rFonts w:ascii="Lucida Bright" w:hAnsi="Lucida Bright" w:cs="Calibri"/>
                <w:color w:val="000000"/>
                <w:sz w:val="14"/>
                <w:szCs w:val="14"/>
                <w:lang w:val="es-ES"/>
              </w:rPr>
              <w:t>. De Ibiza</w:t>
            </w:r>
          </w:p>
        </w:tc>
        <w:tc>
          <w:tcPr>
            <w:tcW w:w="746" w:type="pct"/>
            <w:tcBorders>
              <w:top w:val="nil"/>
              <w:left w:val="nil"/>
              <w:bottom w:val="single" w:sz="8" w:space="0" w:color="auto"/>
              <w:right w:val="single" w:sz="4" w:space="0" w:color="auto"/>
            </w:tcBorders>
            <w:shd w:val="clear" w:color="auto" w:fill="auto"/>
            <w:noWrap/>
            <w:vAlign w:val="center"/>
            <w:hideMark/>
          </w:tcPr>
          <w:p w:rsidR="00FF4194" w:rsidRPr="00FF4194" w:rsidRDefault="00FF4194" w:rsidP="00FF4194">
            <w:pPr>
              <w:jc w:val="right"/>
              <w:rPr>
                <w:rFonts w:ascii="Lucida Bright" w:hAnsi="Lucida Bright" w:cs="Calibri"/>
                <w:color w:val="000000"/>
                <w:sz w:val="14"/>
                <w:szCs w:val="14"/>
                <w:lang w:val="es-ES"/>
              </w:rPr>
            </w:pPr>
            <w:r w:rsidRPr="00FF4194">
              <w:rPr>
                <w:rFonts w:ascii="Lucida Bright" w:hAnsi="Lucida Bright" w:cs="Calibri"/>
                <w:color w:val="000000"/>
                <w:sz w:val="14"/>
                <w:szCs w:val="14"/>
                <w:lang w:val="es-ES"/>
              </w:rPr>
              <w:t xml:space="preserve">231.838,84 </w:t>
            </w:r>
          </w:p>
        </w:tc>
        <w:tc>
          <w:tcPr>
            <w:tcW w:w="669"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rsidR="00FF4194" w:rsidRPr="00FF4194" w:rsidRDefault="00FF4194" w:rsidP="00FF4194">
            <w:pPr>
              <w:jc w:val="right"/>
              <w:rPr>
                <w:rFonts w:ascii="Lucida Bright" w:hAnsi="Lucida Bright" w:cs="Calibri"/>
                <w:color w:val="000000"/>
                <w:sz w:val="14"/>
                <w:szCs w:val="14"/>
                <w:lang w:val="es-ES"/>
              </w:rPr>
            </w:pPr>
            <w:r w:rsidRPr="00FF4194">
              <w:rPr>
                <w:rFonts w:ascii="Lucida Bright" w:hAnsi="Lucida Bright" w:cs="Calibri"/>
                <w:color w:val="000000"/>
                <w:sz w:val="14"/>
                <w:szCs w:val="14"/>
                <w:lang w:val="es-ES"/>
              </w:rPr>
              <w:t> </w:t>
            </w:r>
          </w:p>
        </w:tc>
        <w:tc>
          <w:tcPr>
            <w:tcW w:w="658" w:type="pct"/>
            <w:tcBorders>
              <w:top w:val="single" w:sz="4" w:space="0" w:color="auto"/>
              <w:left w:val="nil"/>
              <w:bottom w:val="single" w:sz="8" w:space="0" w:color="auto"/>
              <w:right w:val="single" w:sz="4" w:space="0" w:color="auto"/>
            </w:tcBorders>
            <w:shd w:val="clear" w:color="auto" w:fill="auto"/>
            <w:noWrap/>
            <w:vAlign w:val="center"/>
            <w:hideMark/>
          </w:tcPr>
          <w:p w:rsidR="00FF4194" w:rsidRPr="00FF4194" w:rsidRDefault="00FF4194" w:rsidP="00FF4194">
            <w:pPr>
              <w:jc w:val="right"/>
              <w:rPr>
                <w:rFonts w:ascii="Lucida Bright" w:hAnsi="Lucida Bright" w:cs="Calibri"/>
                <w:color w:val="000000"/>
                <w:sz w:val="14"/>
                <w:szCs w:val="14"/>
                <w:lang w:val="es-ES"/>
              </w:rPr>
            </w:pPr>
            <w:r w:rsidRPr="00FF4194">
              <w:rPr>
                <w:rFonts w:ascii="Lucida Bright" w:hAnsi="Lucida Bright" w:cs="Calibri"/>
                <w:color w:val="000000"/>
                <w:sz w:val="14"/>
                <w:szCs w:val="14"/>
                <w:lang w:val="es-ES"/>
              </w:rPr>
              <w:t> </w:t>
            </w:r>
          </w:p>
        </w:tc>
        <w:tc>
          <w:tcPr>
            <w:tcW w:w="746" w:type="pct"/>
            <w:tcBorders>
              <w:top w:val="single" w:sz="4" w:space="0" w:color="auto"/>
              <w:left w:val="nil"/>
              <w:bottom w:val="single" w:sz="8" w:space="0" w:color="auto"/>
              <w:right w:val="single" w:sz="4" w:space="0" w:color="auto"/>
            </w:tcBorders>
            <w:shd w:val="clear" w:color="auto" w:fill="auto"/>
            <w:noWrap/>
            <w:vAlign w:val="center"/>
            <w:hideMark/>
          </w:tcPr>
          <w:p w:rsidR="00FF4194" w:rsidRPr="00FF4194" w:rsidRDefault="00FF4194" w:rsidP="00FF4194">
            <w:pPr>
              <w:jc w:val="right"/>
              <w:rPr>
                <w:rFonts w:ascii="Lucida Bright" w:hAnsi="Lucida Bright" w:cs="Calibri"/>
                <w:color w:val="000000"/>
                <w:sz w:val="14"/>
                <w:szCs w:val="14"/>
                <w:lang w:val="es-ES"/>
              </w:rPr>
            </w:pPr>
            <w:r w:rsidRPr="00FF4194">
              <w:rPr>
                <w:rFonts w:ascii="Lucida Bright" w:hAnsi="Lucida Bright" w:cs="Calibri"/>
                <w:color w:val="000000"/>
                <w:sz w:val="14"/>
                <w:szCs w:val="14"/>
                <w:lang w:val="es-ES"/>
              </w:rPr>
              <w:t xml:space="preserve">(6.515,40) </w:t>
            </w:r>
          </w:p>
        </w:tc>
        <w:tc>
          <w:tcPr>
            <w:tcW w:w="658" w:type="pct"/>
            <w:tcBorders>
              <w:top w:val="nil"/>
              <w:left w:val="nil"/>
              <w:bottom w:val="single" w:sz="8" w:space="0" w:color="auto"/>
              <w:right w:val="single" w:sz="8" w:space="0" w:color="auto"/>
            </w:tcBorders>
            <w:shd w:val="clear" w:color="auto" w:fill="auto"/>
            <w:noWrap/>
            <w:vAlign w:val="center"/>
            <w:hideMark/>
          </w:tcPr>
          <w:p w:rsidR="00FF4194" w:rsidRPr="00FF4194" w:rsidRDefault="00FF4194" w:rsidP="00FF4194">
            <w:pPr>
              <w:jc w:val="right"/>
              <w:rPr>
                <w:rFonts w:ascii="Lucida Bright" w:hAnsi="Lucida Bright" w:cs="Calibri"/>
                <w:color w:val="000000"/>
                <w:sz w:val="14"/>
                <w:szCs w:val="14"/>
                <w:lang w:val="es-ES"/>
              </w:rPr>
            </w:pPr>
            <w:r w:rsidRPr="00FF4194">
              <w:rPr>
                <w:rFonts w:ascii="Lucida Bright" w:hAnsi="Lucida Bright" w:cs="Calibri"/>
                <w:color w:val="000000"/>
                <w:sz w:val="14"/>
                <w:szCs w:val="14"/>
                <w:lang w:val="es-ES"/>
              </w:rPr>
              <w:t xml:space="preserve">225.323,44 </w:t>
            </w:r>
          </w:p>
        </w:tc>
      </w:tr>
      <w:tr w:rsidR="00FF4194" w:rsidRPr="00FF4194" w:rsidTr="00FF4194">
        <w:trPr>
          <w:trHeight w:val="315"/>
        </w:trPr>
        <w:tc>
          <w:tcPr>
            <w:tcW w:w="1213" w:type="pct"/>
            <w:tcBorders>
              <w:top w:val="nil"/>
              <w:left w:val="single" w:sz="8" w:space="0" w:color="auto"/>
              <w:bottom w:val="single" w:sz="8" w:space="0" w:color="auto"/>
              <w:right w:val="nil"/>
            </w:tcBorders>
            <w:shd w:val="clear" w:color="auto" w:fill="auto"/>
            <w:noWrap/>
            <w:vAlign w:val="center"/>
            <w:hideMark/>
          </w:tcPr>
          <w:p w:rsidR="00FF4194" w:rsidRPr="00FF4194" w:rsidRDefault="00FF4194" w:rsidP="00FF4194">
            <w:pPr>
              <w:rPr>
                <w:rFonts w:ascii="Lucida Bright" w:hAnsi="Lucida Bright" w:cs="Calibri"/>
                <w:b/>
                <w:bCs/>
                <w:color w:val="000000"/>
                <w:sz w:val="14"/>
                <w:szCs w:val="14"/>
                <w:lang w:val="es-ES"/>
              </w:rPr>
            </w:pPr>
            <w:r w:rsidRPr="00FF4194">
              <w:rPr>
                <w:rFonts w:ascii="Lucida Bright" w:hAnsi="Lucida Bright" w:cs="Calibri"/>
                <w:b/>
                <w:bCs/>
                <w:color w:val="000000"/>
                <w:sz w:val="14"/>
                <w:szCs w:val="14"/>
                <w:lang w:val="es-ES"/>
              </w:rPr>
              <w:t>Total</w:t>
            </w:r>
          </w:p>
        </w:tc>
        <w:tc>
          <w:tcPr>
            <w:tcW w:w="139" w:type="pct"/>
            <w:tcBorders>
              <w:top w:val="nil"/>
              <w:left w:val="nil"/>
              <w:bottom w:val="single" w:sz="8" w:space="0" w:color="auto"/>
              <w:right w:val="nil"/>
            </w:tcBorders>
            <w:shd w:val="clear" w:color="auto" w:fill="auto"/>
            <w:noWrap/>
            <w:vAlign w:val="center"/>
            <w:hideMark/>
          </w:tcPr>
          <w:p w:rsidR="00FF4194" w:rsidRPr="00FF4194" w:rsidRDefault="00FF4194" w:rsidP="00FF4194">
            <w:pPr>
              <w:rPr>
                <w:rFonts w:ascii="Lucida Bright" w:hAnsi="Lucida Bright" w:cs="Calibri"/>
                <w:color w:val="000000"/>
                <w:sz w:val="14"/>
                <w:szCs w:val="14"/>
                <w:lang w:val="es-ES"/>
              </w:rPr>
            </w:pPr>
            <w:r w:rsidRPr="00FF4194">
              <w:rPr>
                <w:rFonts w:ascii="Lucida Bright" w:hAnsi="Lucida Bright" w:cs="Calibri"/>
                <w:color w:val="000000"/>
                <w:sz w:val="14"/>
                <w:szCs w:val="14"/>
                <w:lang w:val="es-ES"/>
              </w:rPr>
              <w:t> </w:t>
            </w:r>
          </w:p>
        </w:tc>
        <w:tc>
          <w:tcPr>
            <w:tcW w:w="172" w:type="pct"/>
            <w:tcBorders>
              <w:top w:val="nil"/>
              <w:left w:val="nil"/>
              <w:bottom w:val="single" w:sz="8" w:space="0" w:color="auto"/>
              <w:right w:val="single" w:sz="8" w:space="0" w:color="auto"/>
            </w:tcBorders>
            <w:shd w:val="clear" w:color="auto" w:fill="auto"/>
            <w:noWrap/>
            <w:vAlign w:val="center"/>
            <w:hideMark/>
          </w:tcPr>
          <w:p w:rsidR="00FF4194" w:rsidRPr="00FF4194" w:rsidRDefault="00FF4194" w:rsidP="00FF4194">
            <w:pPr>
              <w:rPr>
                <w:rFonts w:ascii="Lucida Bright" w:hAnsi="Lucida Bright" w:cs="Calibri"/>
                <w:color w:val="000000"/>
                <w:sz w:val="14"/>
                <w:szCs w:val="14"/>
                <w:lang w:val="es-ES"/>
              </w:rPr>
            </w:pPr>
            <w:r w:rsidRPr="00FF4194">
              <w:rPr>
                <w:rFonts w:ascii="Lucida Bright" w:hAnsi="Lucida Bright" w:cs="Calibri"/>
                <w:color w:val="000000"/>
                <w:sz w:val="14"/>
                <w:szCs w:val="14"/>
                <w:lang w:val="es-ES"/>
              </w:rPr>
              <w:t> </w:t>
            </w:r>
          </w:p>
        </w:tc>
        <w:tc>
          <w:tcPr>
            <w:tcW w:w="746" w:type="pct"/>
            <w:tcBorders>
              <w:top w:val="nil"/>
              <w:left w:val="nil"/>
              <w:bottom w:val="single" w:sz="8" w:space="0" w:color="auto"/>
              <w:right w:val="single" w:sz="8" w:space="0" w:color="auto"/>
            </w:tcBorders>
            <w:shd w:val="clear" w:color="auto" w:fill="auto"/>
            <w:noWrap/>
            <w:vAlign w:val="center"/>
            <w:hideMark/>
          </w:tcPr>
          <w:p w:rsidR="00FF4194" w:rsidRPr="00FF4194" w:rsidRDefault="00FF4194" w:rsidP="00FF4194">
            <w:pPr>
              <w:jc w:val="right"/>
              <w:rPr>
                <w:rFonts w:ascii="Lucida Bright" w:hAnsi="Lucida Bright" w:cs="Calibri"/>
                <w:b/>
                <w:bCs/>
                <w:color w:val="000000"/>
                <w:sz w:val="14"/>
                <w:szCs w:val="14"/>
                <w:lang w:val="es-ES"/>
              </w:rPr>
            </w:pPr>
            <w:r w:rsidRPr="00FF4194">
              <w:rPr>
                <w:rFonts w:ascii="Lucida Bright" w:hAnsi="Lucida Bright" w:cs="Calibri"/>
                <w:b/>
                <w:bCs/>
                <w:color w:val="000000"/>
                <w:sz w:val="14"/>
                <w:szCs w:val="14"/>
                <w:lang w:val="es-ES"/>
              </w:rPr>
              <w:t xml:space="preserve">369.257,30 </w:t>
            </w:r>
          </w:p>
        </w:tc>
        <w:tc>
          <w:tcPr>
            <w:tcW w:w="669" w:type="pct"/>
            <w:tcBorders>
              <w:top w:val="nil"/>
              <w:left w:val="nil"/>
              <w:bottom w:val="single" w:sz="8" w:space="0" w:color="auto"/>
              <w:right w:val="single" w:sz="8" w:space="0" w:color="auto"/>
            </w:tcBorders>
            <w:shd w:val="clear" w:color="auto" w:fill="auto"/>
            <w:noWrap/>
            <w:vAlign w:val="center"/>
            <w:hideMark/>
          </w:tcPr>
          <w:p w:rsidR="00FF4194" w:rsidRPr="00FF4194" w:rsidRDefault="00FF4194" w:rsidP="00FF4194">
            <w:pPr>
              <w:jc w:val="right"/>
              <w:rPr>
                <w:rFonts w:ascii="Lucida Bright" w:hAnsi="Lucida Bright" w:cs="Calibri"/>
                <w:b/>
                <w:bCs/>
                <w:color w:val="000000"/>
                <w:sz w:val="14"/>
                <w:szCs w:val="14"/>
                <w:lang w:val="es-ES"/>
              </w:rPr>
            </w:pPr>
            <w:r w:rsidRPr="00FF4194">
              <w:rPr>
                <w:rFonts w:ascii="Lucida Bright" w:hAnsi="Lucida Bright" w:cs="Calibri"/>
                <w:b/>
                <w:bCs/>
                <w:color w:val="000000"/>
                <w:sz w:val="14"/>
                <w:szCs w:val="14"/>
                <w:lang w:val="es-ES"/>
              </w:rPr>
              <w:t> </w:t>
            </w:r>
          </w:p>
        </w:tc>
        <w:tc>
          <w:tcPr>
            <w:tcW w:w="658" w:type="pct"/>
            <w:tcBorders>
              <w:top w:val="nil"/>
              <w:left w:val="nil"/>
              <w:bottom w:val="single" w:sz="8" w:space="0" w:color="auto"/>
              <w:right w:val="single" w:sz="8" w:space="0" w:color="auto"/>
            </w:tcBorders>
            <w:shd w:val="clear" w:color="auto" w:fill="auto"/>
            <w:noWrap/>
            <w:vAlign w:val="center"/>
            <w:hideMark/>
          </w:tcPr>
          <w:p w:rsidR="00FF4194" w:rsidRPr="00FF4194" w:rsidRDefault="00FF4194" w:rsidP="00FF4194">
            <w:pPr>
              <w:jc w:val="right"/>
              <w:rPr>
                <w:rFonts w:ascii="Lucida Bright" w:hAnsi="Lucida Bright" w:cs="Calibri"/>
                <w:b/>
                <w:bCs/>
                <w:color w:val="000000"/>
                <w:sz w:val="14"/>
                <w:szCs w:val="14"/>
                <w:lang w:val="es-ES"/>
              </w:rPr>
            </w:pPr>
            <w:r w:rsidRPr="00FF4194">
              <w:rPr>
                <w:rFonts w:ascii="Lucida Bright" w:hAnsi="Lucida Bright" w:cs="Calibri"/>
                <w:b/>
                <w:bCs/>
                <w:color w:val="000000"/>
                <w:sz w:val="14"/>
                <w:szCs w:val="14"/>
                <w:lang w:val="es-ES"/>
              </w:rPr>
              <w:t> </w:t>
            </w:r>
          </w:p>
        </w:tc>
        <w:tc>
          <w:tcPr>
            <w:tcW w:w="746" w:type="pct"/>
            <w:tcBorders>
              <w:top w:val="nil"/>
              <w:left w:val="nil"/>
              <w:bottom w:val="single" w:sz="8" w:space="0" w:color="auto"/>
              <w:right w:val="single" w:sz="8" w:space="0" w:color="auto"/>
            </w:tcBorders>
            <w:shd w:val="clear" w:color="auto" w:fill="auto"/>
            <w:noWrap/>
            <w:vAlign w:val="center"/>
            <w:hideMark/>
          </w:tcPr>
          <w:p w:rsidR="00FF4194" w:rsidRPr="00FF4194" w:rsidRDefault="00FF4194" w:rsidP="00FF4194">
            <w:pPr>
              <w:jc w:val="right"/>
              <w:rPr>
                <w:rFonts w:ascii="Lucida Bright" w:hAnsi="Lucida Bright" w:cs="Calibri"/>
                <w:b/>
                <w:bCs/>
                <w:color w:val="000000"/>
                <w:sz w:val="14"/>
                <w:szCs w:val="14"/>
                <w:lang w:val="es-ES"/>
              </w:rPr>
            </w:pPr>
            <w:r w:rsidRPr="00FF4194">
              <w:rPr>
                <w:rFonts w:ascii="Lucida Bright" w:hAnsi="Lucida Bright" w:cs="Calibri"/>
                <w:b/>
                <w:bCs/>
                <w:color w:val="000000"/>
                <w:sz w:val="14"/>
                <w:szCs w:val="14"/>
                <w:lang w:val="es-ES"/>
              </w:rPr>
              <w:t xml:space="preserve">(10.771,80) </w:t>
            </w:r>
          </w:p>
        </w:tc>
        <w:tc>
          <w:tcPr>
            <w:tcW w:w="658" w:type="pct"/>
            <w:tcBorders>
              <w:top w:val="nil"/>
              <w:left w:val="nil"/>
              <w:bottom w:val="single" w:sz="8" w:space="0" w:color="auto"/>
              <w:right w:val="single" w:sz="8" w:space="0" w:color="auto"/>
            </w:tcBorders>
            <w:shd w:val="clear" w:color="auto" w:fill="auto"/>
            <w:noWrap/>
            <w:vAlign w:val="center"/>
            <w:hideMark/>
          </w:tcPr>
          <w:p w:rsidR="00FF4194" w:rsidRPr="00FF4194" w:rsidRDefault="00FF4194" w:rsidP="00FF4194">
            <w:pPr>
              <w:jc w:val="right"/>
              <w:rPr>
                <w:rFonts w:ascii="Lucida Bright" w:hAnsi="Lucida Bright" w:cs="Calibri"/>
                <w:b/>
                <w:bCs/>
                <w:color w:val="000000"/>
                <w:sz w:val="14"/>
                <w:szCs w:val="14"/>
                <w:lang w:val="es-ES"/>
              </w:rPr>
            </w:pPr>
            <w:r w:rsidRPr="00FF4194">
              <w:rPr>
                <w:rFonts w:ascii="Lucida Bright" w:hAnsi="Lucida Bright" w:cs="Calibri"/>
                <w:b/>
                <w:bCs/>
                <w:color w:val="000000"/>
                <w:sz w:val="14"/>
                <w:szCs w:val="14"/>
                <w:lang w:val="es-ES"/>
              </w:rPr>
              <w:t xml:space="preserve">358.485,50 </w:t>
            </w:r>
          </w:p>
        </w:tc>
      </w:tr>
    </w:tbl>
    <w:p w:rsidR="00653857" w:rsidRDefault="00653857" w:rsidP="002537FF">
      <w:pPr>
        <w:pStyle w:val="Textoindependiente2"/>
        <w:ind w:firstLine="540"/>
        <w:rPr>
          <w:rFonts w:ascii="NewBaskerville" w:hAnsi="NewBaskerville"/>
          <w:sz w:val="20"/>
          <w:szCs w:val="20"/>
        </w:rPr>
      </w:pPr>
    </w:p>
    <w:p w:rsidR="00FF4194" w:rsidRDefault="00FF4194" w:rsidP="00FF4194">
      <w:pPr>
        <w:pStyle w:val="Sangradetextonormal"/>
        <w:ind w:left="720" w:firstLine="0"/>
        <w:rPr>
          <w:rFonts w:ascii="NewBaskerville" w:hAnsi="NewBaskerville"/>
          <w:sz w:val="20"/>
        </w:rPr>
      </w:pPr>
    </w:p>
    <w:p w:rsidR="00FF4194" w:rsidRDefault="00FF4194" w:rsidP="00FF4194">
      <w:pPr>
        <w:pStyle w:val="Sangradetextonormal"/>
        <w:numPr>
          <w:ilvl w:val="0"/>
          <w:numId w:val="2"/>
        </w:numPr>
        <w:ind w:hanging="219"/>
        <w:rPr>
          <w:rFonts w:ascii="NewBaskerville" w:hAnsi="NewBaskerville"/>
          <w:sz w:val="20"/>
        </w:rPr>
      </w:pPr>
      <w:r>
        <w:rPr>
          <w:rFonts w:ascii="NewBaskerville" w:hAnsi="NewBaskerville"/>
          <w:sz w:val="20"/>
        </w:rPr>
        <w:t xml:space="preserve">Fondos del Mecanismo de Recuperación y </w:t>
      </w:r>
      <w:proofErr w:type="spellStart"/>
      <w:r>
        <w:rPr>
          <w:rFonts w:ascii="NewBaskerville" w:hAnsi="NewBaskerville"/>
          <w:sz w:val="20"/>
        </w:rPr>
        <w:t>Resiliencia</w:t>
      </w:r>
      <w:proofErr w:type="spellEnd"/>
      <w:r>
        <w:rPr>
          <w:rFonts w:ascii="NewBaskerville" w:hAnsi="NewBaskerville"/>
          <w:sz w:val="20"/>
        </w:rPr>
        <w:t xml:space="preserve"> (MRR)</w:t>
      </w:r>
    </w:p>
    <w:p w:rsidR="00C25E67" w:rsidRDefault="00C25E67" w:rsidP="00C25E67">
      <w:pPr>
        <w:pStyle w:val="Sangradetextonormal"/>
        <w:ind w:left="720" w:firstLine="0"/>
        <w:rPr>
          <w:rFonts w:ascii="NewBaskerville" w:hAnsi="NewBaskerville"/>
          <w:sz w:val="20"/>
        </w:rPr>
      </w:pPr>
    </w:p>
    <w:p w:rsidR="00C25E67" w:rsidRDefault="00C25E67" w:rsidP="00C25E67">
      <w:pPr>
        <w:pStyle w:val="Sangradetextonormal"/>
        <w:rPr>
          <w:rFonts w:ascii="NewBaskerville" w:hAnsi="NewBaskerville"/>
          <w:sz w:val="20"/>
        </w:rPr>
      </w:pPr>
      <w:r>
        <w:rPr>
          <w:rFonts w:ascii="NewBaskerville" w:hAnsi="NewBaskerville"/>
          <w:sz w:val="20"/>
        </w:rPr>
        <w:t xml:space="preserve">La APB participa en actuaciones en sostenibilidad ambiental y energía del componente 6, inversión 3 del Plan. </w:t>
      </w:r>
      <w:r w:rsidR="00431F7C">
        <w:rPr>
          <w:rFonts w:ascii="NewBaskerville" w:hAnsi="NewBaskerville"/>
          <w:sz w:val="20"/>
        </w:rPr>
        <w:t>Durante el ejercicio 2023 se han materializado inversiones en curso en consonancia a la contribución del cumplimiento de hitos y objetivos. Y se han registrado el devengo de estas ayudas según se detalla en el cuadro.</w:t>
      </w:r>
    </w:p>
    <w:p w:rsidR="00431F7C" w:rsidRDefault="00431F7C" w:rsidP="00C25E67">
      <w:pPr>
        <w:pStyle w:val="Sangradetextonormal"/>
        <w:rPr>
          <w:rFonts w:ascii="NewBaskerville" w:hAnsi="NewBaskerville"/>
          <w:sz w:val="20"/>
        </w:rPr>
      </w:pPr>
    </w:p>
    <w:tbl>
      <w:tblPr>
        <w:tblW w:w="5000" w:type="pct"/>
        <w:tblCellMar>
          <w:left w:w="70" w:type="dxa"/>
          <w:right w:w="70" w:type="dxa"/>
        </w:tblCellMar>
        <w:tblLook w:val="04A0" w:firstRow="1" w:lastRow="0" w:firstColumn="1" w:lastColumn="0" w:noHBand="0" w:noVBand="1"/>
      </w:tblPr>
      <w:tblGrid>
        <w:gridCol w:w="2096"/>
        <w:gridCol w:w="240"/>
        <w:gridCol w:w="297"/>
        <w:gridCol w:w="1290"/>
        <w:gridCol w:w="1157"/>
        <w:gridCol w:w="1138"/>
        <w:gridCol w:w="1290"/>
        <w:gridCol w:w="1136"/>
      </w:tblGrid>
      <w:tr w:rsidR="00431F7C" w:rsidRPr="00431F7C" w:rsidTr="00431F7C">
        <w:trPr>
          <w:trHeight w:val="555"/>
        </w:trPr>
        <w:tc>
          <w:tcPr>
            <w:tcW w:w="1524" w:type="pct"/>
            <w:gridSpan w:val="3"/>
            <w:tcBorders>
              <w:top w:val="single" w:sz="8" w:space="0" w:color="auto"/>
              <w:left w:val="single" w:sz="8" w:space="0" w:color="auto"/>
              <w:bottom w:val="single" w:sz="8" w:space="0" w:color="auto"/>
              <w:right w:val="single" w:sz="8" w:space="0" w:color="000000"/>
            </w:tcBorders>
            <w:shd w:val="clear" w:color="000000" w:fill="CCFFCC"/>
            <w:noWrap/>
            <w:vAlign w:val="center"/>
            <w:hideMark/>
          </w:tcPr>
          <w:p w:rsidR="00431F7C" w:rsidRPr="00431F7C" w:rsidRDefault="00431F7C" w:rsidP="00431F7C">
            <w:pPr>
              <w:jc w:val="center"/>
              <w:rPr>
                <w:rFonts w:ascii="Lucida Bright" w:hAnsi="Lucida Bright" w:cs="Calibri"/>
                <w:b/>
                <w:bCs/>
                <w:color w:val="000000"/>
                <w:sz w:val="18"/>
                <w:szCs w:val="18"/>
                <w:lang w:val="es-ES"/>
              </w:rPr>
            </w:pPr>
            <w:r w:rsidRPr="00431F7C">
              <w:rPr>
                <w:rFonts w:ascii="Lucida Bright" w:hAnsi="Lucida Bright" w:cs="Calibri"/>
                <w:b/>
                <w:bCs/>
                <w:color w:val="000000"/>
                <w:sz w:val="18"/>
                <w:szCs w:val="18"/>
                <w:lang w:val="es-ES"/>
              </w:rPr>
              <w:t>FONDOS MRR</w:t>
            </w:r>
          </w:p>
        </w:tc>
        <w:tc>
          <w:tcPr>
            <w:tcW w:w="746" w:type="pct"/>
            <w:tcBorders>
              <w:top w:val="single" w:sz="8" w:space="0" w:color="auto"/>
              <w:left w:val="nil"/>
              <w:bottom w:val="single" w:sz="8" w:space="0" w:color="auto"/>
              <w:right w:val="single" w:sz="8" w:space="0" w:color="auto"/>
            </w:tcBorders>
            <w:shd w:val="clear" w:color="000000" w:fill="CCFFCC"/>
            <w:vAlign w:val="center"/>
            <w:hideMark/>
          </w:tcPr>
          <w:p w:rsidR="00431F7C" w:rsidRPr="00431F7C" w:rsidRDefault="00431F7C" w:rsidP="00431F7C">
            <w:pPr>
              <w:jc w:val="center"/>
              <w:rPr>
                <w:rFonts w:ascii="Lucida Bright" w:hAnsi="Lucida Bright" w:cs="Calibri"/>
                <w:b/>
                <w:bCs/>
                <w:color w:val="000000"/>
                <w:sz w:val="14"/>
                <w:szCs w:val="14"/>
                <w:lang w:val="es-ES"/>
              </w:rPr>
            </w:pPr>
            <w:r w:rsidRPr="00431F7C">
              <w:rPr>
                <w:rFonts w:ascii="Lucida Bright" w:hAnsi="Lucida Bright" w:cs="Calibri"/>
                <w:b/>
                <w:bCs/>
                <w:color w:val="000000"/>
                <w:sz w:val="14"/>
                <w:szCs w:val="14"/>
                <w:lang w:val="es-ES"/>
              </w:rPr>
              <w:t>Saldo a 31/12/2022</w:t>
            </w:r>
          </w:p>
        </w:tc>
        <w:tc>
          <w:tcPr>
            <w:tcW w:w="669" w:type="pct"/>
            <w:tcBorders>
              <w:top w:val="single" w:sz="8" w:space="0" w:color="auto"/>
              <w:left w:val="nil"/>
              <w:bottom w:val="single" w:sz="8" w:space="0" w:color="auto"/>
              <w:right w:val="single" w:sz="8" w:space="0" w:color="auto"/>
            </w:tcBorders>
            <w:shd w:val="clear" w:color="000000" w:fill="CCFFCC"/>
            <w:vAlign w:val="center"/>
            <w:hideMark/>
          </w:tcPr>
          <w:p w:rsidR="00431F7C" w:rsidRPr="00431F7C" w:rsidRDefault="00431F7C" w:rsidP="00431F7C">
            <w:pPr>
              <w:jc w:val="center"/>
              <w:rPr>
                <w:rFonts w:ascii="Lucida Bright" w:hAnsi="Lucida Bright" w:cs="Calibri"/>
                <w:b/>
                <w:bCs/>
                <w:color w:val="000000"/>
                <w:sz w:val="14"/>
                <w:szCs w:val="14"/>
                <w:lang w:val="es-ES"/>
              </w:rPr>
            </w:pPr>
            <w:r w:rsidRPr="00431F7C">
              <w:rPr>
                <w:rFonts w:ascii="Lucida Bright" w:hAnsi="Lucida Bright" w:cs="Calibri"/>
                <w:b/>
                <w:bCs/>
                <w:color w:val="000000"/>
                <w:sz w:val="14"/>
                <w:szCs w:val="14"/>
                <w:lang w:val="es-ES"/>
              </w:rPr>
              <w:t>Importe devengado en el ejerci</w:t>
            </w:r>
            <w:r w:rsidR="00355986">
              <w:rPr>
                <w:rFonts w:ascii="Lucida Bright" w:hAnsi="Lucida Bright" w:cs="Calibri"/>
                <w:b/>
                <w:bCs/>
                <w:color w:val="000000"/>
                <w:sz w:val="14"/>
                <w:szCs w:val="14"/>
                <w:lang w:val="es-ES"/>
              </w:rPr>
              <w:t>ci</w:t>
            </w:r>
            <w:r w:rsidRPr="00431F7C">
              <w:rPr>
                <w:rFonts w:ascii="Lucida Bright" w:hAnsi="Lucida Bright" w:cs="Calibri"/>
                <w:b/>
                <w:bCs/>
                <w:color w:val="000000"/>
                <w:sz w:val="14"/>
                <w:szCs w:val="14"/>
                <w:lang w:val="es-ES"/>
              </w:rPr>
              <w:t>o</w:t>
            </w:r>
          </w:p>
        </w:tc>
        <w:tc>
          <w:tcPr>
            <w:tcW w:w="658" w:type="pct"/>
            <w:tcBorders>
              <w:top w:val="single" w:sz="8" w:space="0" w:color="auto"/>
              <w:left w:val="nil"/>
              <w:bottom w:val="single" w:sz="8" w:space="0" w:color="auto"/>
              <w:right w:val="single" w:sz="8" w:space="0" w:color="auto"/>
            </w:tcBorders>
            <w:shd w:val="clear" w:color="000000" w:fill="CCFFCC"/>
            <w:vAlign w:val="center"/>
            <w:hideMark/>
          </w:tcPr>
          <w:p w:rsidR="00431F7C" w:rsidRPr="00431F7C" w:rsidRDefault="00431F7C" w:rsidP="00431F7C">
            <w:pPr>
              <w:jc w:val="center"/>
              <w:rPr>
                <w:rFonts w:ascii="Lucida Bright" w:hAnsi="Lucida Bright" w:cs="Calibri"/>
                <w:b/>
                <w:bCs/>
                <w:color w:val="000000"/>
                <w:sz w:val="14"/>
                <w:szCs w:val="14"/>
                <w:lang w:val="es-ES"/>
              </w:rPr>
            </w:pPr>
            <w:r w:rsidRPr="00431F7C">
              <w:rPr>
                <w:rFonts w:ascii="Lucida Bright" w:hAnsi="Lucida Bright" w:cs="Calibri"/>
                <w:b/>
                <w:bCs/>
                <w:color w:val="000000"/>
                <w:sz w:val="14"/>
                <w:szCs w:val="14"/>
                <w:lang w:val="es-ES"/>
              </w:rPr>
              <w:t>Efecto impositivo devengo</w:t>
            </w:r>
          </w:p>
        </w:tc>
        <w:tc>
          <w:tcPr>
            <w:tcW w:w="746" w:type="pct"/>
            <w:tcBorders>
              <w:top w:val="single" w:sz="8" w:space="0" w:color="auto"/>
              <w:left w:val="nil"/>
              <w:bottom w:val="single" w:sz="8" w:space="0" w:color="auto"/>
              <w:right w:val="single" w:sz="8" w:space="0" w:color="auto"/>
            </w:tcBorders>
            <w:shd w:val="clear" w:color="000000" w:fill="CCFFCC"/>
            <w:vAlign w:val="center"/>
            <w:hideMark/>
          </w:tcPr>
          <w:p w:rsidR="00431F7C" w:rsidRPr="00431F7C" w:rsidRDefault="00431F7C" w:rsidP="00431F7C">
            <w:pPr>
              <w:jc w:val="center"/>
              <w:rPr>
                <w:rFonts w:ascii="Lucida Bright" w:hAnsi="Lucida Bright" w:cs="Calibri"/>
                <w:b/>
                <w:bCs/>
                <w:color w:val="000000"/>
                <w:sz w:val="14"/>
                <w:szCs w:val="14"/>
                <w:lang w:val="es-ES"/>
              </w:rPr>
            </w:pPr>
            <w:r w:rsidRPr="00431F7C">
              <w:rPr>
                <w:rFonts w:ascii="Lucida Bright" w:hAnsi="Lucida Bright" w:cs="Calibri"/>
                <w:b/>
                <w:bCs/>
                <w:color w:val="000000"/>
                <w:sz w:val="14"/>
                <w:szCs w:val="14"/>
                <w:lang w:val="es-ES"/>
              </w:rPr>
              <w:t>Importe traspas</w:t>
            </w:r>
            <w:r w:rsidR="00355986">
              <w:rPr>
                <w:rFonts w:ascii="Lucida Bright" w:hAnsi="Lucida Bright" w:cs="Calibri"/>
                <w:b/>
                <w:bCs/>
                <w:color w:val="000000"/>
                <w:sz w:val="14"/>
                <w:szCs w:val="14"/>
                <w:lang w:val="es-ES"/>
              </w:rPr>
              <w:t>a</w:t>
            </w:r>
            <w:r w:rsidRPr="00431F7C">
              <w:rPr>
                <w:rFonts w:ascii="Lucida Bright" w:hAnsi="Lucida Bright" w:cs="Calibri"/>
                <w:b/>
                <w:bCs/>
                <w:color w:val="000000"/>
                <w:sz w:val="14"/>
                <w:szCs w:val="14"/>
                <w:lang w:val="es-ES"/>
              </w:rPr>
              <w:t>do al resultado</w:t>
            </w:r>
          </w:p>
        </w:tc>
        <w:tc>
          <w:tcPr>
            <w:tcW w:w="658" w:type="pct"/>
            <w:tcBorders>
              <w:top w:val="single" w:sz="8" w:space="0" w:color="auto"/>
              <w:left w:val="nil"/>
              <w:bottom w:val="single" w:sz="8" w:space="0" w:color="auto"/>
              <w:right w:val="single" w:sz="8" w:space="0" w:color="auto"/>
            </w:tcBorders>
            <w:shd w:val="clear" w:color="000000" w:fill="CCFFCC"/>
            <w:vAlign w:val="center"/>
            <w:hideMark/>
          </w:tcPr>
          <w:p w:rsidR="00431F7C" w:rsidRPr="00431F7C" w:rsidRDefault="00431F7C" w:rsidP="00431F7C">
            <w:pPr>
              <w:jc w:val="center"/>
              <w:rPr>
                <w:rFonts w:ascii="Lucida Bright" w:hAnsi="Lucida Bright" w:cs="Calibri"/>
                <w:b/>
                <w:bCs/>
                <w:color w:val="000000"/>
                <w:sz w:val="14"/>
                <w:szCs w:val="14"/>
                <w:lang w:val="es-ES"/>
              </w:rPr>
            </w:pPr>
            <w:r w:rsidRPr="00431F7C">
              <w:rPr>
                <w:rFonts w:ascii="Lucida Bright" w:hAnsi="Lucida Bright" w:cs="Calibri"/>
                <w:b/>
                <w:bCs/>
                <w:color w:val="000000"/>
                <w:sz w:val="14"/>
                <w:szCs w:val="14"/>
                <w:lang w:val="es-ES"/>
              </w:rPr>
              <w:t>Saldo a 31/12/2023</w:t>
            </w:r>
          </w:p>
        </w:tc>
      </w:tr>
      <w:tr w:rsidR="00431F7C" w:rsidRPr="00431F7C" w:rsidTr="00431F7C">
        <w:trPr>
          <w:trHeight w:val="315"/>
        </w:trPr>
        <w:tc>
          <w:tcPr>
            <w:tcW w:w="152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31F7C" w:rsidRPr="00431F7C" w:rsidRDefault="00431F7C" w:rsidP="00431F7C">
            <w:pPr>
              <w:rPr>
                <w:rFonts w:ascii="Lucida Bright" w:hAnsi="Lucida Bright" w:cs="Calibri"/>
                <w:color w:val="000000"/>
                <w:sz w:val="14"/>
                <w:szCs w:val="14"/>
                <w:lang w:val="es-ES"/>
              </w:rPr>
            </w:pPr>
            <w:r w:rsidRPr="00431F7C">
              <w:rPr>
                <w:rFonts w:ascii="Lucida Bright" w:hAnsi="Lucida Bright" w:cs="Calibri"/>
                <w:color w:val="000000"/>
                <w:sz w:val="14"/>
                <w:szCs w:val="14"/>
                <w:lang w:val="es-ES"/>
              </w:rPr>
              <w:t xml:space="preserve">Fondos MRR </w:t>
            </w:r>
          </w:p>
        </w:tc>
        <w:tc>
          <w:tcPr>
            <w:tcW w:w="746" w:type="pct"/>
            <w:tcBorders>
              <w:top w:val="single" w:sz="4" w:space="0" w:color="auto"/>
              <w:left w:val="nil"/>
              <w:bottom w:val="nil"/>
              <w:right w:val="single" w:sz="4" w:space="0" w:color="auto"/>
            </w:tcBorders>
            <w:shd w:val="clear" w:color="auto" w:fill="auto"/>
            <w:noWrap/>
            <w:vAlign w:val="center"/>
            <w:hideMark/>
          </w:tcPr>
          <w:p w:rsidR="00431F7C" w:rsidRPr="00431F7C" w:rsidRDefault="00431F7C" w:rsidP="00431F7C">
            <w:pPr>
              <w:jc w:val="right"/>
              <w:rPr>
                <w:rFonts w:ascii="Lucida Bright" w:hAnsi="Lucida Bright" w:cs="Calibri"/>
                <w:color w:val="000000"/>
                <w:sz w:val="14"/>
                <w:szCs w:val="14"/>
                <w:lang w:val="es-ES"/>
              </w:rPr>
            </w:pPr>
            <w:r w:rsidRPr="00431F7C">
              <w:rPr>
                <w:rFonts w:ascii="Lucida Bright" w:hAnsi="Lucida Bright" w:cs="Calibri"/>
                <w:color w:val="000000"/>
                <w:sz w:val="14"/>
                <w:szCs w:val="14"/>
                <w:lang w:val="es-ES"/>
              </w:rPr>
              <w:t> </w:t>
            </w:r>
          </w:p>
        </w:tc>
        <w:tc>
          <w:tcPr>
            <w:tcW w:w="669" w:type="pct"/>
            <w:tcBorders>
              <w:top w:val="single" w:sz="4" w:space="0" w:color="auto"/>
              <w:left w:val="nil"/>
              <w:bottom w:val="nil"/>
              <w:right w:val="single" w:sz="4" w:space="0" w:color="auto"/>
            </w:tcBorders>
            <w:shd w:val="clear" w:color="auto" w:fill="auto"/>
            <w:noWrap/>
            <w:vAlign w:val="center"/>
            <w:hideMark/>
          </w:tcPr>
          <w:p w:rsidR="00431F7C" w:rsidRPr="00431F7C" w:rsidRDefault="00431F7C" w:rsidP="00431F7C">
            <w:pPr>
              <w:jc w:val="right"/>
              <w:rPr>
                <w:rFonts w:ascii="Lucida Bright" w:hAnsi="Lucida Bright" w:cs="Calibri"/>
                <w:color w:val="000000"/>
                <w:sz w:val="14"/>
                <w:szCs w:val="14"/>
                <w:lang w:val="es-ES"/>
              </w:rPr>
            </w:pPr>
            <w:r w:rsidRPr="00431F7C">
              <w:rPr>
                <w:rFonts w:ascii="Lucida Bright" w:hAnsi="Lucida Bright" w:cs="Calibri"/>
                <w:color w:val="000000"/>
                <w:sz w:val="14"/>
                <w:szCs w:val="14"/>
                <w:lang w:val="es-ES"/>
              </w:rPr>
              <w:t xml:space="preserve">925.981,86 </w:t>
            </w:r>
          </w:p>
        </w:tc>
        <w:tc>
          <w:tcPr>
            <w:tcW w:w="658" w:type="pct"/>
            <w:tcBorders>
              <w:top w:val="single" w:sz="4" w:space="0" w:color="auto"/>
              <w:left w:val="nil"/>
              <w:bottom w:val="nil"/>
              <w:right w:val="single" w:sz="4" w:space="0" w:color="auto"/>
            </w:tcBorders>
            <w:shd w:val="clear" w:color="auto" w:fill="auto"/>
            <w:noWrap/>
            <w:vAlign w:val="center"/>
            <w:hideMark/>
          </w:tcPr>
          <w:p w:rsidR="00431F7C" w:rsidRPr="00431F7C" w:rsidRDefault="00431F7C" w:rsidP="00431F7C">
            <w:pPr>
              <w:jc w:val="right"/>
              <w:rPr>
                <w:rFonts w:ascii="Lucida Bright" w:hAnsi="Lucida Bright" w:cs="Calibri"/>
                <w:color w:val="000000"/>
                <w:sz w:val="14"/>
                <w:szCs w:val="14"/>
                <w:lang w:val="es-ES"/>
              </w:rPr>
            </w:pPr>
            <w:r w:rsidRPr="00431F7C">
              <w:rPr>
                <w:rFonts w:ascii="Lucida Bright" w:hAnsi="Lucida Bright" w:cs="Calibri"/>
                <w:color w:val="000000"/>
                <w:sz w:val="14"/>
                <w:szCs w:val="14"/>
                <w:lang w:val="es-ES"/>
              </w:rPr>
              <w:t xml:space="preserve">(231.495,46) </w:t>
            </w:r>
          </w:p>
        </w:tc>
        <w:tc>
          <w:tcPr>
            <w:tcW w:w="746" w:type="pct"/>
            <w:tcBorders>
              <w:top w:val="single" w:sz="4" w:space="0" w:color="auto"/>
              <w:left w:val="nil"/>
              <w:bottom w:val="nil"/>
              <w:right w:val="single" w:sz="4" w:space="0" w:color="auto"/>
            </w:tcBorders>
            <w:shd w:val="clear" w:color="auto" w:fill="auto"/>
            <w:noWrap/>
            <w:vAlign w:val="center"/>
            <w:hideMark/>
          </w:tcPr>
          <w:p w:rsidR="00431F7C" w:rsidRPr="00431F7C" w:rsidRDefault="00431F7C" w:rsidP="00431F7C">
            <w:pPr>
              <w:rPr>
                <w:rFonts w:ascii="Lucida Bright" w:hAnsi="Lucida Bright" w:cs="Calibri"/>
                <w:color w:val="000000"/>
                <w:sz w:val="14"/>
                <w:szCs w:val="14"/>
                <w:lang w:val="es-ES"/>
              </w:rPr>
            </w:pPr>
            <w:r w:rsidRPr="00431F7C">
              <w:rPr>
                <w:rFonts w:ascii="Lucida Bright" w:hAnsi="Lucida Bright" w:cs="Calibri"/>
                <w:color w:val="000000"/>
                <w:sz w:val="14"/>
                <w:szCs w:val="14"/>
                <w:lang w:val="es-ES"/>
              </w:rPr>
              <w:t> </w:t>
            </w:r>
          </w:p>
        </w:tc>
        <w:tc>
          <w:tcPr>
            <w:tcW w:w="658" w:type="pct"/>
            <w:tcBorders>
              <w:top w:val="single" w:sz="4" w:space="0" w:color="auto"/>
              <w:left w:val="single" w:sz="4" w:space="0" w:color="auto"/>
              <w:bottom w:val="nil"/>
              <w:right w:val="single" w:sz="8" w:space="0" w:color="auto"/>
            </w:tcBorders>
            <w:shd w:val="clear" w:color="auto" w:fill="auto"/>
            <w:noWrap/>
            <w:vAlign w:val="center"/>
            <w:hideMark/>
          </w:tcPr>
          <w:p w:rsidR="00431F7C" w:rsidRPr="00431F7C" w:rsidRDefault="00431F7C" w:rsidP="00431F7C">
            <w:pPr>
              <w:jc w:val="right"/>
              <w:rPr>
                <w:rFonts w:ascii="Lucida Bright" w:hAnsi="Lucida Bright" w:cs="Calibri"/>
                <w:color w:val="000000"/>
                <w:sz w:val="14"/>
                <w:szCs w:val="14"/>
                <w:lang w:val="es-ES"/>
              </w:rPr>
            </w:pPr>
            <w:r w:rsidRPr="00431F7C">
              <w:rPr>
                <w:rFonts w:ascii="Lucida Bright" w:hAnsi="Lucida Bright" w:cs="Calibri"/>
                <w:color w:val="000000"/>
                <w:sz w:val="14"/>
                <w:szCs w:val="14"/>
                <w:lang w:val="es-ES"/>
              </w:rPr>
              <w:t xml:space="preserve">694.486,40 </w:t>
            </w:r>
          </w:p>
        </w:tc>
      </w:tr>
      <w:tr w:rsidR="00431F7C" w:rsidRPr="00431F7C" w:rsidTr="00431F7C">
        <w:trPr>
          <w:trHeight w:val="315"/>
        </w:trPr>
        <w:tc>
          <w:tcPr>
            <w:tcW w:w="1213" w:type="pct"/>
            <w:tcBorders>
              <w:top w:val="nil"/>
              <w:left w:val="single" w:sz="8" w:space="0" w:color="auto"/>
              <w:bottom w:val="single" w:sz="8" w:space="0" w:color="auto"/>
              <w:right w:val="nil"/>
            </w:tcBorders>
            <w:shd w:val="clear" w:color="auto" w:fill="auto"/>
            <w:noWrap/>
            <w:vAlign w:val="center"/>
            <w:hideMark/>
          </w:tcPr>
          <w:p w:rsidR="00431F7C" w:rsidRPr="00431F7C" w:rsidRDefault="00431F7C" w:rsidP="00431F7C">
            <w:pPr>
              <w:rPr>
                <w:rFonts w:ascii="Lucida Bright" w:hAnsi="Lucida Bright" w:cs="Calibri"/>
                <w:b/>
                <w:bCs/>
                <w:color w:val="000000"/>
                <w:sz w:val="14"/>
                <w:szCs w:val="14"/>
                <w:lang w:val="es-ES"/>
              </w:rPr>
            </w:pPr>
            <w:r w:rsidRPr="00431F7C">
              <w:rPr>
                <w:rFonts w:ascii="Lucida Bright" w:hAnsi="Lucida Bright" w:cs="Calibri"/>
                <w:b/>
                <w:bCs/>
                <w:color w:val="000000"/>
                <w:sz w:val="14"/>
                <w:szCs w:val="14"/>
                <w:lang w:val="es-ES"/>
              </w:rPr>
              <w:t>Total</w:t>
            </w:r>
          </w:p>
        </w:tc>
        <w:tc>
          <w:tcPr>
            <w:tcW w:w="139" w:type="pct"/>
            <w:tcBorders>
              <w:top w:val="nil"/>
              <w:left w:val="nil"/>
              <w:bottom w:val="single" w:sz="8" w:space="0" w:color="auto"/>
              <w:right w:val="nil"/>
            </w:tcBorders>
            <w:shd w:val="clear" w:color="auto" w:fill="auto"/>
            <w:noWrap/>
            <w:vAlign w:val="center"/>
            <w:hideMark/>
          </w:tcPr>
          <w:p w:rsidR="00431F7C" w:rsidRPr="00431F7C" w:rsidRDefault="00431F7C" w:rsidP="00431F7C">
            <w:pPr>
              <w:rPr>
                <w:rFonts w:ascii="Lucida Bright" w:hAnsi="Lucida Bright" w:cs="Calibri"/>
                <w:color w:val="000000"/>
                <w:sz w:val="14"/>
                <w:szCs w:val="14"/>
                <w:lang w:val="es-ES"/>
              </w:rPr>
            </w:pPr>
            <w:r w:rsidRPr="00431F7C">
              <w:rPr>
                <w:rFonts w:ascii="Lucida Bright" w:hAnsi="Lucida Bright" w:cs="Calibri"/>
                <w:color w:val="000000"/>
                <w:sz w:val="14"/>
                <w:szCs w:val="14"/>
                <w:lang w:val="es-ES"/>
              </w:rPr>
              <w:t> </w:t>
            </w:r>
          </w:p>
        </w:tc>
        <w:tc>
          <w:tcPr>
            <w:tcW w:w="172" w:type="pct"/>
            <w:tcBorders>
              <w:top w:val="nil"/>
              <w:left w:val="nil"/>
              <w:bottom w:val="single" w:sz="8" w:space="0" w:color="auto"/>
              <w:right w:val="single" w:sz="8" w:space="0" w:color="auto"/>
            </w:tcBorders>
            <w:shd w:val="clear" w:color="auto" w:fill="auto"/>
            <w:noWrap/>
            <w:vAlign w:val="center"/>
            <w:hideMark/>
          </w:tcPr>
          <w:p w:rsidR="00431F7C" w:rsidRPr="00431F7C" w:rsidRDefault="00431F7C" w:rsidP="00431F7C">
            <w:pPr>
              <w:rPr>
                <w:rFonts w:ascii="Lucida Bright" w:hAnsi="Lucida Bright" w:cs="Calibri"/>
                <w:color w:val="000000"/>
                <w:sz w:val="14"/>
                <w:szCs w:val="14"/>
                <w:lang w:val="es-ES"/>
              </w:rPr>
            </w:pPr>
            <w:r w:rsidRPr="00431F7C">
              <w:rPr>
                <w:rFonts w:ascii="Lucida Bright" w:hAnsi="Lucida Bright" w:cs="Calibri"/>
                <w:color w:val="000000"/>
                <w:sz w:val="14"/>
                <w:szCs w:val="14"/>
                <w:lang w:val="es-ES"/>
              </w:rPr>
              <w:t> </w:t>
            </w:r>
          </w:p>
        </w:tc>
        <w:tc>
          <w:tcPr>
            <w:tcW w:w="746" w:type="pct"/>
            <w:tcBorders>
              <w:top w:val="single" w:sz="8" w:space="0" w:color="auto"/>
              <w:left w:val="nil"/>
              <w:bottom w:val="single" w:sz="8" w:space="0" w:color="auto"/>
              <w:right w:val="single" w:sz="8" w:space="0" w:color="auto"/>
            </w:tcBorders>
            <w:shd w:val="clear" w:color="auto" w:fill="auto"/>
            <w:noWrap/>
            <w:vAlign w:val="center"/>
            <w:hideMark/>
          </w:tcPr>
          <w:p w:rsidR="00431F7C" w:rsidRPr="00431F7C" w:rsidRDefault="00431F7C" w:rsidP="00431F7C">
            <w:pPr>
              <w:jc w:val="right"/>
              <w:rPr>
                <w:rFonts w:ascii="Lucida Bright" w:hAnsi="Lucida Bright" w:cs="Calibri"/>
                <w:b/>
                <w:bCs/>
                <w:color w:val="000000"/>
                <w:sz w:val="14"/>
                <w:szCs w:val="14"/>
                <w:lang w:val="es-ES"/>
              </w:rPr>
            </w:pPr>
            <w:r w:rsidRPr="00431F7C">
              <w:rPr>
                <w:rFonts w:ascii="Lucida Bright" w:hAnsi="Lucida Bright" w:cs="Calibri"/>
                <w:b/>
                <w:bCs/>
                <w:color w:val="000000"/>
                <w:sz w:val="14"/>
                <w:szCs w:val="14"/>
                <w:lang w:val="es-ES"/>
              </w:rPr>
              <w:t> </w:t>
            </w:r>
          </w:p>
        </w:tc>
        <w:tc>
          <w:tcPr>
            <w:tcW w:w="669" w:type="pct"/>
            <w:tcBorders>
              <w:top w:val="single" w:sz="8" w:space="0" w:color="auto"/>
              <w:left w:val="nil"/>
              <w:bottom w:val="single" w:sz="8" w:space="0" w:color="auto"/>
              <w:right w:val="single" w:sz="8" w:space="0" w:color="auto"/>
            </w:tcBorders>
            <w:shd w:val="clear" w:color="auto" w:fill="auto"/>
            <w:noWrap/>
            <w:vAlign w:val="center"/>
            <w:hideMark/>
          </w:tcPr>
          <w:p w:rsidR="00431F7C" w:rsidRPr="00431F7C" w:rsidRDefault="00431F7C" w:rsidP="00431F7C">
            <w:pPr>
              <w:jc w:val="right"/>
              <w:rPr>
                <w:rFonts w:ascii="Lucida Bright" w:hAnsi="Lucida Bright" w:cs="Calibri"/>
                <w:b/>
                <w:bCs/>
                <w:color w:val="000000"/>
                <w:sz w:val="14"/>
                <w:szCs w:val="14"/>
                <w:lang w:val="es-ES"/>
              </w:rPr>
            </w:pPr>
            <w:r w:rsidRPr="00431F7C">
              <w:rPr>
                <w:rFonts w:ascii="Lucida Bright" w:hAnsi="Lucida Bright" w:cs="Calibri"/>
                <w:b/>
                <w:bCs/>
                <w:color w:val="000000"/>
                <w:sz w:val="14"/>
                <w:szCs w:val="14"/>
                <w:lang w:val="es-ES"/>
              </w:rPr>
              <w:t xml:space="preserve">925.981,86 </w:t>
            </w:r>
          </w:p>
        </w:tc>
        <w:tc>
          <w:tcPr>
            <w:tcW w:w="658" w:type="pct"/>
            <w:tcBorders>
              <w:top w:val="single" w:sz="8" w:space="0" w:color="auto"/>
              <w:left w:val="nil"/>
              <w:bottom w:val="single" w:sz="8" w:space="0" w:color="auto"/>
              <w:right w:val="single" w:sz="8" w:space="0" w:color="auto"/>
            </w:tcBorders>
            <w:shd w:val="clear" w:color="auto" w:fill="auto"/>
            <w:noWrap/>
            <w:vAlign w:val="center"/>
            <w:hideMark/>
          </w:tcPr>
          <w:p w:rsidR="00431F7C" w:rsidRPr="00431F7C" w:rsidRDefault="00431F7C" w:rsidP="00431F7C">
            <w:pPr>
              <w:jc w:val="right"/>
              <w:rPr>
                <w:rFonts w:ascii="Lucida Bright" w:hAnsi="Lucida Bright" w:cs="Calibri"/>
                <w:b/>
                <w:bCs/>
                <w:color w:val="000000"/>
                <w:sz w:val="14"/>
                <w:szCs w:val="14"/>
                <w:lang w:val="es-ES"/>
              </w:rPr>
            </w:pPr>
            <w:r w:rsidRPr="00431F7C">
              <w:rPr>
                <w:rFonts w:ascii="Lucida Bright" w:hAnsi="Lucida Bright" w:cs="Calibri"/>
                <w:b/>
                <w:bCs/>
                <w:color w:val="000000"/>
                <w:sz w:val="14"/>
                <w:szCs w:val="14"/>
                <w:lang w:val="es-ES"/>
              </w:rPr>
              <w:t xml:space="preserve">(231.495,46) </w:t>
            </w:r>
          </w:p>
        </w:tc>
        <w:tc>
          <w:tcPr>
            <w:tcW w:w="746" w:type="pct"/>
            <w:tcBorders>
              <w:top w:val="single" w:sz="8" w:space="0" w:color="auto"/>
              <w:left w:val="nil"/>
              <w:bottom w:val="single" w:sz="8" w:space="0" w:color="auto"/>
              <w:right w:val="single" w:sz="8" w:space="0" w:color="auto"/>
            </w:tcBorders>
            <w:shd w:val="clear" w:color="auto" w:fill="auto"/>
            <w:noWrap/>
            <w:vAlign w:val="center"/>
            <w:hideMark/>
          </w:tcPr>
          <w:p w:rsidR="00431F7C" w:rsidRPr="00431F7C" w:rsidRDefault="00431F7C" w:rsidP="00431F7C">
            <w:pPr>
              <w:jc w:val="right"/>
              <w:rPr>
                <w:rFonts w:ascii="Lucida Bright" w:hAnsi="Lucida Bright" w:cs="Calibri"/>
                <w:b/>
                <w:bCs/>
                <w:color w:val="000000"/>
                <w:sz w:val="14"/>
                <w:szCs w:val="14"/>
                <w:lang w:val="es-ES"/>
              </w:rPr>
            </w:pPr>
            <w:r w:rsidRPr="00431F7C">
              <w:rPr>
                <w:rFonts w:ascii="Lucida Bright" w:hAnsi="Lucida Bright" w:cs="Calibri"/>
                <w:b/>
                <w:bCs/>
                <w:color w:val="000000"/>
                <w:sz w:val="14"/>
                <w:szCs w:val="14"/>
                <w:lang w:val="es-ES"/>
              </w:rPr>
              <w:t> </w:t>
            </w:r>
          </w:p>
        </w:tc>
        <w:tc>
          <w:tcPr>
            <w:tcW w:w="658" w:type="pct"/>
            <w:tcBorders>
              <w:top w:val="single" w:sz="8" w:space="0" w:color="auto"/>
              <w:left w:val="nil"/>
              <w:bottom w:val="single" w:sz="8" w:space="0" w:color="auto"/>
              <w:right w:val="single" w:sz="8" w:space="0" w:color="auto"/>
            </w:tcBorders>
            <w:shd w:val="clear" w:color="auto" w:fill="auto"/>
            <w:noWrap/>
            <w:vAlign w:val="center"/>
            <w:hideMark/>
          </w:tcPr>
          <w:p w:rsidR="00431F7C" w:rsidRPr="00431F7C" w:rsidRDefault="00431F7C" w:rsidP="00431F7C">
            <w:pPr>
              <w:jc w:val="right"/>
              <w:rPr>
                <w:rFonts w:ascii="Lucida Bright" w:hAnsi="Lucida Bright" w:cs="Calibri"/>
                <w:b/>
                <w:bCs/>
                <w:color w:val="000000"/>
                <w:sz w:val="14"/>
                <w:szCs w:val="14"/>
                <w:lang w:val="es-ES"/>
              </w:rPr>
            </w:pPr>
            <w:r w:rsidRPr="00431F7C">
              <w:rPr>
                <w:rFonts w:ascii="Lucida Bright" w:hAnsi="Lucida Bright" w:cs="Calibri"/>
                <w:b/>
                <w:bCs/>
                <w:color w:val="000000"/>
                <w:sz w:val="14"/>
                <w:szCs w:val="14"/>
                <w:lang w:val="es-ES"/>
              </w:rPr>
              <w:t xml:space="preserve">694.486,40 </w:t>
            </w:r>
          </w:p>
        </w:tc>
      </w:tr>
    </w:tbl>
    <w:p w:rsidR="00431F7C" w:rsidRPr="00653857" w:rsidRDefault="00431F7C" w:rsidP="00C25E67">
      <w:pPr>
        <w:pStyle w:val="Sangradetextonormal"/>
        <w:rPr>
          <w:rFonts w:ascii="NewBaskerville" w:hAnsi="NewBaskerville"/>
          <w:sz w:val="20"/>
        </w:rPr>
      </w:pPr>
    </w:p>
    <w:p w:rsidR="00653857" w:rsidRDefault="00653857" w:rsidP="00653857">
      <w:pPr>
        <w:pStyle w:val="Textoindependiente2"/>
        <w:rPr>
          <w:rFonts w:ascii="NewBaskerville" w:hAnsi="NewBaskerville"/>
          <w:sz w:val="20"/>
          <w:szCs w:val="20"/>
        </w:rPr>
      </w:pPr>
    </w:p>
    <w:p w:rsidR="00BB7BD3" w:rsidRDefault="00BB7BD3" w:rsidP="00653857">
      <w:pPr>
        <w:pStyle w:val="Textoindependiente2"/>
        <w:rPr>
          <w:rFonts w:ascii="NewBaskerville" w:hAnsi="NewBaskerville"/>
          <w:sz w:val="20"/>
          <w:szCs w:val="20"/>
        </w:rPr>
      </w:pPr>
    </w:p>
    <w:p w:rsidR="00486982" w:rsidRDefault="00486982" w:rsidP="00653857">
      <w:pPr>
        <w:pStyle w:val="Textoindependiente2"/>
        <w:rPr>
          <w:rFonts w:ascii="NewBaskerville" w:hAnsi="NewBaskerville"/>
          <w:sz w:val="20"/>
          <w:szCs w:val="20"/>
        </w:rPr>
      </w:pPr>
    </w:p>
    <w:p w:rsidR="00F174B7" w:rsidRDefault="00F174B7" w:rsidP="00F174B7">
      <w:pPr>
        <w:pStyle w:val="Sangradetextonormal"/>
        <w:numPr>
          <w:ilvl w:val="0"/>
          <w:numId w:val="2"/>
        </w:numPr>
        <w:ind w:hanging="219"/>
        <w:rPr>
          <w:rFonts w:ascii="NewBaskerville" w:hAnsi="NewBaskerville"/>
          <w:sz w:val="20"/>
        </w:rPr>
      </w:pPr>
      <w:r>
        <w:rPr>
          <w:rFonts w:ascii="NewBaskerville" w:hAnsi="NewBaskerville"/>
          <w:sz w:val="20"/>
        </w:rPr>
        <w:t xml:space="preserve">Fondos </w:t>
      </w:r>
      <w:proofErr w:type="spellStart"/>
      <w:r>
        <w:rPr>
          <w:rFonts w:ascii="NewBaskerville" w:hAnsi="NewBaskerville"/>
          <w:sz w:val="20"/>
        </w:rPr>
        <w:t>Feder</w:t>
      </w:r>
      <w:proofErr w:type="spellEnd"/>
      <w:r>
        <w:rPr>
          <w:rFonts w:ascii="NewBaskerville" w:hAnsi="NewBaskerville"/>
          <w:sz w:val="20"/>
        </w:rPr>
        <w:t xml:space="preserve"> M.C.A. 14/20.</w:t>
      </w:r>
    </w:p>
    <w:p w:rsidR="00F174B7" w:rsidRDefault="00F174B7" w:rsidP="00F174B7">
      <w:pPr>
        <w:pStyle w:val="Sangradetextonormal"/>
        <w:rPr>
          <w:rFonts w:ascii="NewBaskerville" w:hAnsi="NewBaskerville"/>
          <w:sz w:val="20"/>
        </w:rPr>
      </w:pPr>
    </w:p>
    <w:p w:rsidR="00F174B7" w:rsidRDefault="00F174B7" w:rsidP="00F174B7">
      <w:pPr>
        <w:pStyle w:val="Sangradetextonormal"/>
        <w:rPr>
          <w:rFonts w:ascii="NewBaskerville" w:hAnsi="NewBaskerville"/>
          <w:sz w:val="20"/>
        </w:rPr>
      </w:pPr>
      <w:r>
        <w:rPr>
          <w:rFonts w:ascii="NewBaskerville" w:hAnsi="NewBaskerville"/>
          <w:sz w:val="20"/>
        </w:rPr>
        <w:t xml:space="preserve">La APB </w:t>
      </w:r>
      <w:r w:rsidR="007C3C8B">
        <w:rPr>
          <w:rFonts w:ascii="NewBaskerville" w:hAnsi="NewBaskerville"/>
          <w:sz w:val="20"/>
        </w:rPr>
        <w:t xml:space="preserve">ha recibido durante el ejercicio 2023 </w:t>
      </w:r>
      <w:r w:rsidR="001E0345">
        <w:rPr>
          <w:rFonts w:ascii="NewBaskerville" w:hAnsi="NewBaskerville"/>
          <w:sz w:val="20"/>
        </w:rPr>
        <w:t xml:space="preserve">Fondos </w:t>
      </w:r>
      <w:proofErr w:type="spellStart"/>
      <w:r w:rsidR="001E0345">
        <w:rPr>
          <w:rFonts w:ascii="NewBaskerville" w:hAnsi="NewBaskerville"/>
          <w:sz w:val="20"/>
        </w:rPr>
        <w:t>Feder</w:t>
      </w:r>
      <w:proofErr w:type="spellEnd"/>
      <w:r w:rsidR="001E0345">
        <w:rPr>
          <w:rFonts w:ascii="NewBaskerville" w:hAnsi="NewBaskerville"/>
          <w:sz w:val="20"/>
        </w:rPr>
        <w:t xml:space="preserve"> para la realización de proyectos de renovación energética de edificios e infraestructuras existentes de la Administración General del Estado, proyectos cofinanciados por la Unión Europea a través del Fondo </w:t>
      </w:r>
      <w:proofErr w:type="spellStart"/>
      <w:r w:rsidR="001E0345">
        <w:rPr>
          <w:rFonts w:ascii="NewBaskerville" w:hAnsi="NewBaskerville"/>
          <w:sz w:val="20"/>
        </w:rPr>
        <w:t>Feder</w:t>
      </w:r>
      <w:proofErr w:type="spellEnd"/>
      <w:r w:rsidR="001E0345">
        <w:rPr>
          <w:rFonts w:ascii="NewBaskerville" w:hAnsi="NewBaskerville"/>
          <w:sz w:val="20"/>
        </w:rPr>
        <w:t xml:space="preserve">. Dicha subvención fue convocada y resuelta por el Instituto para la Diversificación y Ahorro de la Energía (IDAE), y resultó favorable el proyecto de Mejora de la Eficiencia Energética de parte del </w:t>
      </w:r>
      <w:r w:rsidR="00DD448C">
        <w:rPr>
          <w:rFonts w:ascii="NewBaskerville" w:hAnsi="NewBaskerville"/>
          <w:sz w:val="20"/>
        </w:rPr>
        <w:t>Alumbrado</w:t>
      </w:r>
      <w:r w:rsidR="001E0345">
        <w:rPr>
          <w:rFonts w:ascii="NewBaskerville" w:hAnsi="NewBaskerville"/>
          <w:sz w:val="20"/>
        </w:rPr>
        <w:t xml:space="preserve"> Exterior del Puerto de </w:t>
      </w:r>
      <w:proofErr w:type="spellStart"/>
      <w:r w:rsidR="001E0345">
        <w:rPr>
          <w:rFonts w:ascii="NewBaskerville" w:hAnsi="NewBaskerville"/>
          <w:sz w:val="20"/>
        </w:rPr>
        <w:t>Maó</w:t>
      </w:r>
      <w:proofErr w:type="spellEnd"/>
      <w:r w:rsidR="001E0345">
        <w:rPr>
          <w:rFonts w:ascii="NewBaskerville" w:hAnsi="NewBaskerville"/>
          <w:sz w:val="20"/>
        </w:rPr>
        <w:t xml:space="preserve"> perteneciente a la APB. Las cantidades devengadas y traspasadas al</w:t>
      </w:r>
      <w:r w:rsidR="0048433C">
        <w:rPr>
          <w:rFonts w:ascii="NewBaskerville" w:hAnsi="NewBaskerville"/>
          <w:sz w:val="20"/>
        </w:rPr>
        <w:t xml:space="preserve"> resultado son las detalladas en el cuadro.</w:t>
      </w:r>
    </w:p>
    <w:p w:rsidR="0048433C" w:rsidRDefault="0048433C" w:rsidP="00F174B7">
      <w:pPr>
        <w:pStyle w:val="Sangradetextonormal"/>
        <w:rPr>
          <w:rFonts w:ascii="NewBaskerville" w:hAnsi="NewBaskerville"/>
          <w:sz w:val="20"/>
        </w:rPr>
      </w:pPr>
    </w:p>
    <w:tbl>
      <w:tblPr>
        <w:tblW w:w="5000" w:type="pct"/>
        <w:tblCellMar>
          <w:left w:w="70" w:type="dxa"/>
          <w:right w:w="70" w:type="dxa"/>
        </w:tblCellMar>
        <w:tblLook w:val="04A0" w:firstRow="1" w:lastRow="0" w:firstColumn="1" w:lastColumn="0" w:noHBand="0" w:noVBand="1"/>
      </w:tblPr>
      <w:tblGrid>
        <w:gridCol w:w="2096"/>
        <w:gridCol w:w="240"/>
        <w:gridCol w:w="297"/>
        <w:gridCol w:w="1290"/>
        <w:gridCol w:w="1157"/>
        <w:gridCol w:w="1138"/>
        <w:gridCol w:w="1290"/>
        <w:gridCol w:w="1136"/>
      </w:tblGrid>
      <w:tr w:rsidR="0048433C" w:rsidRPr="0048433C" w:rsidTr="0048433C">
        <w:trPr>
          <w:trHeight w:val="555"/>
        </w:trPr>
        <w:tc>
          <w:tcPr>
            <w:tcW w:w="1524" w:type="pct"/>
            <w:gridSpan w:val="3"/>
            <w:tcBorders>
              <w:top w:val="single" w:sz="8" w:space="0" w:color="auto"/>
              <w:left w:val="single" w:sz="8" w:space="0" w:color="auto"/>
              <w:bottom w:val="single" w:sz="8" w:space="0" w:color="auto"/>
              <w:right w:val="single" w:sz="8" w:space="0" w:color="000000"/>
            </w:tcBorders>
            <w:shd w:val="clear" w:color="000000" w:fill="CCFFCC"/>
            <w:noWrap/>
            <w:vAlign w:val="center"/>
            <w:hideMark/>
          </w:tcPr>
          <w:p w:rsidR="0048433C" w:rsidRPr="0048433C" w:rsidRDefault="0048433C" w:rsidP="0048433C">
            <w:pPr>
              <w:jc w:val="center"/>
              <w:rPr>
                <w:rFonts w:ascii="Lucida Bright" w:hAnsi="Lucida Bright" w:cs="Calibri"/>
                <w:b/>
                <w:bCs/>
                <w:color w:val="000000"/>
                <w:sz w:val="18"/>
                <w:szCs w:val="18"/>
                <w:lang w:val="es-ES"/>
              </w:rPr>
            </w:pPr>
            <w:proofErr w:type="spellStart"/>
            <w:r w:rsidRPr="0048433C">
              <w:rPr>
                <w:rFonts w:ascii="Lucida Bright" w:hAnsi="Lucida Bright" w:cs="Calibri"/>
                <w:b/>
                <w:bCs/>
                <w:color w:val="000000"/>
                <w:sz w:val="18"/>
                <w:szCs w:val="18"/>
                <w:lang w:val="es-ES"/>
              </w:rPr>
              <w:t>Feder</w:t>
            </w:r>
            <w:proofErr w:type="spellEnd"/>
            <w:r w:rsidRPr="0048433C">
              <w:rPr>
                <w:rFonts w:ascii="Lucida Bright" w:hAnsi="Lucida Bright" w:cs="Calibri"/>
                <w:b/>
                <w:bCs/>
                <w:color w:val="000000"/>
                <w:sz w:val="18"/>
                <w:szCs w:val="18"/>
                <w:lang w:val="es-ES"/>
              </w:rPr>
              <w:t xml:space="preserve"> M.C.A. 14/20</w:t>
            </w:r>
          </w:p>
        </w:tc>
        <w:tc>
          <w:tcPr>
            <w:tcW w:w="746" w:type="pct"/>
            <w:tcBorders>
              <w:top w:val="single" w:sz="8" w:space="0" w:color="auto"/>
              <w:left w:val="nil"/>
              <w:bottom w:val="single" w:sz="8" w:space="0" w:color="auto"/>
              <w:right w:val="single" w:sz="8" w:space="0" w:color="auto"/>
            </w:tcBorders>
            <w:shd w:val="clear" w:color="000000" w:fill="CCFFCC"/>
            <w:vAlign w:val="center"/>
            <w:hideMark/>
          </w:tcPr>
          <w:p w:rsidR="0048433C" w:rsidRPr="0048433C" w:rsidRDefault="0048433C" w:rsidP="0048433C">
            <w:pPr>
              <w:jc w:val="center"/>
              <w:rPr>
                <w:rFonts w:ascii="Lucida Bright" w:hAnsi="Lucida Bright" w:cs="Calibri"/>
                <w:b/>
                <w:bCs/>
                <w:color w:val="000000"/>
                <w:sz w:val="14"/>
                <w:szCs w:val="14"/>
                <w:lang w:val="es-ES"/>
              </w:rPr>
            </w:pPr>
            <w:r w:rsidRPr="0048433C">
              <w:rPr>
                <w:rFonts w:ascii="Lucida Bright" w:hAnsi="Lucida Bright" w:cs="Calibri"/>
                <w:b/>
                <w:bCs/>
                <w:color w:val="000000"/>
                <w:sz w:val="14"/>
                <w:szCs w:val="14"/>
                <w:lang w:val="es-ES"/>
              </w:rPr>
              <w:t>Saldo a 31/12/2022</w:t>
            </w:r>
          </w:p>
        </w:tc>
        <w:tc>
          <w:tcPr>
            <w:tcW w:w="669" w:type="pct"/>
            <w:tcBorders>
              <w:top w:val="single" w:sz="8" w:space="0" w:color="auto"/>
              <w:left w:val="nil"/>
              <w:bottom w:val="single" w:sz="8" w:space="0" w:color="auto"/>
              <w:right w:val="single" w:sz="8" w:space="0" w:color="auto"/>
            </w:tcBorders>
            <w:shd w:val="clear" w:color="000000" w:fill="CCFFCC"/>
            <w:vAlign w:val="center"/>
            <w:hideMark/>
          </w:tcPr>
          <w:p w:rsidR="0048433C" w:rsidRPr="0048433C" w:rsidRDefault="00355986" w:rsidP="0048433C">
            <w:pPr>
              <w:jc w:val="center"/>
              <w:rPr>
                <w:rFonts w:ascii="Lucida Bright" w:hAnsi="Lucida Bright" w:cs="Calibri"/>
                <w:b/>
                <w:bCs/>
                <w:color w:val="000000"/>
                <w:sz w:val="14"/>
                <w:szCs w:val="14"/>
                <w:lang w:val="es-ES"/>
              </w:rPr>
            </w:pPr>
            <w:r>
              <w:rPr>
                <w:rFonts w:ascii="Lucida Bright" w:hAnsi="Lucida Bright" w:cs="Calibri"/>
                <w:b/>
                <w:bCs/>
                <w:color w:val="000000"/>
                <w:sz w:val="14"/>
                <w:szCs w:val="14"/>
                <w:lang w:val="es-ES"/>
              </w:rPr>
              <w:t>Importe devengado en el ejercicio</w:t>
            </w:r>
          </w:p>
        </w:tc>
        <w:tc>
          <w:tcPr>
            <w:tcW w:w="658" w:type="pct"/>
            <w:tcBorders>
              <w:top w:val="single" w:sz="8" w:space="0" w:color="auto"/>
              <w:left w:val="nil"/>
              <w:bottom w:val="single" w:sz="8" w:space="0" w:color="auto"/>
              <w:right w:val="single" w:sz="8" w:space="0" w:color="auto"/>
            </w:tcBorders>
            <w:shd w:val="clear" w:color="000000" w:fill="CCFFCC"/>
            <w:vAlign w:val="center"/>
            <w:hideMark/>
          </w:tcPr>
          <w:p w:rsidR="0048433C" w:rsidRPr="0048433C" w:rsidRDefault="0048433C" w:rsidP="0048433C">
            <w:pPr>
              <w:jc w:val="center"/>
              <w:rPr>
                <w:rFonts w:ascii="Lucida Bright" w:hAnsi="Lucida Bright" w:cs="Calibri"/>
                <w:b/>
                <w:bCs/>
                <w:color w:val="000000"/>
                <w:sz w:val="14"/>
                <w:szCs w:val="14"/>
                <w:lang w:val="es-ES"/>
              </w:rPr>
            </w:pPr>
            <w:r w:rsidRPr="0048433C">
              <w:rPr>
                <w:rFonts w:ascii="Lucida Bright" w:hAnsi="Lucida Bright" w:cs="Calibri"/>
                <w:b/>
                <w:bCs/>
                <w:color w:val="000000"/>
                <w:sz w:val="14"/>
                <w:szCs w:val="14"/>
                <w:lang w:val="es-ES"/>
              </w:rPr>
              <w:t>Efecto impositivo devengo</w:t>
            </w:r>
          </w:p>
        </w:tc>
        <w:tc>
          <w:tcPr>
            <w:tcW w:w="746" w:type="pct"/>
            <w:tcBorders>
              <w:top w:val="single" w:sz="8" w:space="0" w:color="auto"/>
              <w:left w:val="nil"/>
              <w:bottom w:val="single" w:sz="8" w:space="0" w:color="auto"/>
              <w:right w:val="single" w:sz="8" w:space="0" w:color="auto"/>
            </w:tcBorders>
            <w:shd w:val="clear" w:color="000000" w:fill="CCFFCC"/>
            <w:vAlign w:val="center"/>
            <w:hideMark/>
          </w:tcPr>
          <w:p w:rsidR="0048433C" w:rsidRPr="0048433C" w:rsidRDefault="0048433C" w:rsidP="0048433C">
            <w:pPr>
              <w:jc w:val="center"/>
              <w:rPr>
                <w:rFonts w:ascii="Lucida Bright" w:hAnsi="Lucida Bright" w:cs="Calibri"/>
                <w:b/>
                <w:bCs/>
                <w:color w:val="000000"/>
                <w:sz w:val="14"/>
                <w:szCs w:val="14"/>
                <w:lang w:val="es-ES"/>
              </w:rPr>
            </w:pPr>
            <w:r w:rsidRPr="0048433C">
              <w:rPr>
                <w:rFonts w:ascii="Lucida Bright" w:hAnsi="Lucida Bright" w:cs="Calibri"/>
                <w:b/>
                <w:bCs/>
                <w:color w:val="000000"/>
                <w:sz w:val="14"/>
                <w:szCs w:val="14"/>
                <w:lang w:val="es-ES"/>
              </w:rPr>
              <w:t>Importe traspas</w:t>
            </w:r>
            <w:r w:rsidR="00355986">
              <w:rPr>
                <w:rFonts w:ascii="Lucida Bright" w:hAnsi="Lucida Bright" w:cs="Calibri"/>
                <w:b/>
                <w:bCs/>
                <w:color w:val="000000"/>
                <w:sz w:val="14"/>
                <w:szCs w:val="14"/>
                <w:lang w:val="es-ES"/>
              </w:rPr>
              <w:t>a</w:t>
            </w:r>
            <w:r w:rsidRPr="0048433C">
              <w:rPr>
                <w:rFonts w:ascii="Lucida Bright" w:hAnsi="Lucida Bright" w:cs="Calibri"/>
                <w:b/>
                <w:bCs/>
                <w:color w:val="000000"/>
                <w:sz w:val="14"/>
                <w:szCs w:val="14"/>
                <w:lang w:val="es-ES"/>
              </w:rPr>
              <w:t>do al resultado</w:t>
            </w:r>
          </w:p>
        </w:tc>
        <w:tc>
          <w:tcPr>
            <w:tcW w:w="658" w:type="pct"/>
            <w:tcBorders>
              <w:top w:val="single" w:sz="8" w:space="0" w:color="auto"/>
              <w:left w:val="nil"/>
              <w:bottom w:val="single" w:sz="8" w:space="0" w:color="auto"/>
              <w:right w:val="single" w:sz="8" w:space="0" w:color="auto"/>
            </w:tcBorders>
            <w:shd w:val="clear" w:color="000000" w:fill="CCFFCC"/>
            <w:vAlign w:val="center"/>
            <w:hideMark/>
          </w:tcPr>
          <w:p w:rsidR="0048433C" w:rsidRPr="0048433C" w:rsidRDefault="0048433C" w:rsidP="0048433C">
            <w:pPr>
              <w:jc w:val="center"/>
              <w:rPr>
                <w:rFonts w:ascii="Lucida Bright" w:hAnsi="Lucida Bright" w:cs="Calibri"/>
                <w:b/>
                <w:bCs/>
                <w:color w:val="000000"/>
                <w:sz w:val="14"/>
                <w:szCs w:val="14"/>
                <w:lang w:val="es-ES"/>
              </w:rPr>
            </w:pPr>
            <w:r w:rsidRPr="0048433C">
              <w:rPr>
                <w:rFonts w:ascii="Lucida Bright" w:hAnsi="Lucida Bright" w:cs="Calibri"/>
                <w:b/>
                <w:bCs/>
                <w:color w:val="000000"/>
                <w:sz w:val="14"/>
                <w:szCs w:val="14"/>
                <w:lang w:val="es-ES"/>
              </w:rPr>
              <w:t>Saldo a 31/12/2023</w:t>
            </w:r>
          </w:p>
        </w:tc>
      </w:tr>
      <w:tr w:rsidR="0048433C" w:rsidRPr="0048433C" w:rsidTr="0048433C">
        <w:trPr>
          <w:trHeight w:val="315"/>
        </w:trPr>
        <w:tc>
          <w:tcPr>
            <w:tcW w:w="152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8433C" w:rsidRPr="0048433C" w:rsidRDefault="0048433C" w:rsidP="0048433C">
            <w:pPr>
              <w:rPr>
                <w:rFonts w:ascii="Lucida Bright" w:hAnsi="Lucida Bright" w:cs="Calibri"/>
                <w:color w:val="000000"/>
                <w:sz w:val="14"/>
                <w:szCs w:val="14"/>
                <w:lang w:val="es-ES"/>
              </w:rPr>
            </w:pPr>
            <w:r w:rsidRPr="0048433C">
              <w:rPr>
                <w:rFonts w:ascii="Lucida Bright" w:hAnsi="Lucida Bright" w:cs="Calibri"/>
                <w:color w:val="000000"/>
                <w:sz w:val="14"/>
                <w:szCs w:val="14"/>
                <w:lang w:val="es-ES"/>
              </w:rPr>
              <w:t xml:space="preserve">Proyecto de renovación energética de </w:t>
            </w:r>
            <w:proofErr w:type="spellStart"/>
            <w:r w:rsidRPr="0048433C">
              <w:rPr>
                <w:rFonts w:ascii="Lucida Bright" w:hAnsi="Lucida Bright" w:cs="Calibri"/>
                <w:color w:val="000000"/>
                <w:sz w:val="14"/>
                <w:szCs w:val="14"/>
                <w:lang w:val="es-ES"/>
              </w:rPr>
              <w:t>ed</w:t>
            </w:r>
            <w:proofErr w:type="spellEnd"/>
            <w:r w:rsidRPr="0048433C">
              <w:rPr>
                <w:rFonts w:ascii="Lucida Bright" w:hAnsi="Lucida Bright" w:cs="Calibri"/>
                <w:color w:val="000000"/>
                <w:sz w:val="14"/>
                <w:szCs w:val="14"/>
                <w:lang w:val="es-ES"/>
              </w:rPr>
              <w:t xml:space="preserve"> e </w:t>
            </w:r>
            <w:proofErr w:type="spellStart"/>
            <w:r w:rsidRPr="0048433C">
              <w:rPr>
                <w:rFonts w:ascii="Lucida Bright" w:hAnsi="Lucida Bright" w:cs="Calibri"/>
                <w:color w:val="000000"/>
                <w:sz w:val="14"/>
                <w:szCs w:val="14"/>
                <w:lang w:val="es-ES"/>
              </w:rPr>
              <w:t>infrae</w:t>
            </w:r>
            <w:proofErr w:type="spellEnd"/>
            <w:r w:rsidRPr="0048433C">
              <w:rPr>
                <w:rFonts w:ascii="Lucida Bright" w:hAnsi="Lucida Bright" w:cs="Calibri"/>
                <w:color w:val="000000"/>
                <w:sz w:val="14"/>
                <w:szCs w:val="14"/>
                <w:lang w:val="es-ES"/>
              </w:rPr>
              <w:t xml:space="preserve"> AGE (IDAE )</w:t>
            </w:r>
          </w:p>
        </w:tc>
        <w:tc>
          <w:tcPr>
            <w:tcW w:w="746" w:type="pct"/>
            <w:tcBorders>
              <w:top w:val="single" w:sz="4" w:space="0" w:color="auto"/>
              <w:left w:val="nil"/>
              <w:bottom w:val="nil"/>
              <w:right w:val="single" w:sz="4" w:space="0" w:color="auto"/>
            </w:tcBorders>
            <w:shd w:val="clear" w:color="auto" w:fill="auto"/>
            <w:noWrap/>
            <w:vAlign w:val="center"/>
            <w:hideMark/>
          </w:tcPr>
          <w:p w:rsidR="0048433C" w:rsidRPr="0048433C" w:rsidRDefault="0048433C" w:rsidP="0048433C">
            <w:pPr>
              <w:jc w:val="right"/>
              <w:rPr>
                <w:rFonts w:ascii="Lucida Bright" w:hAnsi="Lucida Bright" w:cs="Calibri"/>
                <w:color w:val="000000"/>
                <w:sz w:val="14"/>
                <w:szCs w:val="14"/>
                <w:lang w:val="es-ES"/>
              </w:rPr>
            </w:pPr>
            <w:r w:rsidRPr="0048433C">
              <w:rPr>
                <w:rFonts w:ascii="Lucida Bright" w:hAnsi="Lucida Bright" w:cs="Calibri"/>
                <w:color w:val="000000"/>
                <w:sz w:val="14"/>
                <w:szCs w:val="14"/>
                <w:lang w:val="es-ES"/>
              </w:rPr>
              <w:t> </w:t>
            </w:r>
          </w:p>
        </w:tc>
        <w:tc>
          <w:tcPr>
            <w:tcW w:w="669" w:type="pct"/>
            <w:tcBorders>
              <w:top w:val="single" w:sz="4" w:space="0" w:color="auto"/>
              <w:left w:val="nil"/>
              <w:bottom w:val="nil"/>
              <w:right w:val="single" w:sz="4" w:space="0" w:color="auto"/>
            </w:tcBorders>
            <w:shd w:val="clear" w:color="auto" w:fill="auto"/>
            <w:noWrap/>
            <w:vAlign w:val="center"/>
            <w:hideMark/>
          </w:tcPr>
          <w:p w:rsidR="0048433C" w:rsidRPr="0048433C" w:rsidRDefault="0048433C" w:rsidP="0048433C">
            <w:pPr>
              <w:jc w:val="right"/>
              <w:rPr>
                <w:rFonts w:ascii="Lucida Bright" w:hAnsi="Lucida Bright" w:cs="Calibri"/>
                <w:color w:val="000000"/>
                <w:sz w:val="14"/>
                <w:szCs w:val="14"/>
                <w:lang w:val="es-ES"/>
              </w:rPr>
            </w:pPr>
            <w:r w:rsidRPr="0048433C">
              <w:rPr>
                <w:rFonts w:ascii="Lucida Bright" w:hAnsi="Lucida Bright" w:cs="Calibri"/>
                <w:color w:val="000000"/>
                <w:sz w:val="14"/>
                <w:szCs w:val="14"/>
                <w:lang w:val="es-ES"/>
              </w:rPr>
              <w:t xml:space="preserve">180.244,85 </w:t>
            </w:r>
          </w:p>
        </w:tc>
        <w:tc>
          <w:tcPr>
            <w:tcW w:w="658" w:type="pct"/>
            <w:tcBorders>
              <w:top w:val="single" w:sz="4" w:space="0" w:color="auto"/>
              <w:left w:val="nil"/>
              <w:bottom w:val="nil"/>
              <w:right w:val="single" w:sz="4" w:space="0" w:color="auto"/>
            </w:tcBorders>
            <w:shd w:val="clear" w:color="auto" w:fill="auto"/>
            <w:noWrap/>
            <w:vAlign w:val="center"/>
            <w:hideMark/>
          </w:tcPr>
          <w:p w:rsidR="0048433C" w:rsidRPr="0048433C" w:rsidRDefault="0048433C" w:rsidP="0048433C">
            <w:pPr>
              <w:jc w:val="right"/>
              <w:rPr>
                <w:rFonts w:ascii="Lucida Bright" w:hAnsi="Lucida Bright" w:cs="Calibri"/>
                <w:color w:val="000000"/>
                <w:sz w:val="14"/>
                <w:szCs w:val="14"/>
                <w:lang w:val="es-ES"/>
              </w:rPr>
            </w:pPr>
            <w:r w:rsidRPr="0048433C">
              <w:rPr>
                <w:rFonts w:ascii="Lucida Bright" w:hAnsi="Lucida Bright" w:cs="Calibri"/>
                <w:color w:val="000000"/>
                <w:sz w:val="14"/>
                <w:szCs w:val="14"/>
                <w:lang w:val="es-ES"/>
              </w:rPr>
              <w:t xml:space="preserve">(45.061,21) </w:t>
            </w:r>
          </w:p>
        </w:tc>
        <w:tc>
          <w:tcPr>
            <w:tcW w:w="746" w:type="pct"/>
            <w:tcBorders>
              <w:top w:val="single" w:sz="4" w:space="0" w:color="auto"/>
              <w:left w:val="nil"/>
              <w:bottom w:val="nil"/>
              <w:right w:val="single" w:sz="4" w:space="0" w:color="auto"/>
            </w:tcBorders>
            <w:shd w:val="clear" w:color="auto" w:fill="auto"/>
            <w:noWrap/>
            <w:vAlign w:val="center"/>
            <w:hideMark/>
          </w:tcPr>
          <w:p w:rsidR="0048433C" w:rsidRPr="0048433C" w:rsidRDefault="0048433C" w:rsidP="0048433C">
            <w:pPr>
              <w:jc w:val="right"/>
              <w:rPr>
                <w:rFonts w:ascii="Lucida Bright" w:hAnsi="Lucida Bright" w:cs="Calibri"/>
                <w:color w:val="000000"/>
                <w:sz w:val="14"/>
                <w:szCs w:val="14"/>
                <w:lang w:val="es-ES"/>
              </w:rPr>
            </w:pPr>
            <w:r w:rsidRPr="0048433C">
              <w:rPr>
                <w:rFonts w:ascii="Lucida Bright" w:hAnsi="Lucida Bright" w:cs="Calibri"/>
                <w:color w:val="000000"/>
                <w:sz w:val="14"/>
                <w:szCs w:val="14"/>
                <w:lang w:val="es-ES"/>
              </w:rPr>
              <w:t xml:space="preserve">(672,06) </w:t>
            </w:r>
          </w:p>
        </w:tc>
        <w:tc>
          <w:tcPr>
            <w:tcW w:w="658" w:type="pct"/>
            <w:tcBorders>
              <w:top w:val="single" w:sz="4" w:space="0" w:color="auto"/>
              <w:left w:val="single" w:sz="4" w:space="0" w:color="auto"/>
              <w:bottom w:val="nil"/>
              <w:right w:val="single" w:sz="8" w:space="0" w:color="auto"/>
            </w:tcBorders>
            <w:shd w:val="clear" w:color="auto" w:fill="auto"/>
            <w:noWrap/>
            <w:vAlign w:val="center"/>
            <w:hideMark/>
          </w:tcPr>
          <w:p w:rsidR="0048433C" w:rsidRPr="0048433C" w:rsidRDefault="0048433C" w:rsidP="0048433C">
            <w:pPr>
              <w:jc w:val="right"/>
              <w:rPr>
                <w:rFonts w:ascii="Lucida Bright" w:hAnsi="Lucida Bright" w:cs="Calibri"/>
                <w:color w:val="000000"/>
                <w:sz w:val="14"/>
                <w:szCs w:val="14"/>
                <w:lang w:val="es-ES"/>
              </w:rPr>
            </w:pPr>
            <w:r w:rsidRPr="0048433C">
              <w:rPr>
                <w:rFonts w:ascii="Lucida Bright" w:hAnsi="Lucida Bright" w:cs="Calibri"/>
                <w:color w:val="000000"/>
                <w:sz w:val="14"/>
                <w:szCs w:val="14"/>
                <w:lang w:val="es-ES"/>
              </w:rPr>
              <w:t xml:space="preserve">134.511,58 </w:t>
            </w:r>
          </w:p>
        </w:tc>
      </w:tr>
      <w:tr w:rsidR="0048433C" w:rsidRPr="0048433C" w:rsidTr="0048433C">
        <w:trPr>
          <w:trHeight w:val="315"/>
        </w:trPr>
        <w:tc>
          <w:tcPr>
            <w:tcW w:w="1213" w:type="pct"/>
            <w:tcBorders>
              <w:top w:val="nil"/>
              <w:left w:val="single" w:sz="8" w:space="0" w:color="auto"/>
              <w:bottom w:val="single" w:sz="8" w:space="0" w:color="auto"/>
              <w:right w:val="nil"/>
            </w:tcBorders>
            <w:shd w:val="clear" w:color="auto" w:fill="auto"/>
            <w:noWrap/>
            <w:vAlign w:val="center"/>
            <w:hideMark/>
          </w:tcPr>
          <w:p w:rsidR="0048433C" w:rsidRPr="0048433C" w:rsidRDefault="0048433C" w:rsidP="0048433C">
            <w:pPr>
              <w:rPr>
                <w:rFonts w:ascii="Lucida Bright" w:hAnsi="Lucida Bright" w:cs="Calibri"/>
                <w:b/>
                <w:bCs/>
                <w:color w:val="000000"/>
                <w:sz w:val="14"/>
                <w:szCs w:val="14"/>
                <w:lang w:val="es-ES"/>
              </w:rPr>
            </w:pPr>
            <w:r w:rsidRPr="0048433C">
              <w:rPr>
                <w:rFonts w:ascii="Lucida Bright" w:hAnsi="Lucida Bright" w:cs="Calibri"/>
                <w:b/>
                <w:bCs/>
                <w:color w:val="000000"/>
                <w:sz w:val="14"/>
                <w:szCs w:val="14"/>
                <w:lang w:val="es-ES"/>
              </w:rPr>
              <w:t>Total</w:t>
            </w:r>
          </w:p>
        </w:tc>
        <w:tc>
          <w:tcPr>
            <w:tcW w:w="139" w:type="pct"/>
            <w:tcBorders>
              <w:top w:val="nil"/>
              <w:left w:val="nil"/>
              <w:bottom w:val="single" w:sz="8" w:space="0" w:color="auto"/>
              <w:right w:val="nil"/>
            </w:tcBorders>
            <w:shd w:val="clear" w:color="auto" w:fill="auto"/>
            <w:noWrap/>
            <w:vAlign w:val="center"/>
            <w:hideMark/>
          </w:tcPr>
          <w:p w:rsidR="0048433C" w:rsidRPr="0048433C" w:rsidRDefault="0048433C" w:rsidP="0048433C">
            <w:pPr>
              <w:rPr>
                <w:rFonts w:ascii="Lucida Bright" w:hAnsi="Lucida Bright" w:cs="Calibri"/>
                <w:color w:val="000000"/>
                <w:sz w:val="14"/>
                <w:szCs w:val="14"/>
                <w:lang w:val="es-ES"/>
              </w:rPr>
            </w:pPr>
            <w:r w:rsidRPr="0048433C">
              <w:rPr>
                <w:rFonts w:ascii="Lucida Bright" w:hAnsi="Lucida Bright" w:cs="Calibri"/>
                <w:color w:val="000000"/>
                <w:sz w:val="14"/>
                <w:szCs w:val="14"/>
                <w:lang w:val="es-ES"/>
              </w:rPr>
              <w:t> </w:t>
            </w:r>
          </w:p>
        </w:tc>
        <w:tc>
          <w:tcPr>
            <w:tcW w:w="172" w:type="pct"/>
            <w:tcBorders>
              <w:top w:val="nil"/>
              <w:left w:val="nil"/>
              <w:bottom w:val="single" w:sz="8" w:space="0" w:color="auto"/>
              <w:right w:val="single" w:sz="8" w:space="0" w:color="auto"/>
            </w:tcBorders>
            <w:shd w:val="clear" w:color="auto" w:fill="auto"/>
            <w:noWrap/>
            <w:vAlign w:val="center"/>
            <w:hideMark/>
          </w:tcPr>
          <w:p w:rsidR="0048433C" w:rsidRPr="0048433C" w:rsidRDefault="0048433C" w:rsidP="0048433C">
            <w:pPr>
              <w:rPr>
                <w:rFonts w:ascii="Lucida Bright" w:hAnsi="Lucida Bright" w:cs="Calibri"/>
                <w:color w:val="000000"/>
                <w:sz w:val="14"/>
                <w:szCs w:val="14"/>
                <w:lang w:val="es-ES"/>
              </w:rPr>
            </w:pPr>
            <w:r w:rsidRPr="0048433C">
              <w:rPr>
                <w:rFonts w:ascii="Lucida Bright" w:hAnsi="Lucida Bright" w:cs="Calibri"/>
                <w:color w:val="000000"/>
                <w:sz w:val="14"/>
                <w:szCs w:val="14"/>
                <w:lang w:val="es-ES"/>
              </w:rPr>
              <w:t> </w:t>
            </w:r>
          </w:p>
        </w:tc>
        <w:tc>
          <w:tcPr>
            <w:tcW w:w="746" w:type="pct"/>
            <w:tcBorders>
              <w:top w:val="single" w:sz="8" w:space="0" w:color="auto"/>
              <w:left w:val="nil"/>
              <w:bottom w:val="single" w:sz="8" w:space="0" w:color="auto"/>
              <w:right w:val="single" w:sz="8" w:space="0" w:color="auto"/>
            </w:tcBorders>
            <w:shd w:val="clear" w:color="auto" w:fill="auto"/>
            <w:noWrap/>
            <w:vAlign w:val="center"/>
            <w:hideMark/>
          </w:tcPr>
          <w:p w:rsidR="0048433C" w:rsidRPr="0048433C" w:rsidRDefault="0048433C" w:rsidP="0048433C">
            <w:pPr>
              <w:jc w:val="right"/>
              <w:rPr>
                <w:rFonts w:ascii="Lucida Bright" w:hAnsi="Lucida Bright" w:cs="Calibri"/>
                <w:b/>
                <w:bCs/>
                <w:color w:val="000000"/>
                <w:sz w:val="14"/>
                <w:szCs w:val="14"/>
                <w:lang w:val="es-ES"/>
              </w:rPr>
            </w:pPr>
            <w:r w:rsidRPr="0048433C">
              <w:rPr>
                <w:rFonts w:ascii="Lucida Bright" w:hAnsi="Lucida Bright" w:cs="Calibri"/>
                <w:b/>
                <w:bCs/>
                <w:color w:val="000000"/>
                <w:sz w:val="14"/>
                <w:szCs w:val="14"/>
                <w:lang w:val="es-ES"/>
              </w:rPr>
              <w:t> </w:t>
            </w:r>
          </w:p>
        </w:tc>
        <w:tc>
          <w:tcPr>
            <w:tcW w:w="669" w:type="pct"/>
            <w:tcBorders>
              <w:top w:val="single" w:sz="8" w:space="0" w:color="auto"/>
              <w:left w:val="nil"/>
              <w:bottom w:val="single" w:sz="8" w:space="0" w:color="auto"/>
              <w:right w:val="single" w:sz="8" w:space="0" w:color="auto"/>
            </w:tcBorders>
            <w:shd w:val="clear" w:color="auto" w:fill="auto"/>
            <w:noWrap/>
            <w:vAlign w:val="center"/>
            <w:hideMark/>
          </w:tcPr>
          <w:p w:rsidR="0048433C" w:rsidRPr="0048433C" w:rsidRDefault="0048433C" w:rsidP="0048433C">
            <w:pPr>
              <w:jc w:val="right"/>
              <w:rPr>
                <w:rFonts w:ascii="Lucida Bright" w:hAnsi="Lucida Bright" w:cs="Calibri"/>
                <w:b/>
                <w:bCs/>
                <w:color w:val="000000"/>
                <w:sz w:val="14"/>
                <w:szCs w:val="14"/>
                <w:lang w:val="es-ES"/>
              </w:rPr>
            </w:pPr>
            <w:r w:rsidRPr="0048433C">
              <w:rPr>
                <w:rFonts w:ascii="Lucida Bright" w:hAnsi="Lucida Bright" w:cs="Calibri"/>
                <w:b/>
                <w:bCs/>
                <w:color w:val="000000"/>
                <w:sz w:val="14"/>
                <w:szCs w:val="14"/>
                <w:lang w:val="es-ES"/>
              </w:rPr>
              <w:t xml:space="preserve">180.244,85 </w:t>
            </w:r>
          </w:p>
        </w:tc>
        <w:tc>
          <w:tcPr>
            <w:tcW w:w="658" w:type="pct"/>
            <w:tcBorders>
              <w:top w:val="single" w:sz="8" w:space="0" w:color="auto"/>
              <w:left w:val="nil"/>
              <w:bottom w:val="single" w:sz="8" w:space="0" w:color="auto"/>
              <w:right w:val="single" w:sz="8" w:space="0" w:color="auto"/>
            </w:tcBorders>
            <w:shd w:val="clear" w:color="auto" w:fill="auto"/>
            <w:noWrap/>
            <w:vAlign w:val="center"/>
            <w:hideMark/>
          </w:tcPr>
          <w:p w:rsidR="0048433C" w:rsidRPr="0048433C" w:rsidRDefault="0048433C" w:rsidP="0048433C">
            <w:pPr>
              <w:jc w:val="right"/>
              <w:rPr>
                <w:rFonts w:ascii="Lucida Bright" w:hAnsi="Lucida Bright" w:cs="Calibri"/>
                <w:b/>
                <w:bCs/>
                <w:color w:val="000000"/>
                <w:sz w:val="14"/>
                <w:szCs w:val="14"/>
                <w:lang w:val="es-ES"/>
              </w:rPr>
            </w:pPr>
            <w:r w:rsidRPr="0048433C">
              <w:rPr>
                <w:rFonts w:ascii="Lucida Bright" w:hAnsi="Lucida Bright" w:cs="Calibri"/>
                <w:b/>
                <w:bCs/>
                <w:color w:val="000000"/>
                <w:sz w:val="14"/>
                <w:szCs w:val="14"/>
                <w:lang w:val="es-ES"/>
              </w:rPr>
              <w:t xml:space="preserve">(45.061,21) </w:t>
            </w:r>
          </w:p>
        </w:tc>
        <w:tc>
          <w:tcPr>
            <w:tcW w:w="746" w:type="pct"/>
            <w:tcBorders>
              <w:top w:val="single" w:sz="8" w:space="0" w:color="auto"/>
              <w:left w:val="nil"/>
              <w:bottom w:val="single" w:sz="8" w:space="0" w:color="auto"/>
              <w:right w:val="single" w:sz="8" w:space="0" w:color="auto"/>
            </w:tcBorders>
            <w:shd w:val="clear" w:color="auto" w:fill="auto"/>
            <w:noWrap/>
            <w:vAlign w:val="center"/>
            <w:hideMark/>
          </w:tcPr>
          <w:p w:rsidR="0048433C" w:rsidRPr="0048433C" w:rsidRDefault="0048433C" w:rsidP="0048433C">
            <w:pPr>
              <w:jc w:val="right"/>
              <w:rPr>
                <w:rFonts w:ascii="Lucida Bright" w:hAnsi="Lucida Bright" w:cs="Calibri"/>
                <w:b/>
                <w:bCs/>
                <w:color w:val="000000"/>
                <w:sz w:val="14"/>
                <w:szCs w:val="14"/>
                <w:lang w:val="es-ES"/>
              </w:rPr>
            </w:pPr>
            <w:r w:rsidRPr="0048433C">
              <w:rPr>
                <w:rFonts w:ascii="Lucida Bright" w:hAnsi="Lucida Bright" w:cs="Calibri"/>
                <w:b/>
                <w:bCs/>
                <w:color w:val="000000"/>
                <w:sz w:val="14"/>
                <w:szCs w:val="14"/>
                <w:lang w:val="es-ES"/>
              </w:rPr>
              <w:t xml:space="preserve">(672,06) </w:t>
            </w:r>
          </w:p>
        </w:tc>
        <w:tc>
          <w:tcPr>
            <w:tcW w:w="658" w:type="pct"/>
            <w:tcBorders>
              <w:top w:val="single" w:sz="8" w:space="0" w:color="auto"/>
              <w:left w:val="nil"/>
              <w:bottom w:val="single" w:sz="8" w:space="0" w:color="auto"/>
              <w:right w:val="single" w:sz="8" w:space="0" w:color="auto"/>
            </w:tcBorders>
            <w:shd w:val="clear" w:color="auto" w:fill="auto"/>
            <w:noWrap/>
            <w:vAlign w:val="center"/>
            <w:hideMark/>
          </w:tcPr>
          <w:p w:rsidR="0048433C" w:rsidRPr="0048433C" w:rsidRDefault="0048433C" w:rsidP="0048433C">
            <w:pPr>
              <w:jc w:val="right"/>
              <w:rPr>
                <w:rFonts w:ascii="Lucida Bright" w:hAnsi="Lucida Bright" w:cs="Calibri"/>
                <w:b/>
                <w:bCs/>
                <w:color w:val="000000"/>
                <w:sz w:val="14"/>
                <w:szCs w:val="14"/>
                <w:lang w:val="es-ES"/>
              </w:rPr>
            </w:pPr>
            <w:r w:rsidRPr="0048433C">
              <w:rPr>
                <w:rFonts w:ascii="Lucida Bright" w:hAnsi="Lucida Bright" w:cs="Calibri"/>
                <w:b/>
                <w:bCs/>
                <w:color w:val="000000"/>
                <w:sz w:val="14"/>
                <w:szCs w:val="14"/>
                <w:lang w:val="es-ES"/>
              </w:rPr>
              <w:t xml:space="preserve">134.511,58 </w:t>
            </w:r>
          </w:p>
        </w:tc>
      </w:tr>
    </w:tbl>
    <w:p w:rsidR="0048433C" w:rsidRDefault="0048433C" w:rsidP="00F174B7">
      <w:pPr>
        <w:pStyle w:val="Sangradetextonormal"/>
        <w:rPr>
          <w:rFonts w:ascii="NewBaskerville" w:hAnsi="NewBaskerville"/>
          <w:sz w:val="20"/>
        </w:rPr>
      </w:pPr>
    </w:p>
    <w:p w:rsidR="00F174B7" w:rsidRDefault="00F174B7" w:rsidP="00F174B7">
      <w:pPr>
        <w:tabs>
          <w:tab w:val="right" w:pos="8364"/>
        </w:tabs>
        <w:ind w:left="360"/>
        <w:jc w:val="both"/>
        <w:rPr>
          <w:rFonts w:ascii="NewBaskerville" w:hAnsi="NewBaskerville"/>
          <w:bCs/>
        </w:rPr>
      </w:pPr>
    </w:p>
    <w:p w:rsidR="0048433C" w:rsidRDefault="0048433C" w:rsidP="0048433C">
      <w:pPr>
        <w:pStyle w:val="Sangradetextonormal"/>
        <w:numPr>
          <w:ilvl w:val="0"/>
          <w:numId w:val="2"/>
        </w:numPr>
        <w:ind w:hanging="219"/>
        <w:rPr>
          <w:rFonts w:ascii="NewBaskerville" w:hAnsi="NewBaskerville"/>
          <w:sz w:val="20"/>
        </w:rPr>
      </w:pPr>
      <w:r>
        <w:rPr>
          <w:rFonts w:ascii="NewBaskerville" w:hAnsi="NewBaskerville"/>
          <w:sz w:val="20"/>
        </w:rPr>
        <w:t xml:space="preserve">Fondos UE </w:t>
      </w:r>
      <w:proofErr w:type="spellStart"/>
      <w:r>
        <w:rPr>
          <w:rFonts w:ascii="NewBaskerville" w:hAnsi="NewBaskerville"/>
          <w:sz w:val="20"/>
        </w:rPr>
        <w:t>Conecting</w:t>
      </w:r>
      <w:proofErr w:type="spellEnd"/>
      <w:r>
        <w:rPr>
          <w:rFonts w:ascii="NewBaskerville" w:hAnsi="NewBaskerville"/>
          <w:sz w:val="20"/>
        </w:rPr>
        <w:t xml:space="preserve"> </w:t>
      </w:r>
      <w:proofErr w:type="spellStart"/>
      <w:r>
        <w:rPr>
          <w:rFonts w:ascii="NewBaskerville" w:hAnsi="NewBaskerville"/>
          <w:sz w:val="20"/>
        </w:rPr>
        <w:t>Europe</w:t>
      </w:r>
      <w:proofErr w:type="spellEnd"/>
      <w:r>
        <w:rPr>
          <w:rFonts w:ascii="NewBaskerville" w:hAnsi="NewBaskerville"/>
          <w:sz w:val="20"/>
        </w:rPr>
        <w:t xml:space="preserve"> </w:t>
      </w:r>
      <w:proofErr w:type="spellStart"/>
      <w:r>
        <w:rPr>
          <w:rFonts w:ascii="NewBaskerville" w:hAnsi="NewBaskerville"/>
          <w:sz w:val="20"/>
        </w:rPr>
        <w:t>Facility</w:t>
      </w:r>
      <w:proofErr w:type="spellEnd"/>
      <w:r>
        <w:rPr>
          <w:rFonts w:ascii="NewBaskerville" w:hAnsi="NewBaskerville"/>
          <w:sz w:val="20"/>
        </w:rPr>
        <w:t xml:space="preserve"> – (CEF, </w:t>
      </w:r>
      <w:proofErr w:type="spellStart"/>
      <w:r>
        <w:rPr>
          <w:rFonts w:ascii="NewBaskerville" w:hAnsi="NewBaskerville"/>
          <w:sz w:val="20"/>
        </w:rPr>
        <w:t>Ret</w:t>
      </w:r>
      <w:proofErr w:type="spellEnd"/>
      <w:r>
        <w:rPr>
          <w:rFonts w:ascii="NewBaskerville" w:hAnsi="NewBaskerville"/>
          <w:sz w:val="20"/>
        </w:rPr>
        <w:t>-T)</w:t>
      </w:r>
    </w:p>
    <w:p w:rsidR="00486982" w:rsidRDefault="00486982" w:rsidP="00486982">
      <w:pPr>
        <w:tabs>
          <w:tab w:val="right" w:pos="8364"/>
        </w:tabs>
        <w:ind w:left="720"/>
        <w:jc w:val="both"/>
        <w:rPr>
          <w:rFonts w:ascii="NewBaskerville" w:hAnsi="NewBaskerville"/>
          <w:bCs/>
        </w:rPr>
      </w:pPr>
    </w:p>
    <w:p w:rsidR="00811FEC" w:rsidRDefault="0048433C" w:rsidP="0048433C">
      <w:pPr>
        <w:tabs>
          <w:tab w:val="right" w:pos="8364"/>
        </w:tabs>
        <w:ind w:firstLine="567"/>
        <w:jc w:val="both"/>
        <w:rPr>
          <w:rFonts w:ascii="NewBaskerville" w:hAnsi="NewBaskerville"/>
          <w:bCs/>
        </w:rPr>
      </w:pPr>
      <w:r>
        <w:rPr>
          <w:rFonts w:ascii="NewBaskerville" w:hAnsi="NewBaskerville"/>
          <w:bCs/>
        </w:rPr>
        <w:t xml:space="preserve">La Entidad ha participado en el proyecto “OPS Master Plan </w:t>
      </w:r>
      <w:proofErr w:type="spellStart"/>
      <w:r>
        <w:rPr>
          <w:rFonts w:ascii="NewBaskerville" w:hAnsi="NewBaskerville"/>
          <w:bCs/>
        </w:rPr>
        <w:t>for</w:t>
      </w:r>
      <w:proofErr w:type="spellEnd"/>
      <w:r>
        <w:rPr>
          <w:rFonts w:ascii="NewBaskerville" w:hAnsi="NewBaskerville"/>
          <w:bCs/>
        </w:rPr>
        <w:t xml:space="preserve"> </w:t>
      </w:r>
      <w:proofErr w:type="spellStart"/>
      <w:r>
        <w:rPr>
          <w:rFonts w:ascii="NewBaskerville" w:hAnsi="NewBaskerville"/>
          <w:bCs/>
        </w:rPr>
        <w:t>Spanish</w:t>
      </w:r>
      <w:proofErr w:type="spellEnd"/>
      <w:r>
        <w:rPr>
          <w:rFonts w:ascii="NewBaskerville" w:hAnsi="NewBaskerville"/>
          <w:bCs/>
        </w:rPr>
        <w:t xml:space="preserve"> </w:t>
      </w:r>
      <w:proofErr w:type="spellStart"/>
      <w:r>
        <w:rPr>
          <w:rFonts w:ascii="NewBaskerville" w:hAnsi="NewBaskerville"/>
          <w:bCs/>
        </w:rPr>
        <w:t>Ports</w:t>
      </w:r>
      <w:proofErr w:type="spellEnd"/>
      <w:r>
        <w:rPr>
          <w:rFonts w:ascii="NewBaskerville" w:hAnsi="NewBaskerville"/>
          <w:bCs/>
        </w:rPr>
        <w:t>”</w:t>
      </w:r>
      <w:r w:rsidR="00811FEC">
        <w:rPr>
          <w:rFonts w:ascii="NewBaskerville" w:hAnsi="NewBaskerville"/>
          <w:bCs/>
        </w:rPr>
        <w:t xml:space="preserve"> </w:t>
      </w:r>
      <w:proofErr w:type="spellStart"/>
      <w:r w:rsidR="00811FEC">
        <w:rPr>
          <w:rFonts w:ascii="NewBaskerville" w:hAnsi="NewBaskerville"/>
          <w:bCs/>
        </w:rPr>
        <w:t>co</w:t>
      </w:r>
      <w:proofErr w:type="spellEnd"/>
      <w:r w:rsidR="00811FEC">
        <w:rPr>
          <w:rFonts w:ascii="NewBaskerville" w:hAnsi="NewBaskerville"/>
          <w:bCs/>
        </w:rPr>
        <w:t xml:space="preserve">-financiado por la UE por el programa </w:t>
      </w:r>
      <w:proofErr w:type="spellStart"/>
      <w:r w:rsidR="00811FEC">
        <w:rPr>
          <w:rFonts w:ascii="NewBaskerville" w:hAnsi="NewBaskerville"/>
          <w:bCs/>
        </w:rPr>
        <w:t>Conecting</w:t>
      </w:r>
      <w:proofErr w:type="spellEnd"/>
      <w:r w:rsidR="00811FEC">
        <w:rPr>
          <w:rFonts w:ascii="NewBaskerville" w:hAnsi="NewBaskerville"/>
          <w:bCs/>
        </w:rPr>
        <w:t xml:space="preserve"> </w:t>
      </w:r>
      <w:proofErr w:type="spellStart"/>
      <w:r w:rsidR="00811FEC">
        <w:rPr>
          <w:rFonts w:ascii="NewBaskerville" w:hAnsi="NewBaskerville"/>
          <w:bCs/>
        </w:rPr>
        <w:t>Europe</w:t>
      </w:r>
      <w:proofErr w:type="spellEnd"/>
      <w:r w:rsidR="00811FEC">
        <w:rPr>
          <w:rFonts w:ascii="NewBaskerville" w:hAnsi="NewBaskerville"/>
          <w:bCs/>
        </w:rPr>
        <w:t xml:space="preserve"> </w:t>
      </w:r>
      <w:proofErr w:type="spellStart"/>
      <w:r w:rsidR="00811FEC">
        <w:rPr>
          <w:rFonts w:ascii="NewBaskerville" w:hAnsi="NewBaskerville"/>
          <w:bCs/>
        </w:rPr>
        <w:t>Facility</w:t>
      </w:r>
      <w:proofErr w:type="spellEnd"/>
      <w:r w:rsidR="00811FEC">
        <w:rPr>
          <w:rFonts w:ascii="NewBaskerville" w:hAnsi="NewBaskerville"/>
          <w:bCs/>
        </w:rPr>
        <w:t xml:space="preserve"> (CEF)</w:t>
      </w:r>
      <w:r>
        <w:rPr>
          <w:rFonts w:ascii="NewBaskerville" w:hAnsi="NewBaskerville"/>
          <w:bCs/>
        </w:rPr>
        <w:t xml:space="preserve">, coordinado y gestionado por el Organismo Público Puertos del Estado, con el proyecto de </w:t>
      </w:r>
      <w:r w:rsidR="00811FEC">
        <w:rPr>
          <w:rFonts w:ascii="NewBaskerville" w:hAnsi="NewBaskerville"/>
          <w:bCs/>
        </w:rPr>
        <w:t xml:space="preserve">la Instalación de suministro eléctrico a </w:t>
      </w:r>
      <w:proofErr w:type="spellStart"/>
      <w:r w:rsidR="00811FEC">
        <w:rPr>
          <w:rFonts w:ascii="NewBaskerville" w:hAnsi="NewBaskerville"/>
          <w:bCs/>
        </w:rPr>
        <w:t>ferries</w:t>
      </w:r>
      <w:proofErr w:type="spellEnd"/>
      <w:r w:rsidR="00811FEC">
        <w:rPr>
          <w:rFonts w:ascii="NewBaskerville" w:hAnsi="NewBaskerville"/>
          <w:bCs/>
        </w:rPr>
        <w:t xml:space="preserve"> en el muelle de </w:t>
      </w:r>
      <w:proofErr w:type="spellStart"/>
      <w:r w:rsidR="00811FEC">
        <w:rPr>
          <w:rFonts w:ascii="NewBaskerville" w:hAnsi="NewBaskerville"/>
          <w:bCs/>
        </w:rPr>
        <w:t>Paraires</w:t>
      </w:r>
      <w:proofErr w:type="spellEnd"/>
      <w:r w:rsidR="00811FEC">
        <w:rPr>
          <w:rFonts w:ascii="NewBaskerville" w:hAnsi="NewBaskerville"/>
          <w:bCs/>
        </w:rPr>
        <w:t xml:space="preserve"> del puerto de Palma de Mallorca. En ejercicios anteriores se </w:t>
      </w:r>
      <w:r w:rsidR="00350D1C">
        <w:rPr>
          <w:rFonts w:ascii="NewBaskerville" w:hAnsi="NewBaskerville"/>
          <w:bCs/>
        </w:rPr>
        <w:t>devengaron importes de la ayuda</w:t>
      </w:r>
      <w:r w:rsidR="00811FEC">
        <w:rPr>
          <w:rFonts w:ascii="NewBaskerville" w:hAnsi="NewBaskerville"/>
          <w:bCs/>
        </w:rPr>
        <w:t xml:space="preserve"> y en el actual se ha liquidado el proyecto, siendo las cantidades devengadas y traspasadas en el 2023 las del cuadro.</w:t>
      </w:r>
    </w:p>
    <w:p w:rsidR="00811FEC" w:rsidRDefault="00811FEC" w:rsidP="0048433C">
      <w:pPr>
        <w:tabs>
          <w:tab w:val="right" w:pos="8364"/>
        </w:tabs>
        <w:ind w:firstLine="567"/>
        <w:jc w:val="both"/>
        <w:rPr>
          <w:rFonts w:ascii="NewBaskerville" w:hAnsi="NewBaskerville"/>
          <w:bCs/>
        </w:rPr>
      </w:pPr>
    </w:p>
    <w:p w:rsidR="0048433C" w:rsidRDefault="00811FEC" w:rsidP="0048433C">
      <w:pPr>
        <w:tabs>
          <w:tab w:val="right" w:pos="8364"/>
        </w:tabs>
        <w:ind w:firstLine="567"/>
        <w:jc w:val="both"/>
        <w:rPr>
          <w:rFonts w:ascii="NewBaskerville" w:hAnsi="NewBaskerville"/>
          <w:bCs/>
        </w:rPr>
      </w:pPr>
      <w:r>
        <w:rPr>
          <w:rFonts w:ascii="NewBaskerville" w:hAnsi="NewBaskerville"/>
          <w:bCs/>
        </w:rPr>
        <w:t xml:space="preserve"> </w:t>
      </w:r>
    </w:p>
    <w:tbl>
      <w:tblPr>
        <w:tblW w:w="5000" w:type="pct"/>
        <w:tblCellMar>
          <w:left w:w="70" w:type="dxa"/>
          <w:right w:w="70" w:type="dxa"/>
        </w:tblCellMar>
        <w:tblLook w:val="04A0" w:firstRow="1" w:lastRow="0" w:firstColumn="1" w:lastColumn="0" w:noHBand="0" w:noVBand="1"/>
      </w:tblPr>
      <w:tblGrid>
        <w:gridCol w:w="2096"/>
        <w:gridCol w:w="240"/>
        <w:gridCol w:w="297"/>
        <w:gridCol w:w="1290"/>
        <w:gridCol w:w="1157"/>
        <w:gridCol w:w="1138"/>
        <w:gridCol w:w="1290"/>
        <w:gridCol w:w="1136"/>
      </w:tblGrid>
      <w:tr w:rsidR="00811FEC" w:rsidRPr="00811FEC" w:rsidTr="00380828">
        <w:trPr>
          <w:trHeight w:val="555"/>
        </w:trPr>
        <w:tc>
          <w:tcPr>
            <w:tcW w:w="1524" w:type="pct"/>
            <w:gridSpan w:val="3"/>
            <w:tcBorders>
              <w:top w:val="single" w:sz="8" w:space="0" w:color="auto"/>
              <w:left w:val="single" w:sz="8" w:space="0" w:color="auto"/>
              <w:bottom w:val="single" w:sz="8" w:space="0" w:color="auto"/>
              <w:right w:val="single" w:sz="8" w:space="0" w:color="000000"/>
            </w:tcBorders>
            <w:shd w:val="clear" w:color="000000" w:fill="CCFFCC"/>
            <w:noWrap/>
            <w:vAlign w:val="center"/>
            <w:hideMark/>
          </w:tcPr>
          <w:p w:rsidR="00811FEC" w:rsidRPr="00811FEC" w:rsidRDefault="00811FEC" w:rsidP="00811FEC">
            <w:pPr>
              <w:jc w:val="center"/>
              <w:rPr>
                <w:rFonts w:ascii="Lucida Bright" w:hAnsi="Lucida Bright" w:cs="Calibri"/>
                <w:b/>
                <w:bCs/>
                <w:color w:val="000000"/>
                <w:sz w:val="18"/>
                <w:szCs w:val="18"/>
                <w:lang w:val="es-ES"/>
              </w:rPr>
            </w:pPr>
            <w:r w:rsidRPr="00811FEC">
              <w:rPr>
                <w:rFonts w:ascii="Lucida Bright" w:hAnsi="Lucida Bright" w:cs="Calibri"/>
                <w:b/>
                <w:bCs/>
                <w:color w:val="000000"/>
                <w:sz w:val="18"/>
                <w:szCs w:val="18"/>
                <w:lang w:val="es-ES"/>
              </w:rPr>
              <w:t>Fondos C.E.F.</w:t>
            </w:r>
          </w:p>
        </w:tc>
        <w:tc>
          <w:tcPr>
            <w:tcW w:w="746" w:type="pct"/>
            <w:tcBorders>
              <w:top w:val="single" w:sz="8" w:space="0" w:color="auto"/>
              <w:left w:val="nil"/>
              <w:bottom w:val="single" w:sz="8" w:space="0" w:color="auto"/>
              <w:right w:val="single" w:sz="8" w:space="0" w:color="auto"/>
            </w:tcBorders>
            <w:shd w:val="clear" w:color="000000" w:fill="CCFFCC"/>
            <w:vAlign w:val="center"/>
            <w:hideMark/>
          </w:tcPr>
          <w:p w:rsidR="00811FEC" w:rsidRPr="00811FEC" w:rsidRDefault="00811FEC" w:rsidP="00811FEC">
            <w:pPr>
              <w:jc w:val="center"/>
              <w:rPr>
                <w:rFonts w:ascii="Lucida Bright" w:hAnsi="Lucida Bright" w:cs="Calibri"/>
                <w:b/>
                <w:bCs/>
                <w:color w:val="000000"/>
                <w:sz w:val="14"/>
                <w:szCs w:val="14"/>
                <w:lang w:val="es-ES"/>
              </w:rPr>
            </w:pPr>
            <w:r w:rsidRPr="00811FEC">
              <w:rPr>
                <w:rFonts w:ascii="Lucida Bright" w:hAnsi="Lucida Bright" w:cs="Calibri"/>
                <w:b/>
                <w:bCs/>
                <w:color w:val="000000"/>
                <w:sz w:val="14"/>
                <w:szCs w:val="14"/>
                <w:lang w:val="es-ES"/>
              </w:rPr>
              <w:t>Saldo a 31/12/2022</w:t>
            </w:r>
          </w:p>
        </w:tc>
        <w:tc>
          <w:tcPr>
            <w:tcW w:w="669" w:type="pct"/>
            <w:tcBorders>
              <w:top w:val="single" w:sz="8" w:space="0" w:color="auto"/>
              <w:left w:val="nil"/>
              <w:bottom w:val="single" w:sz="8" w:space="0" w:color="auto"/>
              <w:right w:val="single" w:sz="8" w:space="0" w:color="auto"/>
            </w:tcBorders>
            <w:shd w:val="clear" w:color="000000" w:fill="CCFFCC"/>
            <w:vAlign w:val="center"/>
            <w:hideMark/>
          </w:tcPr>
          <w:p w:rsidR="00811FEC" w:rsidRPr="00811FEC" w:rsidRDefault="00811FEC" w:rsidP="00811FEC">
            <w:pPr>
              <w:jc w:val="center"/>
              <w:rPr>
                <w:rFonts w:ascii="Lucida Bright" w:hAnsi="Lucida Bright" w:cs="Calibri"/>
                <w:b/>
                <w:bCs/>
                <w:color w:val="000000"/>
                <w:sz w:val="14"/>
                <w:szCs w:val="14"/>
                <w:lang w:val="es-ES"/>
              </w:rPr>
            </w:pPr>
            <w:r w:rsidRPr="00811FEC">
              <w:rPr>
                <w:rFonts w:ascii="Lucida Bright" w:hAnsi="Lucida Bright" w:cs="Calibri"/>
                <w:b/>
                <w:bCs/>
                <w:color w:val="000000"/>
                <w:sz w:val="14"/>
                <w:szCs w:val="14"/>
                <w:lang w:val="es-ES"/>
              </w:rPr>
              <w:t>Importe devengado en el ejer</w:t>
            </w:r>
            <w:r w:rsidR="00355986">
              <w:rPr>
                <w:rFonts w:ascii="Lucida Bright" w:hAnsi="Lucida Bright" w:cs="Calibri"/>
                <w:b/>
                <w:bCs/>
                <w:color w:val="000000"/>
                <w:sz w:val="14"/>
                <w:szCs w:val="14"/>
                <w:lang w:val="es-ES"/>
              </w:rPr>
              <w:t>ci</w:t>
            </w:r>
            <w:r w:rsidRPr="00811FEC">
              <w:rPr>
                <w:rFonts w:ascii="Lucida Bright" w:hAnsi="Lucida Bright" w:cs="Calibri"/>
                <w:b/>
                <w:bCs/>
                <w:color w:val="000000"/>
                <w:sz w:val="14"/>
                <w:szCs w:val="14"/>
                <w:lang w:val="es-ES"/>
              </w:rPr>
              <w:t>cio</w:t>
            </w:r>
          </w:p>
        </w:tc>
        <w:tc>
          <w:tcPr>
            <w:tcW w:w="658" w:type="pct"/>
            <w:tcBorders>
              <w:top w:val="single" w:sz="8" w:space="0" w:color="auto"/>
              <w:left w:val="nil"/>
              <w:bottom w:val="single" w:sz="8" w:space="0" w:color="auto"/>
              <w:right w:val="single" w:sz="8" w:space="0" w:color="auto"/>
            </w:tcBorders>
            <w:shd w:val="clear" w:color="000000" w:fill="CCFFCC"/>
            <w:vAlign w:val="center"/>
            <w:hideMark/>
          </w:tcPr>
          <w:p w:rsidR="00811FEC" w:rsidRPr="00811FEC" w:rsidRDefault="00811FEC" w:rsidP="00811FEC">
            <w:pPr>
              <w:jc w:val="center"/>
              <w:rPr>
                <w:rFonts w:ascii="Lucida Bright" w:hAnsi="Lucida Bright" w:cs="Calibri"/>
                <w:b/>
                <w:bCs/>
                <w:color w:val="000000"/>
                <w:sz w:val="14"/>
                <w:szCs w:val="14"/>
                <w:lang w:val="es-ES"/>
              </w:rPr>
            </w:pPr>
            <w:r w:rsidRPr="00811FEC">
              <w:rPr>
                <w:rFonts w:ascii="Lucida Bright" w:hAnsi="Lucida Bright" w:cs="Calibri"/>
                <w:b/>
                <w:bCs/>
                <w:color w:val="000000"/>
                <w:sz w:val="14"/>
                <w:szCs w:val="14"/>
                <w:lang w:val="es-ES"/>
              </w:rPr>
              <w:t>Efecto impositivo devengo</w:t>
            </w:r>
          </w:p>
        </w:tc>
        <w:tc>
          <w:tcPr>
            <w:tcW w:w="746" w:type="pct"/>
            <w:tcBorders>
              <w:top w:val="single" w:sz="8" w:space="0" w:color="auto"/>
              <w:left w:val="nil"/>
              <w:bottom w:val="single" w:sz="8" w:space="0" w:color="auto"/>
              <w:right w:val="single" w:sz="8" w:space="0" w:color="auto"/>
            </w:tcBorders>
            <w:shd w:val="clear" w:color="000000" w:fill="CCFFCC"/>
            <w:vAlign w:val="center"/>
            <w:hideMark/>
          </w:tcPr>
          <w:p w:rsidR="00811FEC" w:rsidRPr="00811FEC" w:rsidRDefault="00811FEC" w:rsidP="00811FEC">
            <w:pPr>
              <w:jc w:val="center"/>
              <w:rPr>
                <w:rFonts w:ascii="Lucida Bright" w:hAnsi="Lucida Bright" w:cs="Calibri"/>
                <w:b/>
                <w:bCs/>
                <w:color w:val="000000"/>
                <w:sz w:val="14"/>
                <w:szCs w:val="14"/>
                <w:lang w:val="es-ES"/>
              </w:rPr>
            </w:pPr>
            <w:r w:rsidRPr="00811FEC">
              <w:rPr>
                <w:rFonts w:ascii="Lucida Bright" w:hAnsi="Lucida Bright" w:cs="Calibri"/>
                <w:b/>
                <w:bCs/>
                <w:color w:val="000000"/>
                <w:sz w:val="14"/>
                <w:szCs w:val="14"/>
                <w:lang w:val="es-ES"/>
              </w:rPr>
              <w:t>Importe traspas</w:t>
            </w:r>
            <w:r w:rsidR="00355986">
              <w:rPr>
                <w:rFonts w:ascii="Lucida Bright" w:hAnsi="Lucida Bright" w:cs="Calibri"/>
                <w:b/>
                <w:bCs/>
                <w:color w:val="000000"/>
                <w:sz w:val="14"/>
                <w:szCs w:val="14"/>
                <w:lang w:val="es-ES"/>
              </w:rPr>
              <w:t>a</w:t>
            </w:r>
            <w:r w:rsidRPr="00811FEC">
              <w:rPr>
                <w:rFonts w:ascii="Lucida Bright" w:hAnsi="Lucida Bright" w:cs="Calibri"/>
                <w:b/>
                <w:bCs/>
                <w:color w:val="000000"/>
                <w:sz w:val="14"/>
                <w:szCs w:val="14"/>
                <w:lang w:val="es-ES"/>
              </w:rPr>
              <w:t>do al resultado</w:t>
            </w:r>
          </w:p>
        </w:tc>
        <w:tc>
          <w:tcPr>
            <w:tcW w:w="658" w:type="pct"/>
            <w:tcBorders>
              <w:top w:val="single" w:sz="8" w:space="0" w:color="auto"/>
              <w:left w:val="nil"/>
              <w:bottom w:val="single" w:sz="8" w:space="0" w:color="auto"/>
              <w:right w:val="single" w:sz="8" w:space="0" w:color="auto"/>
            </w:tcBorders>
            <w:shd w:val="clear" w:color="000000" w:fill="CCFFCC"/>
            <w:vAlign w:val="center"/>
            <w:hideMark/>
          </w:tcPr>
          <w:p w:rsidR="00811FEC" w:rsidRPr="00811FEC" w:rsidRDefault="00811FEC" w:rsidP="00811FEC">
            <w:pPr>
              <w:jc w:val="center"/>
              <w:rPr>
                <w:rFonts w:ascii="Lucida Bright" w:hAnsi="Lucida Bright" w:cs="Calibri"/>
                <w:b/>
                <w:bCs/>
                <w:color w:val="000000"/>
                <w:sz w:val="14"/>
                <w:szCs w:val="14"/>
                <w:lang w:val="es-ES"/>
              </w:rPr>
            </w:pPr>
            <w:r w:rsidRPr="00811FEC">
              <w:rPr>
                <w:rFonts w:ascii="Lucida Bright" w:hAnsi="Lucida Bright" w:cs="Calibri"/>
                <w:b/>
                <w:bCs/>
                <w:color w:val="000000"/>
                <w:sz w:val="14"/>
                <w:szCs w:val="14"/>
                <w:lang w:val="es-ES"/>
              </w:rPr>
              <w:t>Saldo a 31/12/2023</w:t>
            </w:r>
          </w:p>
        </w:tc>
      </w:tr>
      <w:tr w:rsidR="00811FEC" w:rsidRPr="00811FEC" w:rsidTr="00380828">
        <w:trPr>
          <w:trHeight w:val="600"/>
        </w:trPr>
        <w:tc>
          <w:tcPr>
            <w:tcW w:w="152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11FEC" w:rsidRPr="00811FEC" w:rsidRDefault="00811FEC" w:rsidP="00811FEC">
            <w:pPr>
              <w:rPr>
                <w:rFonts w:ascii="Lucida Bright" w:hAnsi="Lucida Bright" w:cs="Calibri"/>
                <w:color w:val="000000"/>
                <w:sz w:val="14"/>
                <w:szCs w:val="14"/>
                <w:lang w:val="es-ES"/>
              </w:rPr>
            </w:pPr>
            <w:r w:rsidRPr="00811FEC">
              <w:rPr>
                <w:rFonts w:ascii="Lucida Bright" w:hAnsi="Lucida Bright" w:cs="Calibri"/>
                <w:color w:val="000000"/>
                <w:sz w:val="14"/>
                <w:szCs w:val="14"/>
                <w:lang w:val="es-ES"/>
              </w:rPr>
              <w:t xml:space="preserve">Instalación de suministro eléctrico a </w:t>
            </w:r>
            <w:proofErr w:type="spellStart"/>
            <w:r w:rsidRPr="00811FEC">
              <w:rPr>
                <w:rFonts w:ascii="Lucida Bright" w:hAnsi="Lucida Bright" w:cs="Calibri"/>
                <w:color w:val="000000"/>
                <w:sz w:val="14"/>
                <w:szCs w:val="14"/>
                <w:lang w:val="es-ES"/>
              </w:rPr>
              <w:t>ferries</w:t>
            </w:r>
            <w:proofErr w:type="spellEnd"/>
            <w:r w:rsidRPr="00811FEC">
              <w:rPr>
                <w:rFonts w:ascii="Lucida Bright" w:hAnsi="Lucida Bright" w:cs="Calibri"/>
                <w:color w:val="000000"/>
                <w:sz w:val="14"/>
                <w:szCs w:val="14"/>
                <w:lang w:val="es-ES"/>
              </w:rPr>
              <w:t xml:space="preserve"> en el muelle de </w:t>
            </w:r>
            <w:proofErr w:type="spellStart"/>
            <w:r w:rsidRPr="00811FEC">
              <w:rPr>
                <w:rFonts w:ascii="Lucida Bright" w:hAnsi="Lucida Bright" w:cs="Calibri"/>
                <w:color w:val="000000"/>
                <w:sz w:val="14"/>
                <w:szCs w:val="14"/>
                <w:lang w:val="es-ES"/>
              </w:rPr>
              <w:t>Paraires</w:t>
            </w:r>
            <w:proofErr w:type="spellEnd"/>
            <w:r w:rsidRPr="00811FEC">
              <w:rPr>
                <w:rFonts w:ascii="Lucida Bright" w:hAnsi="Lucida Bright" w:cs="Calibri"/>
                <w:color w:val="000000"/>
                <w:sz w:val="14"/>
                <w:szCs w:val="14"/>
                <w:lang w:val="es-ES"/>
              </w:rPr>
              <w:t xml:space="preserve"> del puerto de Palma de Mallorca</w:t>
            </w:r>
          </w:p>
        </w:tc>
        <w:tc>
          <w:tcPr>
            <w:tcW w:w="746" w:type="pct"/>
            <w:tcBorders>
              <w:top w:val="single" w:sz="4" w:space="0" w:color="auto"/>
              <w:left w:val="nil"/>
              <w:bottom w:val="nil"/>
              <w:right w:val="single" w:sz="4" w:space="0" w:color="auto"/>
            </w:tcBorders>
            <w:shd w:val="clear" w:color="auto" w:fill="auto"/>
            <w:noWrap/>
            <w:vAlign w:val="center"/>
            <w:hideMark/>
          </w:tcPr>
          <w:p w:rsidR="00811FEC" w:rsidRPr="00811FEC" w:rsidRDefault="00811FEC" w:rsidP="00811FEC">
            <w:pPr>
              <w:jc w:val="right"/>
              <w:rPr>
                <w:rFonts w:ascii="Lucida Bright" w:hAnsi="Lucida Bright" w:cs="Calibri"/>
                <w:color w:val="000000"/>
                <w:sz w:val="14"/>
                <w:szCs w:val="14"/>
                <w:lang w:val="es-ES"/>
              </w:rPr>
            </w:pPr>
            <w:r w:rsidRPr="00811FEC">
              <w:rPr>
                <w:rFonts w:ascii="Lucida Bright" w:hAnsi="Lucida Bright" w:cs="Calibri"/>
                <w:color w:val="000000"/>
                <w:sz w:val="14"/>
                <w:szCs w:val="14"/>
                <w:lang w:val="es-ES"/>
              </w:rPr>
              <w:t xml:space="preserve">49.902,84 </w:t>
            </w:r>
          </w:p>
        </w:tc>
        <w:tc>
          <w:tcPr>
            <w:tcW w:w="669" w:type="pct"/>
            <w:tcBorders>
              <w:top w:val="single" w:sz="4" w:space="0" w:color="auto"/>
              <w:left w:val="nil"/>
              <w:bottom w:val="nil"/>
              <w:right w:val="single" w:sz="4" w:space="0" w:color="auto"/>
            </w:tcBorders>
            <w:shd w:val="clear" w:color="auto" w:fill="auto"/>
            <w:noWrap/>
            <w:vAlign w:val="center"/>
            <w:hideMark/>
          </w:tcPr>
          <w:p w:rsidR="00811FEC" w:rsidRPr="00811FEC" w:rsidRDefault="00811FEC" w:rsidP="00811FEC">
            <w:pPr>
              <w:jc w:val="right"/>
              <w:rPr>
                <w:rFonts w:ascii="Lucida Bright" w:hAnsi="Lucida Bright" w:cs="Calibri"/>
                <w:color w:val="000000"/>
                <w:sz w:val="14"/>
                <w:szCs w:val="14"/>
                <w:lang w:val="es-ES"/>
              </w:rPr>
            </w:pPr>
            <w:r w:rsidRPr="00811FEC">
              <w:rPr>
                <w:rFonts w:ascii="Lucida Bright" w:hAnsi="Lucida Bright" w:cs="Calibri"/>
                <w:color w:val="000000"/>
                <w:sz w:val="14"/>
                <w:szCs w:val="14"/>
                <w:lang w:val="es-ES"/>
              </w:rPr>
              <w:t xml:space="preserve">89.933,86 </w:t>
            </w:r>
          </w:p>
        </w:tc>
        <w:tc>
          <w:tcPr>
            <w:tcW w:w="658" w:type="pct"/>
            <w:tcBorders>
              <w:top w:val="single" w:sz="4" w:space="0" w:color="auto"/>
              <w:left w:val="nil"/>
              <w:bottom w:val="nil"/>
              <w:right w:val="single" w:sz="4" w:space="0" w:color="auto"/>
            </w:tcBorders>
            <w:shd w:val="clear" w:color="auto" w:fill="auto"/>
            <w:noWrap/>
            <w:vAlign w:val="center"/>
            <w:hideMark/>
          </w:tcPr>
          <w:p w:rsidR="00811FEC" w:rsidRPr="00811FEC" w:rsidRDefault="00811FEC" w:rsidP="00811FEC">
            <w:pPr>
              <w:jc w:val="right"/>
              <w:rPr>
                <w:rFonts w:ascii="Lucida Bright" w:hAnsi="Lucida Bright" w:cs="Calibri"/>
                <w:color w:val="000000"/>
                <w:sz w:val="14"/>
                <w:szCs w:val="14"/>
                <w:lang w:val="es-ES"/>
              </w:rPr>
            </w:pPr>
            <w:r w:rsidRPr="00811FEC">
              <w:rPr>
                <w:rFonts w:ascii="Lucida Bright" w:hAnsi="Lucida Bright" w:cs="Calibri"/>
                <w:color w:val="000000"/>
                <w:sz w:val="14"/>
                <w:szCs w:val="14"/>
                <w:lang w:val="es-ES"/>
              </w:rPr>
              <w:t xml:space="preserve">(22.483,46) </w:t>
            </w:r>
          </w:p>
        </w:tc>
        <w:tc>
          <w:tcPr>
            <w:tcW w:w="746" w:type="pct"/>
            <w:tcBorders>
              <w:top w:val="single" w:sz="4" w:space="0" w:color="auto"/>
              <w:left w:val="nil"/>
              <w:bottom w:val="nil"/>
              <w:right w:val="single" w:sz="4" w:space="0" w:color="auto"/>
            </w:tcBorders>
            <w:shd w:val="clear" w:color="auto" w:fill="auto"/>
            <w:noWrap/>
            <w:vAlign w:val="center"/>
            <w:hideMark/>
          </w:tcPr>
          <w:p w:rsidR="00811FEC" w:rsidRPr="00811FEC" w:rsidRDefault="00811FEC" w:rsidP="00811FEC">
            <w:pPr>
              <w:jc w:val="right"/>
              <w:rPr>
                <w:rFonts w:ascii="Lucida Bright" w:hAnsi="Lucida Bright" w:cs="Calibri"/>
                <w:color w:val="000000"/>
                <w:sz w:val="14"/>
                <w:szCs w:val="14"/>
                <w:lang w:val="es-ES"/>
              </w:rPr>
            </w:pPr>
            <w:r w:rsidRPr="00811FEC">
              <w:rPr>
                <w:rFonts w:ascii="Lucida Bright" w:hAnsi="Lucida Bright" w:cs="Calibri"/>
                <w:color w:val="000000"/>
                <w:sz w:val="14"/>
                <w:szCs w:val="14"/>
                <w:lang w:val="es-ES"/>
              </w:rPr>
              <w:t xml:space="preserve">(3.116,61) </w:t>
            </w:r>
          </w:p>
        </w:tc>
        <w:tc>
          <w:tcPr>
            <w:tcW w:w="658" w:type="pct"/>
            <w:tcBorders>
              <w:top w:val="single" w:sz="4" w:space="0" w:color="auto"/>
              <w:left w:val="single" w:sz="4" w:space="0" w:color="auto"/>
              <w:bottom w:val="nil"/>
              <w:right w:val="single" w:sz="8" w:space="0" w:color="auto"/>
            </w:tcBorders>
            <w:shd w:val="clear" w:color="auto" w:fill="auto"/>
            <w:noWrap/>
            <w:vAlign w:val="center"/>
            <w:hideMark/>
          </w:tcPr>
          <w:p w:rsidR="00811FEC" w:rsidRPr="00811FEC" w:rsidRDefault="00811FEC" w:rsidP="00811FEC">
            <w:pPr>
              <w:jc w:val="right"/>
              <w:rPr>
                <w:rFonts w:ascii="Lucida Bright" w:hAnsi="Lucida Bright" w:cs="Calibri"/>
                <w:color w:val="000000"/>
                <w:sz w:val="14"/>
                <w:szCs w:val="14"/>
                <w:lang w:val="es-ES"/>
              </w:rPr>
            </w:pPr>
            <w:r w:rsidRPr="00811FEC">
              <w:rPr>
                <w:rFonts w:ascii="Lucida Bright" w:hAnsi="Lucida Bright" w:cs="Calibri"/>
                <w:color w:val="000000"/>
                <w:sz w:val="14"/>
                <w:szCs w:val="14"/>
                <w:lang w:val="es-ES"/>
              </w:rPr>
              <w:t xml:space="preserve">114.236,63 </w:t>
            </w:r>
          </w:p>
        </w:tc>
      </w:tr>
      <w:tr w:rsidR="00811FEC" w:rsidRPr="00811FEC" w:rsidTr="00380828">
        <w:trPr>
          <w:trHeight w:val="315"/>
        </w:trPr>
        <w:tc>
          <w:tcPr>
            <w:tcW w:w="1213" w:type="pct"/>
            <w:tcBorders>
              <w:top w:val="nil"/>
              <w:left w:val="single" w:sz="8" w:space="0" w:color="auto"/>
              <w:bottom w:val="single" w:sz="8" w:space="0" w:color="auto"/>
              <w:right w:val="nil"/>
            </w:tcBorders>
            <w:shd w:val="clear" w:color="auto" w:fill="auto"/>
            <w:noWrap/>
            <w:vAlign w:val="center"/>
            <w:hideMark/>
          </w:tcPr>
          <w:p w:rsidR="00811FEC" w:rsidRPr="00811FEC" w:rsidRDefault="00811FEC" w:rsidP="00811FEC">
            <w:pPr>
              <w:rPr>
                <w:rFonts w:ascii="Lucida Bright" w:hAnsi="Lucida Bright" w:cs="Calibri"/>
                <w:b/>
                <w:bCs/>
                <w:color w:val="000000"/>
                <w:sz w:val="14"/>
                <w:szCs w:val="14"/>
                <w:lang w:val="es-ES"/>
              </w:rPr>
            </w:pPr>
            <w:r w:rsidRPr="00811FEC">
              <w:rPr>
                <w:rFonts w:ascii="Lucida Bright" w:hAnsi="Lucida Bright" w:cs="Calibri"/>
                <w:b/>
                <w:bCs/>
                <w:color w:val="000000"/>
                <w:sz w:val="14"/>
                <w:szCs w:val="14"/>
                <w:lang w:val="es-ES"/>
              </w:rPr>
              <w:t>Total</w:t>
            </w:r>
          </w:p>
        </w:tc>
        <w:tc>
          <w:tcPr>
            <w:tcW w:w="139" w:type="pct"/>
            <w:tcBorders>
              <w:top w:val="nil"/>
              <w:left w:val="nil"/>
              <w:bottom w:val="single" w:sz="8" w:space="0" w:color="auto"/>
              <w:right w:val="nil"/>
            </w:tcBorders>
            <w:shd w:val="clear" w:color="auto" w:fill="auto"/>
            <w:noWrap/>
            <w:vAlign w:val="center"/>
            <w:hideMark/>
          </w:tcPr>
          <w:p w:rsidR="00811FEC" w:rsidRPr="00811FEC" w:rsidRDefault="00811FEC" w:rsidP="00811FEC">
            <w:pPr>
              <w:rPr>
                <w:rFonts w:ascii="Lucida Bright" w:hAnsi="Lucida Bright" w:cs="Calibri"/>
                <w:color w:val="000000"/>
                <w:sz w:val="14"/>
                <w:szCs w:val="14"/>
                <w:lang w:val="es-ES"/>
              </w:rPr>
            </w:pPr>
            <w:r w:rsidRPr="00811FEC">
              <w:rPr>
                <w:rFonts w:ascii="Lucida Bright" w:hAnsi="Lucida Bright" w:cs="Calibri"/>
                <w:color w:val="000000"/>
                <w:sz w:val="14"/>
                <w:szCs w:val="14"/>
                <w:lang w:val="es-ES"/>
              </w:rPr>
              <w:t> </w:t>
            </w:r>
          </w:p>
        </w:tc>
        <w:tc>
          <w:tcPr>
            <w:tcW w:w="172" w:type="pct"/>
            <w:tcBorders>
              <w:top w:val="nil"/>
              <w:left w:val="nil"/>
              <w:bottom w:val="single" w:sz="8" w:space="0" w:color="auto"/>
              <w:right w:val="single" w:sz="8" w:space="0" w:color="auto"/>
            </w:tcBorders>
            <w:shd w:val="clear" w:color="auto" w:fill="auto"/>
            <w:noWrap/>
            <w:vAlign w:val="center"/>
            <w:hideMark/>
          </w:tcPr>
          <w:p w:rsidR="00811FEC" w:rsidRPr="00811FEC" w:rsidRDefault="00811FEC" w:rsidP="00811FEC">
            <w:pPr>
              <w:rPr>
                <w:rFonts w:ascii="Lucida Bright" w:hAnsi="Lucida Bright" w:cs="Calibri"/>
                <w:color w:val="000000"/>
                <w:sz w:val="14"/>
                <w:szCs w:val="14"/>
                <w:lang w:val="es-ES"/>
              </w:rPr>
            </w:pPr>
            <w:r w:rsidRPr="00811FEC">
              <w:rPr>
                <w:rFonts w:ascii="Lucida Bright" w:hAnsi="Lucida Bright" w:cs="Calibri"/>
                <w:color w:val="000000"/>
                <w:sz w:val="14"/>
                <w:szCs w:val="14"/>
                <w:lang w:val="es-ES"/>
              </w:rPr>
              <w:t> </w:t>
            </w:r>
          </w:p>
        </w:tc>
        <w:tc>
          <w:tcPr>
            <w:tcW w:w="746" w:type="pct"/>
            <w:tcBorders>
              <w:top w:val="single" w:sz="8" w:space="0" w:color="auto"/>
              <w:left w:val="nil"/>
              <w:bottom w:val="single" w:sz="8" w:space="0" w:color="auto"/>
              <w:right w:val="single" w:sz="8" w:space="0" w:color="auto"/>
            </w:tcBorders>
            <w:shd w:val="clear" w:color="auto" w:fill="auto"/>
            <w:noWrap/>
            <w:vAlign w:val="center"/>
            <w:hideMark/>
          </w:tcPr>
          <w:p w:rsidR="00811FEC" w:rsidRPr="00811FEC" w:rsidRDefault="00811FEC" w:rsidP="00811FEC">
            <w:pPr>
              <w:jc w:val="right"/>
              <w:rPr>
                <w:rFonts w:ascii="Lucida Bright" w:hAnsi="Lucida Bright" w:cs="Calibri"/>
                <w:b/>
                <w:bCs/>
                <w:color w:val="000000"/>
                <w:sz w:val="14"/>
                <w:szCs w:val="14"/>
                <w:lang w:val="es-ES"/>
              </w:rPr>
            </w:pPr>
            <w:r w:rsidRPr="00811FEC">
              <w:rPr>
                <w:rFonts w:ascii="Lucida Bright" w:hAnsi="Lucida Bright" w:cs="Calibri"/>
                <w:b/>
                <w:bCs/>
                <w:color w:val="000000"/>
                <w:sz w:val="14"/>
                <w:szCs w:val="14"/>
                <w:lang w:val="es-ES"/>
              </w:rPr>
              <w:t xml:space="preserve">49.902,84 </w:t>
            </w:r>
          </w:p>
        </w:tc>
        <w:tc>
          <w:tcPr>
            <w:tcW w:w="669" w:type="pct"/>
            <w:tcBorders>
              <w:top w:val="single" w:sz="8" w:space="0" w:color="auto"/>
              <w:left w:val="nil"/>
              <w:bottom w:val="single" w:sz="8" w:space="0" w:color="auto"/>
              <w:right w:val="single" w:sz="8" w:space="0" w:color="auto"/>
            </w:tcBorders>
            <w:shd w:val="clear" w:color="auto" w:fill="auto"/>
            <w:noWrap/>
            <w:vAlign w:val="center"/>
            <w:hideMark/>
          </w:tcPr>
          <w:p w:rsidR="00811FEC" w:rsidRPr="00811FEC" w:rsidRDefault="00811FEC" w:rsidP="00811FEC">
            <w:pPr>
              <w:jc w:val="right"/>
              <w:rPr>
                <w:rFonts w:ascii="Lucida Bright" w:hAnsi="Lucida Bright" w:cs="Calibri"/>
                <w:b/>
                <w:bCs/>
                <w:color w:val="000000"/>
                <w:sz w:val="14"/>
                <w:szCs w:val="14"/>
                <w:lang w:val="es-ES"/>
              </w:rPr>
            </w:pPr>
            <w:r w:rsidRPr="00811FEC">
              <w:rPr>
                <w:rFonts w:ascii="Lucida Bright" w:hAnsi="Lucida Bright" w:cs="Calibri"/>
                <w:b/>
                <w:bCs/>
                <w:color w:val="000000"/>
                <w:sz w:val="14"/>
                <w:szCs w:val="14"/>
                <w:lang w:val="es-ES"/>
              </w:rPr>
              <w:t xml:space="preserve">89.933,86 </w:t>
            </w:r>
          </w:p>
        </w:tc>
        <w:tc>
          <w:tcPr>
            <w:tcW w:w="658" w:type="pct"/>
            <w:tcBorders>
              <w:top w:val="single" w:sz="8" w:space="0" w:color="auto"/>
              <w:left w:val="nil"/>
              <w:bottom w:val="single" w:sz="8" w:space="0" w:color="auto"/>
              <w:right w:val="single" w:sz="8" w:space="0" w:color="auto"/>
            </w:tcBorders>
            <w:shd w:val="clear" w:color="auto" w:fill="auto"/>
            <w:noWrap/>
            <w:vAlign w:val="center"/>
            <w:hideMark/>
          </w:tcPr>
          <w:p w:rsidR="00811FEC" w:rsidRPr="00811FEC" w:rsidRDefault="00811FEC" w:rsidP="00811FEC">
            <w:pPr>
              <w:jc w:val="right"/>
              <w:rPr>
                <w:rFonts w:ascii="Lucida Bright" w:hAnsi="Lucida Bright" w:cs="Calibri"/>
                <w:b/>
                <w:bCs/>
                <w:color w:val="000000"/>
                <w:sz w:val="14"/>
                <w:szCs w:val="14"/>
                <w:lang w:val="es-ES"/>
              </w:rPr>
            </w:pPr>
            <w:r w:rsidRPr="00811FEC">
              <w:rPr>
                <w:rFonts w:ascii="Lucida Bright" w:hAnsi="Lucida Bright" w:cs="Calibri"/>
                <w:b/>
                <w:bCs/>
                <w:color w:val="000000"/>
                <w:sz w:val="14"/>
                <w:szCs w:val="14"/>
                <w:lang w:val="es-ES"/>
              </w:rPr>
              <w:t xml:space="preserve">(22.483,46) </w:t>
            </w:r>
          </w:p>
        </w:tc>
        <w:tc>
          <w:tcPr>
            <w:tcW w:w="746" w:type="pct"/>
            <w:tcBorders>
              <w:top w:val="single" w:sz="8" w:space="0" w:color="auto"/>
              <w:left w:val="nil"/>
              <w:bottom w:val="single" w:sz="8" w:space="0" w:color="auto"/>
              <w:right w:val="single" w:sz="8" w:space="0" w:color="auto"/>
            </w:tcBorders>
            <w:shd w:val="clear" w:color="auto" w:fill="auto"/>
            <w:noWrap/>
            <w:vAlign w:val="center"/>
            <w:hideMark/>
          </w:tcPr>
          <w:p w:rsidR="00811FEC" w:rsidRPr="00811FEC" w:rsidRDefault="00811FEC" w:rsidP="00811FEC">
            <w:pPr>
              <w:jc w:val="right"/>
              <w:rPr>
                <w:rFonts w:ascii="Lucida Bright" w:hAnsi="Lucida Bright" w:cs="Calibri"/>
                <w:b/>
                <w:bCs/>
                <w:color w:val="000000"/>
                <w:sz w:val="14"/>
                <w:szCs w:val="14"/>
                <w:lang w:val="es-ES"/>
              </w:rPr>
            </w:pPr>
            <w:r w:rsidRPr="00811FEC">
              <w:rPr>
                <w:rFonts w:ascii="Lucida Bright" w:hAnsi="Lucida Bright" w:cs="Calibri"/>
                <w:b/>
                <w:bCs/>
                <w:color w:val="000000"/>
                <w:sz w:val="14"/>
                <w:szCs w:val="14"/>
                <w:lang w:val="es-ES"/>
              </w:rPr>
              <w:t xml:space="preserve">(3.116,61) </w:t>
            </w:r>
          </w:p>
        </w:tc>
        <w:tc>
          <w:tcPr>
            <w:tcW w:w="658" w:type="pct"/>
            <w:tcBorders>
              <w:top w:val="single" w:sz="8" w:space="0" w:color="auto"/>
              <w:left w:val="nil"/>
              <w:bottom w:val="single" w:sz="8" w:space="0" w:color="auto"/>
              <w:right w:val="single" w:sz="8" w:space="0" w:color="auto"/>
            </w:tcBorders>
            <w:shd w:val="clear" w:color="auto" w:fill="auto"/>
            <w:noWrap/>
            <w:vAlign w:val="center"/>
            <w:hideMark/>
          </w:tcPr>
          <w:p w:rsidR="00811FEC" w:rsidRPr="00811FEC" w:rsidRDefault="00811FEC" w:rsidP="00811FEC">
            <w:pPr>
              <w:jc w:val="right"/>
              <w:rPr>
                <w:rFonts w:ascii="Lucida Bright" w:hAnsi="Lucida Bright" w:cs="Calibri"/>
                <w:b/>
                <w:bCs/>
                <w:color w:val="000000"/>
                <w:sz w:val="14"/>
                <w:szCs w:val="14"/>
                <w:lang w:val="es-ES"/>
              </w:rPr>
            </w:pPr>
            <w:r w:rsidRPr="00811FEC">
              <w:rPr>
                <w:rFonts w:ascii="Lucida Bright" w:hAnsi="Lucida Bright" w:cs="Calibri"/>
                <w:b/>
                <w:bCs/>
                <w:color w:val="000000"/>
                <w:sz w:val="14"/>
                <w:szCs w:val="14"/>
                <w:lang w:val="es-ES"/>
              </w:rPr>
              <w:t xml:space="preserve">114.236,63 </w:t>
            </w:r>
          </w:p>
        </w:tc>
      </w:tr>
    </w:tbl>
    <w:p w:rsidR="00486982" w:rsidRPr="00653857" w:rsidRDefault="00486982" w:rsidP="00486982">
      <w:pPr>
        <w:tabs>
          <w:tab w:val="right" w:pos="8364"/>
        </w:tabs>
        <w:ind w:firstLine="567"/>
        <w:jc w:val="both"/>
        <w:rPr>
          <w:rFonts w:ascii="NewBaskerville" w:hAnsi="NewBaskerville"/>
          <w:bCs/>
        </w:rPr>
      </w:pPr>
    </w:p>
    <w:p w:rsidR="00380828" w:rsidRDefault="00380828" w:rsidP="00380828">
      <w:pPr>
        <w:pStyle w:val="Sangradetextonormal"/>
        <w:ind w:left="720" w:firstLine="0"/>
        <w:rPr>
          <w:rFonts w:ascii="NewBaskerville" w:hAnsi="NewBaskerville"/>
          <w:sz w:val="20"/>
        </w:rPr>
      </w:pPr>
    </w:p>
    <w:p w:rsidR="00380828" w:rsidRDefault="00380828" w:rsidP="00380828">
      <w:pPr>
        <w:pStyle w:val="Sangradetextonormal"/>
        <w:numPr>
          <w:ilvl w:val="0"/>
          <w:numId w:val="2"/>
        </w:numPr>
        <w:ind w:hanging="219"/>
        <w:rPr>
          <w:rFonts w:ascii="NewBaskerville" w:hAnsi="NewBaskerville"/>
          <w:sz w:val="20"/>
        </w:rPr>
      </w:pPr>
      <w:r>
        <w:rPr>
          <w:rFonts w:ascii="NewBaskerville" w:hAnsi="NewBaskerville"/>
          <w:sz w:val="20"/>
        </w:rPr>
        <w:t xml:space="preserve">Subvención del Programa de Apoyo al Transporte Sostenible y Digital, en el marco del Plan de Recuperación, Transformación y </w:t>
      </w:r>
      <w:proofErr w:type="spellStart"/>
      <w:r>
        <w:rPr>
          <w:rFonts w:ascii="NewBaskerville" w:hAnsi="NewBaskerville"/>
          <w:sz w:val="20"/>
        </w:rPr>
        <w:t>Resiliencia</w:t>
      </w:r>
      <w:proofErr w:type="spellEnd"/>
      <w:r>
        <w:rPr>
          <w:rFonts w:ascii="NewBaskerville" w:hAnsi="NewBaskerville"/>
          <w:sz w:val="20"/>
        </w:rPr>
        <w:t xml:space="preserve"> – financiado por la UE – </w:t>
      </w:r>
      <w:proofErr w:type="spellStart"/>
      <w:r>
        <w:rPr>
          <w:rFonts w:ascii="NewBaskerville" w:hAnsi="NewBaskerville"/>
          <w:sz w:val="20"/>
        </w:rPr>
        <w:t>NextGeneration</w:t>
      </w:r>
      <w:proofErr w:type="spellEnd"/>
      <w:r>
        <w:rPr>
          <w:rFonts w:ascii="NewBaskerville" w:hAnsi="NewBaskerville"/>
          <w:sz w:val="20"/>
        </w:rPr>
        <w:t>.</w:t>
      </w:r>
    </w:p>
    <w:p w:rsidR="00380828" w:rsidRDefault="00380828" w:rsidP="00380828">
      <w:pPr>
        <w:pStyle w:val="Sangradetextonormal"/>
        <w:rPr>
          <w:rFonts w:ascii="NewBaskerville" w:hAnsi="NewBaskerville"/>
          <w:sz w:val="20"/>
        </w:rPr>
      </w:pPr>
    </w:p>
    <w:p w:rsidR="00380828" w:rsidRDefault="00380828" w:rsidP="00380828">
      <w:pPr>
        <w:pStyle w:val="Sangradetextonormal"/>
        <w:rPr>
          <w:rFonts w:ascii="NewBaskerville" w:hAnsi="NewBaskerville"/>
          <w:sz w:val="20"/>
        </w:rPr>
      </w:pPr>
      <w:r>
        <w:rPr>
          <w:rFonts w:ascii="NewBaskerville" w:hAnsi="NewBaskerville"/>
          <w:sz w:val="20"/>
        </w:rPr>
        <w:t xml:space="preserve">Mediante Orden Ministerial el 13/12/2022 se </w:t>
      </w:r>
      <w:r w:rsidR="00655DFE">
        <w:rPr>
          <w:rFonts w:ascii="NewBaskerville" w:hAnsi="NewBaskerville"/>
          <w:sz w:val="20"/>
        </w:rPr>
        <w:t>resolvió el procedimiento de concesión de subvenciones</w:t>
      </w:r>
      <w:r>
        <w:rPr>
          <w:rFonts w:ascii="NewBaskerville" w:hAnsi="NewBaskerville"/>
          <w:sz w:val="20"/>
        </w:rPr>
        <w:t>.</w:t>
      </w:r>
      <w:r w:rsidR="00655DFE">
        <w:rPr>
          <w:rFonts w:ascii="NewBaskerville" w:hAnsi="NewBaskerville"/>
          <w:sz w:val="20"/>
        </w:rPr>
        <w:t xml:space="preserve"> La APB participa en concurrencia con la Autoridad Portuaria de Barcelona, siendo concedida una subvención individual a la APB po</w:t>
      </w:r>
      <w:r w:rsidR="00FF2432">
        <w:rPr>
          <w:rFonts w:ascii="NewBaskerville" w:hAnsi="NewBaskerville"/>
          <w:sz w:val="20"/>
        </w:rPr>
        <w:t>r importe de 4.923.875,47 euros,</w:t>
      </w:r>
      <w:r w:rsidR="00655DFE">
        <w:rPr>
          <w:rFonts w:ascii="NewBaskerville" w:hAnsi="NewBaskerville"/>
          <w:sz w:val="20"/>
        </w:rPr>
        <w:t xml:space="preserve"> </w:t>
      </w:r>
      <w:r w:rsidR="00FF2432">
        <w:rPr>
          <w:rFonts w:ascii="NewBaskerville" w:hAnsi="NewBaskerville"/>
          <w:sz w:val="20"/>
        </w:rPr>
        <w:t>p</w:t>
      </w:r>
      <w:r w:rsidR="00655DFE">
        <w:rPr>
          <w:rFonts w:ascii="NewBaskerville" w:hAnsi="NewBaskerville"/>
          <w:sz w:val="20"/>
        </w:rPr>
        <w:t xml:space="preserve">ara la ejecución del proyecto OPS4B&amp;B – Despliegue de soluciones de suministro </w:t>
      </w:r>
      <w:r w:rsidR="00DD448C">
        <w:rPr>
          <w:rFonts w:ascii="NewBaskerville" w:hAnsi="NewBaskerville"/>
          <w:sz w:val="20"/>
        </w:rPr>
        <w:t>eléctrico</w:t>
      </w:r>
      <w:r w:rsidR="00655DFE">
        <w:rPr>
          <w:rFonts w:ascii="NewBaskerville" w:hAnsi="NewBaskerville"/>
          <w:sz w:val="20"/>
        </w:rPr>
        <w:t xml:space="preserve"> para “</w:t>
      </w:r>
      <w:proofErr w:type="spellStart"/>
      <w:r w:rsidR="00655DFE">
        <w:rPr>
          <w:rFonts w:ascii="NewBaskerville" w:hAnsi="NewBaskerville"/>
          <w:sz w:val="20"/>
        </w:rPr>
        <w:t>Cold</w:t>
      </w:r>
      <w:proofErr w:type="spellEnd"/>
      <w:r w:rsidR="00655DFE">
        <w:rPr>
          <w:rFonts w:ascii="NewBaskerville" w:hAnsi="NewBaskerville"/>
          <w:sz w:val="20"/>
        </w:rPr>
        <w:t xml:space="preserve"> </w:t>
      </w:r>
      <w:proofErr w:type="spellStart"/>
      <w:r w:rsidR="00655DFE">
        <w:rPr>
          <w:rFonts w:ascii="NewBaskerville" w:hAnsi="NewBaskerville"/>
          <w:sz w:val="20"/>
        </w:rPr>
        <w:t>Ironing</w:t>
      </w:r>
      <w:proofErr w:type="spellEnd"/>
      <w:r w:rsidR="00655DFE">
        <w:rPr>
          <w:rFonts w:ascii="NewBaskerville" w:hAnsi="NewBaskerville"/>
          <w:sz w:val="20"/>
        </w:rPr>
        <w:t xml:space="preserve">”. Debido a su bajo grado de ejecución y la inexistencia de certificaciones de </w:t>
      </w:r>
      <w:r w:rsidR="00FF2432">
        <w:rPr>
          <w:rFonts w:ascii="NewBaskerville" w:hAnsi="NewBaskerville"/>
          <w:sz w:val="20"/>
        </w:rPr>
        <w:t>obra financiada con la subvención, no se ha reconocido el devengo de la subvención.</w:t>
      </w:r>
    </w:p>
    <w:p w:rsidR="00FF2432" w:rsidRDefault="00FF2432" w:rsidP="00380828">
      <w:pPr>
        <w:pStyle w:val="Sangradetextonormal"/>
        <w:rPr>
          <w:rFonts w:ascii="NewBaskerville" w:hAnsi="NewBaskerville"/>
          <w:sz w:val="20"/>
        </w:rPr>
      </w:pPr>
    </w:p>
    <w:p w:rsidR="00BB7BD3" w:rsidRDefault="00BB7BD3" w:rsidP="00653857">
      <w:pPr>
        <w:pStyle w:val="Textoindependiente2"/>
        <w:rPr>
          <w:rFonts w:ascii="NewBaskerville" w:hAnsi="NewBaskerville"/>
          <w:sz w:val="20"/>
          <w:szCs w:val="20"/>
        </w:rPr>
      </w:pPr>
    </w:p>
    <w:p w:rsidR="00FF2432" w:rsidRDefault="00FF2432" w:rsidP="00FF2432">
      <w:pPr>
        <w:pStyle w:val="Sangradetextonormal"/>
        <w:numPr>
          <w:ilvl w:val="0"/>
          <w:numId w:val="2"/>
        </w:numPr>
        <w:ind w:hanging="219"/>
        <w:rPr>
          <w:rFonts w:ascii="NewBaskerville" w:hAnsi="NewBaskerville"/>
          <w:sz w:val="20"/>
        </w:rPr>
      </w:pPr>
      <w:r>
        <w:rPr>
          <w:rFonts w:ascii="NewBaskerville" w:hAnsi="NewBaskerville"/>
          <w:sz w:val="20"/>
        </w:rPr>
        <w:t>Otras ayudas y subvenciones.</w:t>
      </w:r>
    </w:p>
    <w:p w:rsidR="00486982" w:rsidRDefault="00486982" w:rsidP="00653857">
      <w:pPr>
        <w:pStyle w:val="Textoindependiente2"/>
        <w:rPr>
          <w:rFonts w:ascii="NewBaskerville" w:hAnsi="NewBaskerville"/>
          <w:sz w:val="20"/>
          <w:szCs w:val="20"/>
        </w:rPr>
      </w:pPr>
    </w:p>
    <w:p w:rsidR="00BB7BD3" w:rsidRDefault="00FF2432" w:rsidP="00FF2432">
      <w:pPr>
        <w:pStyle w:val="Textoindependiente2"/>
        <w:ind w:firstLine="567"/>
        <w:rPr>
          <w:rFonts w:ascii="NewBaskerville" w:hAnsi="NewBaskerville"/>
          <w:sz w:val="20"/>
          <w:szCs w:val="20"/>
        </w:rPr>
      </w:pPr>
      <w:r>
        <w:rPr>
          <w:rFonts w:ascii="NewBaskerville" w:hAnsi="NewBaskerville"/>
          <w:sz w:val="20"/>
          <w:szCs w:val="20"/>
        </w:rPr>
        <w:t xml:space="preserve">Existen ayudas y subvenciones percibidas por la APB que se ha estimado que todavía tienen naturaleza de reintegrables, </w:t>
      </w:r>
      <w:r w:rsidR="00DD448C">
        <w:rPr>
          <w:rFonts w:ascii="NewBaskerville" w:hAnsi="NewBaskerville"/>
          <w:sz w:val="20"/>
          <w:szCs w:val="20"/>
        </w:rPr>
        <w:t>cuya</w:t>
      </w:r>
      <w:r w:rsidR="00350D1C">
        <w:rPr>
          <w:rFonts w:ascii="NewBaskerville" w:hAnsi="NewBaskerville"/>
          <w:sz w:val="20"/>
          <w:szCs w:val="20"/>
        </w:rPr>
        <w:t>s</w:t>
      </w:r>
      <w:r>
        <w:rPr>
          <w:rFonts w:ascii="NewBaskerville" w:hAnsi="NewBaskerville"/>
          <w:sz w:val="20"/>
          <w:szCs w:val="20"/>
        </w:rPr>
        <w:t xml:space="preserve"> cantidad</w:t>
      </w:r>
      <w:r w:rsidR="00350D1C">
        <w:rPr>
          <w:rFonts w:ascii="NewBaskerville" w:hAnsi="NewBaskerville"/>
          <w:sz w:val="20"/>
          <w:szCs w:val="20"/>
        </w:rPr>
        <w:t>es</w:t>
      </w:r>
      <w:r>
        <w:rPr>
          <w:rFonts w:ascii="NewBaskerville" w:hAnsi="NewBaskerville"/>
          <w:sz w:val="20"/>
          <w:szCs w:val="20"/>
        </w:rPr>
        <w:t xml:space="preserve"> </w:t>
      </w:r>
      <w:bookmarkStart w:id="1" w:name="_GoBack"/>
      <w:bookmarkEnd w:id="1"/>
      <w:r>
        <w:rPr>
          <w:rFonts w:ascii="NewBaskerville" w:hAnsi="NewBaskerville"/>
          <w:sz w:val="20"/>
          <w:szCs w:val="20"/>
        </w:rPr>
        <w:t xml:space="preserve">a cierre del ejercicio </w:t>
      </w:r>
      <w:r w:rsidR="00350D1C">
        <w:rPr>
          <w:rFonts w:ascii="NewBaskerville" w:hAnsi="NewBaskerville"/>
          <w:sz w:val="20"/>
          <w:szCs w:val="20"/>
        </w:rPr>
        <w:t>son</w:t>
      </w:r>
      <w:r>
        <w:rPr>
          <w:rFonts w:ascii="NewBaskerville" w:hAnsi="NewBaskerville"/>
          <w:sz w:val="20"/>
          <w:szCs w:val="20"/>
        </w:rPr>
        <w:t>:</w:t>
      </w:r>
    </w:p>
    <w:p w:rsidR="006814C6" w:rsidRDefault="006814C6" w:rsidP="006814C6">
      <w:pPr>
        <w:pStyle w:val="Textoindependiente2"/>
        <w:ind w:left="1287"/>
        <w:rPr>
          <w:rFonts w:ascii="NewBaskerville" w:hAnsi="NewBaskerville"/>
          <w:sz w:val="20"/>
          <w:szCs w:val="20"/>
        </w:rPr>
      </w:pPr>
    </w:p>
    <w:p w:rsidR="00352633" w:rsidRDefault="00352633" w:rsidP="00FF2432">
      <w:pPr>
        <w:pStyle w:val="Textoindependiente2"/>
        <w:numPr>
          <w:ilvl w:val="0"/>
          <w:numId w:val="6"/>
        </w:numPr>
        <w:rPr>
          <w:rFonts w:ascii="NewBaskerville" w:hAnsi="NewBaskerville"/>
          <w:sz w:val="20"/>
          <w:szCs w:val="20"/>
        </w:rPr>
      </w:pPr>
      <w:r>
        <w:rPr>
          <w:rFonts w:ascii="NewBaskerville" w:hAnsi="NewBaskerville"/>
          <w:sz w:val="20"/>
          <w:szCs w:val="20"/>
        </w:rPr>
        <w:t xml:space="preserve">Programa Horizonte 2020 de la Unión Europea, Proyecto Green </w:t>
      </w:r>
      <w:proofErr w:type="spellStart"/>
      <w:r>
        <w:rPr>
          <w:rFonts w:ascii="NewBaskerville" w:hAnsi="NewBaskerville"/>
          <w:sz w:val="20"/>
          <w:szCs w:val="20"/>
        </w:rPr>
        <w:t>Hysland</w:t>
      </w:r>
      <w:proofErr w:type="spellEnd"/>
      <w:r>
        <w:rPr>
          <w:rFonts w:ascii="NewBaskerville" w:hAnsi="NewBaskerville"/>
          <w:sz w:val="20"/>
          <w:szCs w:val="20"/>
        </w:rPr>
        <w:t>, de innovación para transformar la isla de Mallorca en un ecosistema de hidrógeno verde. Del que se han percibido a fecha de cierre la cantidad de 409.662,49 euros.</w:t>
      </w:r>
    </w:p>
    <w:p w:rsidR="00352633" w:rsidRDefault="008967E4" w:rsidP="00FF2432">
      <w:pPr>
        <w:pStyle w:val="Textoindependiente2"/>
        <w:numPr>
          <w:ilvl w:val="0"/>
          <w:numId w:val="6"/>
        </w:numPr>
        <w:rPr>
          <w:rFonts w:ascii="NewBaskerville" w:hAnsi="NewBaskerville"/>
          <w:sz w:val="20"/>
          <w:szCs w:val="20"/>
        </w:rPr>
      </w:pPr>
      <w:r>
        <w:rPr>
          <w:rFonts w:ascii="NewBaskerville" w:hAnsi="NewBaskerville"/>
          <w:sz w:val="20"/>
          <w:szCs w:val="20"/>
        </w:rPr>
        <w:t>Programa Horizonte 2020 de la Unión Europea, Proyecto Eiffel, de innovación para la mitigación del cambio climático. Del que se han percibido a fecha de cierre del ejercicio la cantidad de 71.453,13 euros.</w:t>
      </w:r>
    </w:p>
    <w:p w:rsidR="008967E4" w:rsidRDefault="008967E4" w:rsidP="008967E4">
      <w:pPr>
        <w:pStyle w:val="Textoindependiente2"/>
        <w:ind w:left="1287"/>
        <w:rPr>
          <w:rFonts w:ascii="NewBaskerville" w:hAnsi="NewBaskerville"/>
          <w:sz w:val="20"/>
          <w:szCs w:val="20"/>
        </w:rPr>
      </w:pPr>
    </w:p>
    <w:p w:rsidR="008967E4" w:rsidRDefault="008967E4" w:rsidP="008967E4">
      <w:pPr>
        <w:pStyle w:val="Textoindependiente2"/>
        <w:ind w:left="1287"/>
        <w:rPr>
          <w:rFonts w:ascii="NewBaskerville" w:hAnsi="NewBaskerville"/>
          <w:sz w:val="20"/>
          <w:szCs w:val="20"/>
        </w:rPr>
      </w:pPr>
    </w:p>
    <w:p w:rsidR="008967E4" w:rsidRDefault="008967E4" w:rsidP="008967E4">
      <w:pPr>
        <w:pStyle w:val="Sangradetextonormal"/>
        <w:numPr>
          <w:ilvl w:val="0"/>
          <w:numId w:val="2"/>
        </w:numPr>
        <w:ind w:hanging="219"/>
        <w:rPr>
          <w:rFonts w:ascii="NewBaskerville" w:hAnsi="NewBaskerville"/>
          <w:sz w:val="20"/>
        </w:rPr>
      </w:pPr>
      <w:r>
        <w:rPr>
          <w:rFonts w:ascii="NewBaskerville" w:hAnsi="NewBaskerville"/>
          <w:sz w:val="20"/>
        </w:rPr>
        <w:t>Reversión de concesiones.</w:t>
      </w:r>
    </w:p>
    <w:p w:rsidR="008016E5" w:rsidRPr="00F72B6C" w:rsidRDefault="008016E5" w:rsidP="002420DC">
      <w:pPr>
        <w:pStyle w:val="Textoindependiente2"/>
        <w:ind w:firstLine="567"/>
        <w:rPr>
          <w:sz w:val="20"/>
          <w:szCs w:val="20"/>
        </w:rPr>
      </w:pPr>
    </w:p>
    <w:tbl>
      <w:tblPr>
        <w:tblW w:w="9120" w:type="dxa"/>
        <w:tblInd w:w="60" w:type="dxa"/>
        <w:tblCellMar>
          <w:left w:w="70" w:type="dxa"/>
          <w:right w:w="70" w:type="dxa"/>
        </w:tblCellMar>
        <w:tblLook w:val="04A0" w:firstRow="1" w:lastRow="0" w:firstColumn="1" w:lastColumn="0" w:noHBand="0" w:noVBand="1"/>
      </w:tblPr>
      <w:tblGrid>
        <w:gridCol w:w="2213"/>
        <w:gridCol w:w="254"/>
        <w:gridCol w:w="313"/>
        <w:gridCol w:w="1360"/>
        <w:gridCol w:w="1220"/>
        <w:gridCol w:w="1200"/>
        <w:gridCol w:w="1360"/>
        <w:gridCol w:w="1200"/>
      </w:tblGrid>
      <w:tr w:rsidR="008967E4" w:rsidRPr="008967E4" w:rsidTr="008967E4">
        <w:trPr>
          <w:trHeight w:val="555"/>
        </w:trPr>
        <w:tc>
          <w:tcPr>
            <w:tcW w:w="2780" w:type="dxa"/>
            <w:gridSpan w:val="3"/>
            <w:tcBorders>
              <w:top w:val="single" w:sz="8" w:space="0" w:color="auto"/>
              <w:left w:val="single" w:sz="8" w:space="0" w:color="auto"/>
              <w:bottom w:val="single" w:sz="8" w:space="0" w:color="auto"/>
              <w:right w:val="single" w:sz="8" w:space="0" w:color="000000"/>
            </w:tcBorders>
            <w:shd w:val="clear" w:color="000000" w:fill="CCFFCC"/>
            <w:noWrap/>
            <w:vAlign w:val="center"/>
            <w:hideMark/>
          </w:tcPr>
          <w:p w:rsidR="008967E4" w:rsidRPr="008967E4" w:rsidRDefault="008967E4" w:rsidP="008967E4">
            <w:pPr>
              <w:rPr>
                <w:rFonts w:ascii="Lucida Bright" w:hAnsi="Lucida Bright" w:cs="Calibri"/>
                <w:b/>
                <w:bCs/>
                <w:color w:val="000000"/>
                <w:sz w:val="18"/>
                <w:szCs w:val="18"/>
                <w:lang w:val="es-ES"/>
              </w:rPr>
            </w:pPr>
            <w:r w:rsidRPr="008967E4">
              <w:rPr>
                <w:rFonts w:ascii="Lucida Bright" w:hAnsi="Lucida Bright" w:cs="Calibri"/>
                <w:b/>
                <w:bCs/>
                <w:color w:val="000000"/>
                <w:sz w:val="18"/>
                <w:szCs w:val="18"/>
                <w:lang w:val="es-ES"/>
              </w:rPr>
              <w:t>CONCESIONES REVERTIDAS</w:t>
            </w:r>
          </w:p>
        </w:tc>
        <w:tc>
          <w:tcPr>
            <w:tcW w:w="1360" w:type="dxa"/>
            <w:tcBorders>
              <w:top w:val="single" w:sz="8" w:space="0" w:color="auto"/>
              <w:left w:val="nil"/>
              <w:bottom w:val="single" w:sz="8" w:space="0" w:color="auto"/>
              <w:right w:val="single" w:sz="8" w:space="0" w:color="auto"/>
            </w:tcBorders>
            <w:shd w:val="clear" w:color="000000" w:fill="CCFFCC"/>
            <w:vAlign w:val="center"/>
            <w:hideMark/>
          </w:tcPr>
          <w:p w:rsidR="008967E4" w:rsidRPr="008967E4" w:rsidRDefault="008967E4" w:rsidP="008967E4">
            <w:pPr>
              <w:jc w:val="center"/>
              <w:rPr>
                <w:rFonts w:ascii="Lucida Bright" w:hAnsi="Lucida Bright" w:cs="Calibri"/>
                <w:b/>
                <w:bCs/>
                <w:color w:val="000000"/>
                <w:sz w:val="14"/>
                <w:szCs w:val="14"/>
                <w:lang w:val="es-ES"/>
              </w:rPr>
            </w:pPr>
            <w:r w:rsidRPr="008967E4">
              <w:rPr>
                <w:rFonts w:ascii="Lucida Bright" w:hAnsi="Lucida Bright" w:cs="Calibri"/>
                <w:b/>
                <w:bCs/>
                <w:color w:val="000000"/>
                <w:sz w:val="14"/>
                <w:szCs w:val="14"/>
                <w:lang w:val="es-ES"/>
              </w:rPr>
              <w:t>Saldo a 31/12/2022</w:t>
            </w:r>
          </w:p>
        </w:tc>
        <w:tc>
          <w:tcPr>
            <w:tcW w:w="1220" w:type="dxa"/>
            <w:tcBorders>
              <w:top w:val="single" w:sz="8" w:space="0" w:color="auto"/>
              <w:left w:val="nil"/>
              <w:bottom w:val="single" w:sz="8" w:space="0" w:color="auto"/>
              <w:right w:val="single" w:sz="8" w:space="0" w:color="auto"/>
            </w:tcBorders>
            <w:shd w:val="clear" w:color="000000" w:fill="CCFFCC"/>
            <w:vAlign w:val="center"/>
            <w:hideMark/>
          </w:tcPr>
          <w:p w:rsidR="008967E4" w:rsidRPr="008967E4" w:rsidRDefault="008967E4" w:rsidP="008967E4">
            <w:pPr>
              <w:jc w:val="center"/>
              <w:rPr>
                <w:rFonts w:ascii="Lucida Bright" w:hAnsi="Lucida Bright" w:cs="Calibri"/>
                <w:b/>
                <w:bCs/>
                <w:color w:val="000000"/>
                <w:sz w:val="14"/>
                <w:szCs w:val="14"/>
                <w:lang w:val="es-ES"/>
              </w:rPr>
            </w:pPr>
            <w:r w:rsidRPr="008967E4">
              <w:rPr>
                <w:rFonts w:ascii="Lucida Bright" w:hAnsi="Lucida Bright" w:cs="Calibri"/>
                <w:b/>
                <w:bCs/>
                <w:color w:val="000000"/>
                <w:sz w:val="14"/>
                <w:szCs w:val="14"/>
                <w:lang w:val="es-ES"/>
              </w:rPr>
              <w:t>Importe devengado en el ejer</w:t>
            </w:r>
            <w:r w:rsidR="00355986">
              <w:rPr>
                <w:rFonts w:ascii="Lucida Bright" w:hAnsi="Lucida Bright" w:cs="Calibri"/>
                <w:b/>
                <w:bCs/>
                <w:color w:val="000000"/>
                <w:sz w:val="14"/>
                <w:szCs w:val="14"/>
                <w:lang w:val="es-ES"/>
              </w:rPr>
              <w:t>ci</w:t>
            </w:r>
            <w:r w:rsidRPr="008967E4">
              <w:rPr>
                <w:rFonts w:ascii="Lucida Bright" w:hAnsi="Lucida Bright" w:cs="Calibri"/>
                <w:b/>
                <w:bCs/>
                <w:color w:val="000000"/>
                <w:sz w:val="14"/>
                <w:szCs w:val="14"/>
                <w:lang w:val="es-ES"/>
              </w:rPr>
              <w:t>cio</w:t>
            </w:r>
          </w:p>
        </w:tc>
        <w:tc>
          <w:tcPr>
            <w:tcW w:w="1200" w:type="dxa"/>
            <w:tcBorders>
              <w:top w:val="single" w:sz="8" w:space="0" w:color="auto"/>
              <w:left w:val="nil"/>
              <w:bottom w:val="single" w:sz="8" w:space="0" w:color="auto"/>
              <w:right w:val="single" w:sz="8" w:space="0" w:color="auto"/>
            </w:tcBorders>
            <w:shd w:val="clear" w:color="000000" w:fill="CCFFCC"/>
            <w:vAlign w:val="center"/>
            <w:hideMark/>
          </w:tcPr>
          <w:p w:rsidR="008967E4" w:rsidRPr="008967E4" w:rsidRDefault="008967E4" w:rsidP="008967E4">
            <w:pPr>
              <w:jc w:val="center"/>
              <w:rPr>
                <w:rFonts w:ascii="Lucida Bright" w:hAnsi="Lucida Bright" w:cs="Calibri"/>
                <w:b/>
                <w:bCs/>
                <w:color w:val="000000"/>
                <w:sz w:val="14"/>
                <w:szCs w:val="14"/>
                <w:lang w:val="es-ES"/>
              </w:rPr>
            </w:pPr>
            <w:r w:rsidRPr="008967E4">
              <w:rPr>
                <w:rFonts w:ascii="Lucida Bright" w:hAnsi="Lucida Bright" w:cs="Calibri"/>
                <w:b/>
                <w:bCs/>
                <w:color w:val="000000"/>
                <w:sz w:val="14"/>
                <w:szCs w:val="14"/>
                <w:lang w:val="es-ES"/>
              </w:rPr>
              <w:t>Efecto impositivo devengo</w:t>
            </w:r>
          </w:p>
        </w:tc>
        <w:tc>
          <w:tcPr>
            <w:tcW w:w="1360" w:type="dxa"/>
            <w:tcBorders>
              <w:top w:val="single" w:sz="8" w:space="0" w:color="auto"/>
              <w:left w:val="nil"/>
              <w:bottom w:val="single" w:sz="8" w:space="0" w:color="auto"/>
              <w:right w:val="single" w:sz="8" w:space="0" w:color="auto"/>
            </w:tcBorders>
            <w:shd w:val="clear" w:color="000000" w:fill="CCFFCC"/>
            <w:vAlign w:val="center"/>
            <w:hideMark/>
          </w:tcPr>
          <w:p w:rsidR="008967E4" w:rsidRPr="008967E4" w:rsidRDefault="008967E4" w:rsidP="008967E4">
            <w:pPr>
              <w:jc w:val="center"/>
              <w:rPr>
                <w:rFonts w:ascii="Lucida Bright" w:hAnsi="Lucida Bright" w:cs="Calibri"/>
                <w:b/>
                <w:bCs/>
                <w:color w:val="000000"/>
                <w:sz w:val="14"/>
                <w:szCs w:val="14"/>
                <w:lang w:val="es-ES"/>
              </w:rPr>
            </w:pPr>
            <w:r w:rsidRPr="008967E4">
              <w:rPr>
                <w:rFonts w:ascii="Lucida Bright" w:hAnsi="Lucida Bright" w:cs="Calibri"/>
                <w:b/>
                <w:bCs/>
                <w:color w:val="000000"/>
                <w:sz w:val="14"/>
                <w:szCs w:val="14"/>
                <w:lang w:val="es-ES"/>
              </w:rPr>
              <w:t>Importe traspas</w:t>
            </w:r>
            <w:r w:rsidR="00355986">
              <w:rPr>
                <w:rFonts w:ascii="Lucida Bright" w:hAnsi="Lucida Bright" w:cs="Calibri"/>
                <w:b/>
                <w:bCs/>
                <w:color w:val="000000"/>
                <w:sz w:val="14"/>
                <w:szCs w:val="14"/>
                <w:lang w:val="es-ES"/>
              </w:rPr>
              <w:t>a</w:t>
            </w:r>
            <w:r w:rsidRPr="008967E4">
              <w:rPr>
                <w:rFonts w:ascii="Lucida Bright" w:hAnsi="Lucida Bright" w:cs="Calibri"/>
                <w:b/>
                <w:bCs/>
                <w:color w:val="000000"/>
                <w:sz w:val="14"/>
                <w:szCs w:val="14"/>
                <w:lang w:val="es-ES"/>
              </w:rPr>
              <w:t>do al resultado</w:t>
            </w:r>
          </w:p>
        </w:tc>
        <w:tc>
          <w:tcPr>
            <w:tcW w:w="1200" w:type="dxa"/>
            <w:tcBorders>
              <w:top w:val="single" w:sz="8" w:space="0" w:color="auto"/>
              <w:left w:val="nil"/>
              <w:bottom w:val="single" w:sz="8" w:space="0" w:color="auto"/>
              <w:right w:val="single" w:sz="8" w:space="0" w:color="auto"/>
            </w:tcBorders>
            <w:shd w:val="clear" w:color="000000" w:fill="CCFFCC"/>
            <w:vAlign w:val="center"/>
            <w:hideMark/>
          </w:tcPr>
          <w:p w:rsidR="008967E4" w:rsidRPr="008967E4" w:rsidRDefault="008967E4" w:rsidP="008967E4">
            <w:pPr>
              <w:jc w:val="center"/>
              <w:rPr>
                <w:rFonts w:ascii="Lucida Bright" w:hAnsi="Lucida Bright" w:cs="Calibri"/>
                <w:b/>
                <w:bCs/>
                <w:color w:val="000000"/>
                <w:sz w:val="14"/>
                <w:szCs w:val="14"/>
                <w:lang w:val="es-ES"/>
              </w:rPr>
            </w:pPr>
            <w:r w:rsidRPr="008967E4">
              <w:rPr>
                <w:rFonts w:ascii="Lucida Bright" w:hAnsi="Lucida Bright" w:cs="Calibri"/>
                <w:b/>
                <w:bCs/>
                <w:color w:val="000000"/>
                <w:sz w:val="14"/>
                <w:szCs w:val="14"/>
                <w:lang w:val="es-ES"/>
              </w:rPr>
              <w:t>Saldo a 31/12/2023</w:t>
            </w:r>
          </w:p>
        </w:tc>
      </w:tr>
      <w:tr w:rsidR="008967E4" w:rsidRPr="008967E4" w:rsidTr="008967E4">
        <w:trPr>
          <w:trHeight w:val="525"/>
        </w:trPr>
        <w:tc>
          <w:tcPr>
            <w:tcW w:w="27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967E4" w:rsidRPr="008967E4" w:rsidRDefault="008967E4" w:rsidP="008967E4">
            <w:pPr>
              <w:rPr>
                <w:rFonts w:ascii="Lucida Bright" w:hAnsi="Lucida Bright" w:cs="Calibri"/>
                <w:color w:val="000000"/>
                <w:sz w:val="14"/>
                <w:szCs w:val="14"/>
                <w:lang w:val="es-ES"/>
              </w:rPr>
            </w:pPr>
            <w:r w:rsidRPr="008967E4">
              <w:rPr>
                <w:rFonts w:ascii="Lucida Bright" w:hAnsi="Lucida Bright" w:cs="Calibri"/>
                <w:color w:val="000000"/>
                <w:sz w:val="14"/>
                <w:szCs w:val="14"/>
                <w:lang w:val="es-ES"/>
              </w:rPr>
              <w:t>Construcciones destinadas a uso deportivo (reversión concesión GESA)</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967E4" w:rsidRPr="008967E4" w:rsidRDefault="008967E4" w:rsidP="008967E4">
            <w:pPr>
              <w:jc w:val="right"/>
              <w:rPr>
                <w:rFonts w:ascii="Lucida Bright" w:hAnsi="Lucida Bright" w:cs="Calibri"/>
                <w:color w:val="000000"/>
                <w:sz w:val="14"/>
                <w:szCs w:val="14"/>
                <w:lang w:val="es-ES"/>
              </w:rPr>
            </w:pPr>
            <w:r w:rsidRPr="008967E4">
              <w:rPr>
                <w:rFonts w:ascii="Lucida Bright" w:hAnsi="Lucida Bright" w:cs="Calibri"/>
                <w:color w:val="000000"/>
                <w:sz w:val="14"/>
                <w:szCs w:val="14"/>
                <w:lang w:val="es-ES"/>
              </w:rPr>
              <w:t xml:space="preserve">777.799,02 </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8967E4" w:rsidRPr="008967E4" w:rsidRDefault="008967E4" w:rsidP="008967E4">
            <w:pPr>
              <w:rPr>
                <w:rFonts w:ascii="Lucida Bright" w:hAnsi="Lucida Bright" w:cs="Calibri"/>
                <w:color w:val="000000"/>
                <w:sz w:val="14"/>
                <w:szCs w:val="14"/>
                <w:lang w:val="es-ES"/>
              </w:rPr>
            </w:pPr>
            <w:r w:rsidRPr="008967E4">
              <w:rPr>
                <w:rFonts w:ascii="Lucida Bright" w:hAnsi="Lucida Bright" w:cs="Calibri"/>
                <w:color w:val="000000"/>
                <w:sz w:val="14"/>
                <w:szCs w:val="14"/>
                <w:lang w:val="es-ES"/>
              </w:rPr>
              <w:t>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8967E4" w:rsidRPr="008967E4" w:rsidRDefault="008967E4" w:rsidP="008967E4">
            <w:pPr>
              <w:rPr>
                <w:rFonts w:ascii="Lucida Bright" w:hAnsi="Lucida Bright" w:cs="Calibri"/>
                <w:color w:val="000000"/>
                <w:sz w:val="14"/>
                <w:szCs w:val="14"/>
                <w:lang w:val="es-ES"/>
              </w:rPr>
            </w:pPr>
            <w:r w:rsidRPr="008967E4">
              <w:rPr>
                <w:rFonts w:ascii="Lucida Bright" w:hAnsi="Lucida Bright" w:cs="Calibri"/>
                <w:color w:val="000000"/>
                <w:sz w:val="14"/>
                <w:szCs w:val="14"/>
                <w:lang w:val="es-ES"/>
              </w:rPr>
              <w:t>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8967E4" w:rsidRPr="008967E4" w:rsidRDefault="008967E4" w:rsidP="008967E4">
            <w:pPr>
              <w:jc w:val="right"/>
              <w:rPr>
                <w:rFonts w:ascii="Lucida Bright" w:hAnsi="Lucida Bright" w:cs="Calibri"/>
                <w:color w:val="000000"/>
                <w:sz w:val="14"/>
                <w:szCs w:val="14"/>
                <w:lang w:val="es-ES"/>
              </w:rPr>
            </w:pPr>
            <w:r w:rsidRPr="008967E4">
              <w:rPr>
                <w:rFonts w:ascii="Lucida Bright" w:hAnsi="Lucida Bright" w:cs="Calibri"/>
                <w:color w:val="000000"/>
                <w:sz w:val="14"/>
                <w:szCs w:val="14"/>
                <w:lang w:val="es-ES"/>
              </w:rPr>
              <w:t xml:space="preserve">(589,44) </w:t>
            </w:r>
          </w:p>
        </w:tc>
        <w:tc>
          <w:tcPr>
            <w:tcW w:w="120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967E4" w:rsidRPr="008967E4" w:rsidRDefault="008967E4" w:rsidP="008967E4">
            <w:pPr>
              <w:jc w:val="right"/>
              <w:rPr>
                <w:rFonts w:ascii="Lucida Bright" w:hAnsi="Lucida Bright" w:cs="Calibri"/>
                <w:color w:val="000000"/>
                <w:sz w:val="14"/>
                <w:szCs w:val="14"/>
                <w:lang w:val="es-ES"/>
              </w:rPr>
            </w:pPr>
            <w:r w:rsidRPr="008967E4">
              <w:rPr>
                <w:rFonts w:ascii="Lucida Bright" w:hAnsi="Lucida Bright" w:cs="Calibri"/>
                <w:color w:val="000000"/>
                <w:sz w:val="14"/>
                <w:szCs w:val="14"/>
                <w:lang w:val="es-ES"/>
              </w:rPr>
              <w:t xml:space="preserve">777.209,58 </w:t>
            </w:r>
          </w:p>
        </w:tc>
      </w:tr>
      <w:tr w:rsidR="008967E4" w:rsidRPr="008967E4" w:rsidTr="008967E4">
        <w:trPr>
          <w:trHeight w:val="525"/>
        </w:trPr>
        <w:tc>
          <w:tcPr>
            <w:tcW w:w="27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967E4" w:rsidRPr="008967E4" w:rsidRDefault="008967E4" w:rsidP="008967E4">
            <w:pPr>
              <w:rPr>
                <w:rFonts w:ascii="Lucida Bright" w:hAnsi="Lucida Bright" w:cs="Calibri"/>
                <w:color w:val="000000"/>
                <w:sz w:val="14"/>
                <w:szCs w:val="14"/>
                <w:lang w:val="es-ES"/>
              </w:rPr>
            </w:pPr>
            <w:r w:rsidRPr="008967E4">
              <w:rPr>
                <w:rFonts w:ascii="Lucida Bright" w:hAnsi="Lucida Bright" w:cs="Calibri"/>
                <w:color w:val="000000"/>
                <w:sz w:val="14"/>
                <w:szCs w:val="14"/>
                <w:lang w:val="es-ES"/>
              </w:rPr>
              <w:t xml:space="preserve">Reversión obras e instalaciones de La </w:t>
            </w:r>
            <w:proofErr w:type="spellStart"/>
            <w:r w:rsidRPr="008967E4">
              <w:rPr>
                <w:rFonts w:ascii="Lucida Bright" w:hAnsi="Lucida Bright" w:cs="Calibri"/>
                <w:color w:val="000000"/>
                <w:sz w:val="14"/>
                <w:szCs w:val="14"/>
                <w:lang w:val="es-ES"/>
              </w:rPr>
              <w:t>Savina</w:t>
            </w:r>
            <w:proofErr w:type="spellEnd"/>
            <w:r w:rsidRPr="008967E4">
              <w:rPr>
                <w:rFonts w:ascii="Lucida Bright" w:hAnsi="Lucida Bright" w:cs="Calibri"/>
                <w:color w:val="000000"/>
                <w:sz w:val="14"/>
                <w:szCs w:val="14"/>
                <w:lang w:val="es-ES"/>
              </w:rPr>
              <w:t xml:space="preserve"> (GSP 110 - EM 584)</w:t>
            </w:r>
          </w:p>
        </w:tc>
        <w:tc>
          <w:tcPr>
            <w:tcW w:w="1360" w:type="dxa"/>
            <w:tcBorders>
              <w:top w:val="nil"/>
              <w:left w:val="nil"/>
              <w:bottom w:val="nil"/>
              <w:right w:val="single" w:sz="4" w:space="0" w:color="auto"/>
            </w:tcBorders>
            <w:shd w:val="clear" w:color="auto" w:fill="auto"/>
            <w:noWrap/>
            <w:vAlign w:val="center"/>
            <w:hideMark/>
          </w:tcPr>
          <w:p w:rsidR="008967E4" w:rsidRPr="008967E4" w:rsidRDefault="008967E4" w:rsidP="008967E4">
            <w:pPr>
              <w:jc w:val="right"/>
              <w:rPr>
                <w:rFonts w:ascii="Lucida Bright" w:hAnsi="Lucida Bright" w:cs="Calibri"/>
                <w:color w:val="000000"/>
                <w:sz w:val="14"/>
                <w:szCs w:val="14"/>
                <w:lang w:val="es-ES"/>
              </w:rPr>
            </w:pPr>
            <w:r w:rsidRPr="008967E4">
              <w:rPr>
                <w:rFonts w:ascii="Lucida Bright" w:hAnsi="Lucida Bright" w:cs="Calibri"/>
                <w:color w:val="000000"/>
                <w:sz w:val="14"/>
                <w:szCs w:val="14"/>
                <w:lang w:val="es-ES"/>
              </w:rPr>
              <w:t xml:space="preserve">1.378.128,53 </w:t>
            </w:r>
          </w:p>
        </w:tc>
        <w:tc>
          <w:tcPr>
            <w:tcW w:w="1220" w:type="dxa"/>
            <w:tcBorders>
              <w:top w:val="nil"/>
              <w:left w:val="nil"/>
              <w:bottom w:val="nil"/>
              <w:right w:val="single" w:sz="4" w:space="0" w:color="auto"/>
            </w:tcBorders>
            <w:shd w:val="clear" w:color="auto" w:fill="auto"/>
            <w:noWrap/>
            <w:vAlign w:val="center"/>
            <w:hideMark/>
          </w:tcPr>
          <w:p w:rsidR="008967E4" w:rsidRPr="008967E4" w:rsidRDefault="008967E4" w:rsidP="008967E4">
            <w:pPr>
              <w:jc w:val="right"/>
              <w:rPr>
                <w:rFonts w:ascii="Lucida Bright" w:hAnsi="Lucida Bright" w:cs="Calibri"/>
                <w:color w:val="000000"/>
                <w:sz w:val="14"/>
                <w:szCs w:val="14"/>
                <w:lang w:val="es-ES"/>
              </w:rPr>
            </w:pPr>
            <w:r w:rsidRPr="008967E4">
              <w:rPr>
                <w:rFonts w:ascii="Lucida Bright" w:hAnsi="Lucida Bright" w:cs="Calibri"/>
                <w:color w:val="000000"/>
                <w:sz w:val="14"/>
                <w:szCs w:val="14"/>
                <w:lang w:val="es-ES"/>
              </w:rPr>
              <w:t> </w:t>
            </w:r>
          </w:p>
        </w:tc>
        <w:tc>
          <w:tcPr>
            <w:tcW w:w="1200" w:type="dxa"/>
            <w:tcBorders>
              <w:top w:val="nil"/>
              <w:left w:val="nil"/>
              <w:bottom w:val="nil"/>
              <w:right w:val="single" w:sz="4" w:space="0" w:color="auto"/>
            </w:tcBorders>
            <w:shd w:val="clear" w:color="auto" w:fill="auto"/>
            <w:noWrap/>
            <w:vAlign w:val="center"/>
            <w:hideMark/>
          </w:tcPr>
          <w:p w:rsidR="008967E4" w:rsidRPr="008967E4" w:rsidRDefault="008967E4" w:rsidP="008967E4">
            <w:pPr>
              <w:jc w:val="right"/>
              <w:rPr>
                <w:rFonts w:ascii="Lucida Bright" w:hAnsi="Lucida Bright" w:cs="Calibri"/>
                <w:color w:val="000000"/>
                <w:sz w:val="14"/>
                <w:szCs w:val="14"/>
                <w:lang w:val="es-ES"/>
              </w:rPr>
            </w:pPr>
            <w:r w:rsidRPr="008967E4">
              <w:rPr>
                <w:rFonts w:ascii="Lucida Bright" w:hAnsi="Lucida Bright" w:cs="Calibri"/>
                <w:color w:val="000000"/>
                <w:sz w:val="14"/>
                <w:szCs w:val="14"/>
                <w:lang w:val="es-ES"/>
              </w:rPr>
              <w:t> </w:t>
            </w:r>
          </w:p>
        </w:tc>
        <w:tc>
          <w:tcPr>
            <w:tcW w:w="1360" w:type="dxa"/>
            <w:tcBorders>
              <w:top w:val="nil"/>
              <w:left w:val="nil"/>
              <w:bottom w:val="nil"/>
              <w:right w:val="single" w:sz="4" w:space="0" w:color="auto"/>
            </w:tcBorders>
            <w:shd w:val="clear" w:color="auto" w:fill="auto"/>
            <w:noWrap/>
            <w:vAlign w:val="center"/>
            <w:hideMark/>
          </w:tcPr>
          <w:p w:rsidR="008967E4" w:rsidRPr="008967E4" w:rsidRDefault="008967E4" w:rsidP="008967E4">
            <w:pPr>
              <w:jc w:val="right"/>
              <w:rPr>
                <w:rFonts w:ascii="Lucida Bright" w:hAnsi="Lucida Bright" w:cs="Calibri"/>
                <w:color w:val="000000"/>
                <w:sz w:val="14"/>
                <w:szCs w:val="14"/>
                <w:lang w:val="es-ES"/>
              </w:rPr>
            </w:pPr>
            <w:r w:rsidRPr="008967E4">
              <w:rPr>
                <w:rFonts w:ascii="Lucida Bright" w:hAnsi="Lucida Bright" w:cs="Calibri"/>
                <w:color w:val="000000"/>
                <w:sz w:val="14"/>
                <w:szCs w:val="14"/>
                <w:lang w:val="es-ES"/>
              </w:rPr>
              <w:t xml:space="preserve">(120.675,01) </w:t>
            </w:r>
          </w:p>
        </w:tc>
        <w:tc>
          <w:tcPr>
            <w:tcW w:w="1200" w:type="dxa"/>
            <w:tcBorders>
              <w:top w:val="nil"/>
              <w:left w:val="single" w:sz="4" w:space="0" w:color="auto"/>
              <w:bottom w:val="nil"/>
              <w:right w:val="single" w:sz="8" w:space="0" w:color="auto"/>
            </w:tcBorders>
            <w:shd w:val="clear" w:color="auto" w:fill="auto"/>
            <w:noWrap/>
            <w:vAlign w:val="center"/>
            <w:hideMark/>
          </w:tcPr>
          <w:p w:rsidR="008967E4" w:rsidRPr="008967E4" w:rsidRDefault="008967E4" w:rsidP="008967E4">
            <w:pPr>
              <w:jc w:val="right"/>
              <w:rPr>
                <w:rFonts w:ascii="Lucida Bright" w:hAnsi="Lucida Bright" w:cs="Calibri"/>
                <w:color w:val="000000"/>
                <w:sz w:val="14"/>
                <w:szCs w:val="14"/>
                <w:lang w:val="es-ES"/>
              </w:rPr>
            </w:pPr>
            <w:r w:rsidRPr="008967E4">
              <w:rPr>
                <w:rFonts w:ascii="Lucida Bright" w:hAnsi="Lucida Bright" w:cs="Calibri"/>
                <w:color w:val="000000"/>
                <w:sz w:val="14"/>
                <w:szCs w:val="14"/>
                <w:lang w:val="es-ES"/>
              </w:rPr>
              <w:t xml:space="preserve">1.257.453,52 </w:t>
            </w:r>
          </w:p>
        </w:tc>
      </w:tr>
      <w:tr w:rsidR="008967E4" w:rsidRPr="008967E4" w:rsidTr="008967E4">
        <w:trPr>
          <w:trHeight w:val="525"/>
        </w:trPr>
        <w:tc>
          <w:tcPr>
            <w:tcW w:w="27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967E4" w:rsidRPr="008967E4" w:rsidRDefault="008967E4" w:rsidP="008967E4">
            <w:pPr>
              <w:rPr>
                <w:rFonts w:ascii="Lucida Bright" w:hAnsi="Lucida Bright" w:cs="Calibri"/>
                <w:color w:val="000000"/>
                <w:sz w:val="14"/>
                <w:szCs w:val="14"/>
                <w:lang w:val="es-ES"/>
              </w:rPr>
            </w:pPr>
            <w:r w:rsidRPr="008967E4">
              <w:rPr>
                <w:rFonts w:ascii="Lucida Bright" w:hAnsi="Lucida Bright" w:cs="Calibri"/>
                <w:color w:val="000000"/>
                <w:sz w:val="14"/>
                <w:szCs w:val="14"/>
                <w:lang w:val="es-ES"/>
              </w:rPr>
              <w:t>Reversión Caseta Obra Puerto de Ibiza 901 CPG</w:t>
            </w:r>
          </w:p>
        </w:tc>
        <w:tc>
          <w:tcPr>
            <w:tcW w:w="1360" w:type="dxa"/>
            <w:tcBorders>
              <w:top w:val="single" w:sz="4" w:space="0" w:color="000000"/>
              <w:left w:val="nil"/>
              <w:bottom w:val="single" w:sz="8" w:space="0" w:color="auto"/>
              <w:right w:val="single" w:sz="4" w:space="0" w:color="auto"/>
            </w:tcBorders>
            <w:shd w:val="clear" w:color="auto" w:fill="auto"/>
            <w:noWrap/>
            <w:vAlign w:val="center"/>
            <w:hideMark/>
          </w:tcPr>
          <w:p w:rsidR="008967E4" w:rsidRPr="008967E4" w:rsidRDefault="008967E4" w:rsidP="008967E4">
            <w:pPr>
              <w:jc w:val="right"/>
              <w:rPr>
                <w:rFonts w:ascii="Lucida Bright" w:hAnsi="Lucida Bright" w:cs="Calibri"/>
                <w:color w:val="000000"/>
                <w:sz w:val="14"/>
                <w:szCs w:val="14"/>
                <w:lang w:val="es-ES"/>
              </w:rPr>
            </w:pPr>
            <w:r w:rsidRPr="008967E4">
              <w:rPr>
                <w:rFonts w:ascii="Lucida Bright" w:hAnsi="Lucida Bright" w:cs="Calibri"/>
                <w:color w:val="000000"/>
                <w:sz w:val="14"/>
                <w:szCs w:val="14"/>
                <w:lang w:val="es-ES"/>
              </w:rPr>
              <w:t xml:space="preserve">15.497,31 </w:t>
            </w:r>
          </w:p>
        </w:tc>
        <w:tc>
          <w:tcPr>
            <w:tcW w:w="1220" w:type="dxa"/>
            <w:tcBorders>
              <w:top w:val="single" w:sz="4" w:space="0" w:color="000000"/>
              <w:left w:val="nil"/>
              <w:bottom w:val="single" w:sz="8" w:space="0" w:color="auto"/>
              <w:right w:val="single" w:sz="4" w:space="0" w:color="auto"/>
            </w:tcBorders>
            <w:shd w:val="clear" w:color="auto" w:fill="auto"/>
            <w:noWrap/>
            <w:vAlign w:val="center"/>
            <w:hideMark/>
          </w:tcPr>
          <w:p w:rsidR="008967E4" w:rsidRPr="008967E4" w:rsidRDefault="008967E4" w:rsidP="008967E4">
            <w:pPr>
              <w:jc w:val="right"/>
              <w:rPr>
                <w:rFonts w:ascii="Lucida Bright" w:hAnsi="Lucida Bright" w:cs="Calibri"/>
                <w:color w:val="000000"/>
                <w:sz w:val="14"/>
                <w:szCs w:val="14"/>
                <w:lang w:val="es-ES"/>
              </w:rPr>
            </w:pPr>
            <w:r w:rsidRPr="008967E4">
              <w:rPr>
                <w:rFonts w:ascii="Lucida Bright" w:hAnsi="Lucida Bright" w:cs="Calibri"/>
                <w:color w:val="000000"/>
                <w:sz w:val="14"/>
                <w:szCs w:val="14"/>
                <w:lang w:val="es-ES"/>
              </w:rPr>
              <w:t> </w:t>
            </w:r>
          </w:p>
        </w:tc>
        <w:tc>
          <w:tcPr>
            <w:tcW w:w="1200" w:type="dxa"/>
            <w:tcBorders>
              <w:top w:val="single" w:sz="4" w:space="0" w:color="000000"/>
              <w:left w:val="nil"/>
              <w:bottom w:val="single" w:sz="8" w:space="0" w:color="auto"/>
              <w:right w:val="single" w:sz="4" w:space="0" w:color="auto"/>
            </w:tcBorders>
            <w:shd w:val="clear" w:color="auto" w:fill="auto"/>
            <w:noWrap/>
            <w:vAlign w:val="center"/>
            <w:hideMark/>
          </w:tcPr>
          <w:p w:rsidR="008967E4" w:rsidRPr="008967E4" w:rsidRDefault="008967E4" w:rsidP="008967E4">
            <w:pPr>
              <w:jc w:val="right"/>
              <w:rPr>
                <w:rFonts w:ascii="Lucida Bright" w:hAnsi="Lucida Bright" w:cs="Calibri"/>
                <w:color w:val="000000"/>
                <w:sz w:val="14"/>
                <w:szCs w:val="14"/>
                <w:lang w:val="es-ES"/>
              </w:rPr>
            </w:pPr>
            <w:r w:rsidRPr="008967E4">
              <w:rPr>
                <w:rFonts w:ascii="Lucida Bright" w:hAnsi="Lucida Bright" w:cs="Calibri"/>
                <w:color w:val="000000"/>
                <w:sz w:val="14"/>
                <w:szCs w:val="14"/>
                <w:lang w:val="es-ES"/>
              </w:rPr>
              <w:t> </w:t>
            </w:r>
          </w:p>
        </w:tc>
        <w:tc>
          <w:tcPr>
            <w:tcW w:w="1360" w:type="dxa"/>
            <w:tcBorders>
              <w:top w:val="single" w:sz="4" w:space="0" w:color="000000"/>
              <w:left w:val="nil"/>
              <w:bottom w:val="single" w:sz="8" w:space="0" w:color="auto"/>
              <w:right w:val="single" w:sz="4" w:space="0" w:color="auto"/>
            </w:tcBorders>
            <w:shd w:val="clear" w:color="auto" w:fill="auto"/>
            <w:noWrap/>
            <w:vAlign w:val="center"/>
            <w:hideMark/>
          </w:tcPr>
          <w:p w:rsidR="008967E4" w:rsidRPr="008967E4" w:rsidRDefault="008967E4" w:rsidP="008967E4">
            <w:pPr>
              <w:jc w:val="right"/>
              <w:rPr>
                <w:rFonts w:ascii="Lucida Bright" w:hAnsi="Lucida Bright" w:cs="Calibri"/>
                <w:color w:val="000000"/>
                <w:sz w:val="14"/>
                <w:szCs w:val="14"/>
                <w:lang w:val="es-ES"/>
              </w:rPr>
            </w:pPr>
            <w:r w:rsidRPr="008967E4">
              <w:rPr>
                <w:rFonts w:ascii="Lucida Bright" w:hAnsi="Lucida Bright" w:cs="Calibri"/>
                <w:color w:val="000000"/>
                <w:sz w:val="14"/>
                <w:szCs w:val="14"/>
                <w:lang w:val="es-ES"/>
              </w:rPr>
              <w:t xml:space="preserve">(329,76) </w:t>
            </w:r>
          </w:p>
        </w:tc>
        <w:tc>
          <w:tcPr>
            <w:tcW w:w="1200" w:type="dxa"/>
            <w:tcBorders>
              <w:top w:val="single" w:sz="4" w:space="0" w:color="000000"/>
              <w:left w:val="nil"/>
              <w:bottom w:val="single" w:sz="8" w:space="0" w:color="auto"/>
              <w:right w:val="single" w:sz="8" w:space="0" w:color="auto"/>
            </w:tcBorders>
            <w:shd w:val="clear" w:color="auto" w:fill="auto"/>
            <w:noWrap/>
            <w:vAlign w:val="center"/>
            <w:hideMark/>
          </w:tcPr>
          <w:p w:rsidR="008967E4" w:rsidRPr="008967E4" w:rsidRDefault="008967E4" w:rsidP="008967E4">
            <w:pPr>
              <w:jc w:val="right"/>
              <w:rPr>
                <w:rFonts w:ascii="Lucida Bright" w:hAnsi="Lucida Bright" w:cs="Calibri"/>
                <w:color w:val="000000"/>
                <w:sz w:val="14"/>
                <w:szCs w:val="14"/>
                <w:lang w:val="es-ES"/>
              </w:rPr>
            </w:pPr>
            <w:r w:rsidRPr="008967E4">
              <w:rPr>
                <w:rFonts w:ascii="Lucida Bright" w:hAnsi="Lucida Bright" w:cs="Calibri"/>
                <w:color w:val="000000"/>
                <w:sz w:val="14"/>
                <w:szCs w:val="14"/>
                <w:lang w:val="es-ES"/>
              </w:rPr>
              <w:t xml:space="preserve">15.167,55 </w:t>
            </w:r>
          </w:p>
        </w:tc>
      </w:tr>
      <w:tr w:rsidR="008967E4" w:rsidRPr="008967E4" w:rsidTr="008967E4">
        <w:trPr>
          <w:trHeight w:val="315"/>
        </w:trPr>
        <w:tc>
          <w:tcPr>
            <w:tcW w:w="2213" w:type="dxa"/>
            <w:tcBorders>
              <w:top w:val="nil"/>
              <w:left w:val="single" w:sz="8" w:space="0" w:color="auto"/>
              <w:bottom w:val="single" w:sz="8" w:space="0" w:color="auto"/>
              <w:right w:val="nil"/>
            </w:tcBorders>
            <w:shd w:val="clear" w:color="auto" w:fill="auto"/>
            <w:noWrap/>
            <w:vAlign w:val="center"/>
            <w:hideMark/>
          </w:tcPr>
          <w:p w:rsidR="008967E4" w:rsidRPr="008967E4" w:rsidRDefault="008967E4" w:rsidP="008967E4">
            <w:pPr>
              <w:rPr>
                <w:rFonts w:ascii="Lucida Bright" w:hAnsi="Lucida Bright" w:cs="Calibri"/>
                <w:b/>
                <w:bCs/>
                <w:color w:val="000000"/>
                <w:sz w:val="14"/>
                <w:szCs w:val="14"/>
                <w:lang w:val="es-ES"/>
              </w:rPr>
            </w:pPr>
            <w:r w:rsidRPr="008967E4">
              <w:rPr>
                <w:rFonts w:ascii="Lucida Bright" w:hAnsi="Lucida Bright" w:cs="Calibri"/>
                <w:b/>
                <w:bCs/>
                <w:color w:val="000000"/>
                <w:sz w:val="14"/>
                <w:szCs w:val="14"/>
                <w:lang w:val="es-ES"/>
              </w:rPr>
              <w:t>Total</w:t>
            </w:r>
          </w:p>
        </w:tc>
        <w:tc>
          <w:tcPr>
            <w:tcW w:w="254" w:type="dxa"/>
            <w:tcBorders>
              <w:top w:val="nil"/>
              <w:left w:val="nil"/>
              <w:bottom w:val="single" w:sz="8" w:space="0" w:color="auto"/>
              <w:right w:val="nil"/>
            </w:tcBorders>
            <w:shd w:val="clear" w:color="auto" w:fill="auto"/>
            <w:noWrap/>
            <w:vAlign w:val="center"/>
            <w:hideMark/>
          </w:tcPr>
          <w:p w:rsidR="008967E4" w:rsidRPr="008967E4" w:rsidRDefault="008967E4" w:rsidP="008967E4">
            <w:pPr>
              <w:rPr>
                <w:rFonts w:ascii="Lucida Bright" w:hAnsi="Lucida Bright" w:cs="Calibri"/>
                <w:color w:val="000000"/>
                <w:sz w:val="14"/>
                <w:szCs w:val="14"/>
                <w:lang w:val="es-ES"/>
              </w:rPr>
            </w:pPr>
            <w:r w:rsidRPr="008967E4">
              <w:rPr>
                <w:rFonts w:ascii="Lucida Bright" w:hAnsi="Lucida Bright" w:cs="Calibri"/>
                <w:color w:val="000000"/>
                <w:sz w:val="14"/>
                <w:szCs w:val="14"/>
                <w:lang w:val="es-ES"/>
              </w:rPr>
              <w:t> </w:t>
            </w:r>
          </w:p>
        </w:tc>
        <w:tc>
          <w:tcPr>
            <w:tcW w:w="313" w:type="dxa"/>
            <w:tcBorders>
              <w:top w:val="nil"/>
              <w:left w:val="nil"/>
              <w:bottom w:val="single" w:sz="8" w:space="0" w:color="auto"/>
              <w:right w:val="single" w:sz="8" w:space="0" w:color="auto"/>
            </w:tcBorders>
            <w:shd w:val="clear" w:color="auto" w:fill="auto"/>
            <w:noWrap/>
            <w:vAlign w:val="center"/>
            <w:hideMark/>
          </w:tcPr>
          <w:p w:rsidR="008967E4" w:rsidRPr="008967E4" w:rsidRDefault="008967E4" w:rsidP="008967E4">
            <w:pPr>
              <w:rPr>
                <w:rFonts w:ascii="Lucida Bright" w:hAnsi="Lucida Bright" w:cs="Calibri"/>
                <w:color w:val="000000"/>
                <w:sz w:val="14"/>
                <w:szCs w:val="14"/>
                <w:lang w:val="es-ES"/>
              </w:rPr>
            </w:pPr>
            <w:r w:rsidRPr="008967E4">
              <w:rPr>
                <w:rFonts w:ascii="Lucida Bright" w:hAnsi="Lucida Bright" w:cs="Calibri"/>
                <w:color w:val="000000"/>
                <w:sz w:val="14"/>
                <w:szCs w:val="14"/>
                <w:lang w:val="es-ES"/>
              </w:rPr>
              <w:t> </w:t>
            </w:r>
          </w:p>
        </w:tc>
        <w:tc>
          <w:tcPr>
            <w:tcW w:w="1360" w:type="dxa"/>
            <w:tcBorders>
              <w:top w:val="nil"/>
              <w:left w:val="nil"/>
              <w:bottom w:val="single" w:sz="8" w:space="0" w:color="auto"/>
              <w:right w:val="single" w:sz="8" w:space="0" w:color="auto"/>
            </w:tcBorders>
            <w:shd w:val="clear" w:color="auto" w:fill="auto"/>
            <w:noWrap/>
            <w:vAlign w:val="center"/>
            <w:hideMark/>
          </w:tcPr>
          <w:p w:rsidR="008967E4" w:rsidRPr="008967E4" w:rsidRDefault="008967E4" w:rsidP="008967E4">
            <w:pPr>
              <w:jc w:val="right"/>
              <w:rPr>
                <w:rFonts w:ascii="Lucida Bright" w:hAnsi="Lucida Bright" w:cs="Calibri"/>
                <w:b/>
                <w:bCs/>
                <w:color w:val="000000"/>
                <w:sz w:val="14"/>
                <w:szCs w:val="14"/>
                <w:lang w:val="es-ES"/>
              </w:rPr>
            </w:pPr>
            <w:r w:rsidRPr="008967E4">
              <w:rPr>
                <w:rFonts w:ascii="Lucida Bright" w:hAnsi="Lucida Bright" w:cs="Calibri"/>
                <w:b/>
                <w:bCs/>
                <w:color w:val="000000"/>
                <w:sz w:val="14"/>
                <w:szCs w:val="14"/>
                <w:lang w:val="es-ES"/>
              </w:rPr>
              <w:t xml:space="preserve">2.171.424,86 </w:t>
            </w:r>
          </w:p>
        </w:tc>
        <w:tc>
          <w:tcPr>
            <w:tcW w:w="1220" w:type="dxa"/>
            <w:tcBorders>
              <w:top w:val="nil"/>
              <w:left w:val="nil"/>
              <w:bottom w:val="single" w:sz="8" w:space="0" w:color="auto"/>
              <w:right w:val="single" w:sz="8" w:space="0" w:color="auto"/>
            </w:tcBorders>
            <w:shd w:val="clear" w:color="auto" w:fill="auto"/>
            <w:noWrap/>
            <w:vAlign w:val="center"/>
            <w:hideMark/>
          </w:tcPr>
          <w:p w:rsidR="008967E4" w:rsidRPr="008967E4" w:rsidRDefault="008967E4" w:rsidP="008967E4">
            <w:pPr>
              <w:jc w:val="right"/>
              <w:rPr>
                <w:rFonts w:ascii="Lucida Bright" w:hAnsi="Lucida Bright" w:cs="Calibri"/>
                <w:b/>
                <w:bCs/>
                <w:color w:val="000000"/>
                <w:sz w:val="14"/>
                <w:szCs w:val="14"/>
                <w:lang w:val="es-ES"/>
              </w:rPr>
            </w:pPr>
            <w:r w:rsidRPr="008967E4">
              <w:rPr>
                <w:rFonts w:ascii="Lucida Bright" w:hAnsi="Lucida Bright" w:cs="Calibri"/>
                <w:b/>
                <w:bCs/>
                <w:color w:val="000000"/>
                <w:sz w:val="14"/>
                <w:szCs w:val="14"/>
                <w:lang w:val="es-ES"/>
              </w:rPr>
              <w:t> </w:t>
            </w:r>
          </w:p>
        </w:tc>
        <w:tc>
          <w:tcPr>
            <w:tcW w:w="1200" w:type="dxa"/>
            <w:tcBorders>
              <w:top w:val="nil"/>
              <w:left w:val="nil"/>
              <w:bottom w:val="single" w:sz="8" w:space="0" w:color="auto"/>
              <w:right w:val="single" w:sz="8" w:space="0" w:color="auto"/>
            </w:tcBorders>
            <w:shd w:val="clear" w:color="auto" w:fill="auto"/>
            <w:noWrap/>
            <w:vAlign w:val="center"/>
            <w:hideMark/>
          </w:tcPr>
          <w:p w:rsidR="008967E4" w:rsidRPr="008967E4" w:rsidRDefault="008967E4" w:rsidP="008967E4">
            <w:pPr>
              <w:jc w:val="right"/>
              <w:rPr>
                <w:rFonts w:ascii="Lucida Bright" w:hAnsi="Lucida Bright" w:cs="Calibri"/>
                <w:b/>
                <w:bCs/>
                <w:color w:val="000000"/>
                <w:sz w:val="14"/>
                <w:szCs w:val="14"/>
                <w:lang w:val="es-ES"/>
              </w:rPr>
            </w:pPr>
            <w:r w:rsidRPr="008967E4">
              <w:rPr>
                <w:rFonts w:ascii="Lucida Bright" w:hAnsi="Lucida Bright" w:cs="Calibri"/>
                <w:b/>
                <w:bCs/>
                <w:color w:val="000000"/>
                <w:sz w:val="14"/>
                <w:szCs w:val="14"/>
                <w:lang w:val="es-ES"/>
              </w:rPr>
              <w:t> </w:t>
            </w:r>
          </w:p>
        </w:tc>
        <w:tc>
          <w:tcPr>
            <w:tcW w:w="1360" w:type="dxa"/>
            <w:tcBorders>
              <w:top w:val="nil"/>
              <w:left w:val="nil"/>
              <w:bottom w:val="single" w:sz="8" w:space="0" w:color="auto"/>
              <w:right w:val="single" w:sz="8" w:space="0" w:color="auto"/>
            </w:tcBorders>
            <w:shd w:val="clear" w:color="auto" w:fill="auto"/>
            <w:noWrap/>
            <w:vAlign w:val="center"/>
            <w:hideMark/>
          </w:tcPr>
          <w:p w:rsidR="008967E4" w:rsidRPr="008967E4" w:rsidRDefault="008967E4" w:rsidP="008967E4">
            <w:pPr>
              <w:jc w:val="right"/>
              <w:rPr>
                <w:rFonts w:ascii="Lucida Bright" w:hAnsi="Lucida Bright" w:cs="Calibri"/>
                <w:b/>
                <w:bCs/>
                <w:color w:val="000000"/>
                <w:sz w:val="14"/>
                <w:szCs w:val="14"/>
                <w:lang w:val="es-ES"/>
              </w:rPr>
            </w:pPr>
            <w:r w:rsidRPr="008967E4">
              <w:rPr>
                <w:rFonts w:ascii="Lucida Bright" w:hAnsi="Lucida Bright" w:cs="Calibri"/>
                <w:b/>
                <w:bCs/>
                <w:color w:val="000000"/>
                <w:sz w:val="14"/>
                <w:szCs w:val="14"/>
                <w:lang w:val="es-ES"/>
              </w:rPr>
              <w:t xml:space="preserve">(121.594,21) </w:t>
            </w:r>
          </w:p>
        </w:tc>
        <w:tc>
          <w:tcPr>
            <w:tcW w:w="1200" w:type="dxa"/>
            <w:tcBorders>
              <w:top w:val="nil"/>
              <w:left w:val="nil"/>
              <w:bottom w:val="single" w:sz="8" w:space="0" w:color="auto"/>
              <w:right w:val="single" w:sz="8" w:space="0" w:color="auto"/>
            </w:tcBorders>
            <w:shd w:val="clear" w:color="auto" w:fill="auto"/>
            <w:noWrap/>
            <w:vAlign w:val="center"/>
            <w:hideMark/>
          </w:tcPr>
          <w:p w:rsidR="008967E4" w:rsidRPr="008967E4" w:rsidRDefault="008967E4" w:rsidP="008967E4">
            <w:pPr>
              <w:jc w:val="right"/>
              <w:rPr>
                <w:rFonts w:ascii="Lucida Bright" w:hAnsi="Lucida Bright" w:cs="Calibri"/>
                <w:b/>
                <w:bCs/>
                <w:color w:val="000000"/>
                <w:sz w:val="14"/>
                <w:szCs w:val="14"/>
                <w:lang w:val="es-ES"/>
              </w:rPr>
            </w:pPr>
            <w:r w:rsidRPr="008967E4">
              <w:rPr>
                <w:rFonts w:ascii="Lucida Bright" w:hAnsi="Lucida Bright" w:cs="Calibri"/>
                <w:b/>
                <w:bCs/>
                <w:color w:val="000000"/>
                <w:sz w:val="14"/>
                <w:szCs w:val="14"/>
                <w:lang w:val="es-ES"/>
              </w:rPr>
              <w:t xml:space="preserve">2.049.830,65 </w:t>
            </w:r>
          </w:p>
        </w:tc>
      </w:tr>
    </w:tbl>
    <w:p w:rsidR="00D62C98" w:rsidRDefault="00D62C98" w:rsidP="00D62C98">
      <w:pPr>
        <w:tabs>
          <w:tab w:val="right" w:pos="8364"/>
        </w:tabs>
        <w:jc w:val="both"/>
        <w:rPr>
          <w:bCs/>
        </w:rPr>
      </w:pPr>
    </w:p>
    <w:p w:rsidR="008016E5" w:rsidRPr="00F72B6C" w:rsidRDefault="008016E5" w:rsidP="00D62C98">
      <w:pPr>
        <w:tabs>
          <w:tab w:val="right" w:pos="8364"/>
        </w:tabs>
        <w:jc w:val="both"/>
        <w:rPr>
          <w:bCs/>
        </w:rPr>
      </w:pPr>
    </w:p>
    <w:p w:rsidR="00D62C98" w:rsidRDefault="00D62C98" w:rsidP="00BF22FE">
      <w:pPr>
        <w:tabs>
          <w:tab w:val="right" w:pos="8364"/>
        </w:tabs>
        <w:ind w:firstLine="567"/>
        <w:jc w:val="both"/>
        <w:rPr>
          <w:bCs/>
          <w:sz w:val="24"/>
        </w:rPr>
      </w:pPr>
    </w:p>
    <w:p w:rsidR="006814C6" w:rsidRDefault="006814C6" w:rsidP="00BF22FE">
      <w:pPr>
        <w:tabs>
          <w:tab w:val="right" w:pos="8364"/>
        </w:tabs>
        <w:ind w:firstLine="567"/>
        <w:jc w:val="both"/>
        <w:rPr>
          <w:bCs/>
          <w:sz w:val="24"/>
        </w:rPr>
      </w:pPr>
    </w:p>
    <w:p w:rsidR="006814C6" w:rsidRDefault="006814C6" w:rsidP="00BF22FE">
      <w:pPr>
        <w:tabs>
          <w:tab w:val="right" w:pos="8364"/>
        </w:tabs>
        <w:ind w:firstLine="567"/>
        <w:jc w:val="both"/>
        <w:rPr>
          <w:bCs/>
          <w:sz w:val="24"/>
        </w:rPr>
      </w:pPr>
    </w:p>
    <w:p w:rsidR="006814C6" w:rsidRDefault="006814C6" w:rsidP="00BF22FE">
      <w:pPr>
        <w:tabs>
          <w:tab w:val="right" w:pos="8364"/>
        </w:tabs>
        <w:ind w:firstLine="567"/>
        <w:jc w:val="both"/>
        <w:rPr>
          <w:bCs/>
          <w:sz w:val="24"/>
        </w:rPr>
      </w:pPr>
    </w:p>
    <w:p w:rsidR="006814C6" w:rsidRDefault="006814C6" w:rsidP="00BF22FE">
      <w:pPr>
        <w:tabs>
          <w:tab w:val="right" w:pos="8364"/>
        </w:tabs>
        <w:ind w:firstLine="567"/>
        <w:jc w:val="both"/>
        <w:rPr>
          <w:bCs/>
          <w:sz w:val="24"/>
        </w:rPr>
      </w:pPr>
    </w:p>
    <w:p w:rsidR="006814C6" w:rsidRDefault="006814C6" w:rsidP="00BF22FE">
      <w:pPr>
        <w:tabs>
          <w:tab w:val="right" w:pos="8364"/>
        </w:tabs>
        <w:ind w:firstLine="567"/>
        <w:jc w:val="both"/>
        <w:rPr>
          <w:bCs/>
          <w:sz w:val="24"/>
        </w:rPr>
      </w:pPr>
    </w:p>
    <w:p w:rsidR="006814C6" w:rsidRDefault="006814C6" w:rsidP="00BF22FE">
      <w:pPr>
        <w:tabs>
          <w:tab w:val="right" w:pos="8364"/>
        </w:tabs>
        <w:ind w:firstLine="567"/>
        <w:jc w:val="both"/>
        <w:rPr>
          <w:bCs/>
          <w:sz w:val="24"/>
        </w:rPr>
      </w:pPr>
    </w:p>
    <w:p w:rsidR="006814C6" w:rsidRDefault="006814C6" w:rsidP="00BF22FE">
      <w:pPr>
        <w:tabs>
          <w:tab w:val="right" w:pos="8364"/>
        </w:tabs>
        <w:ind w:firstLine="567"/>
        <w:jc w:val="both"/>
        <w:rPr>
          <w:bCs/>
          <w:sz w:val="24"/>
        </w:rPr>
      </w:pPr>
    </w:p>
    <w:p w:rsidR="006814C6" w:rsidRDefault="006814C6" w:rsidP="00BF22FE">
      <w:pPr>
        <w:tabs>
          <w:tab w:val="right" w:pos="8364"/>
        </w:tabs>
        <w:ind w:firstLine="567"/>
        <w:jc w:val="both"/>
        <w:rPr>
          <w:bCs/>
          <w:sz w:val="24"/>
        </w:rPr>
      </w:pPr>
    </w:p>
    <w:p w:rsidR="006814C6" w:rsidRDefault="006814C6" w:rsidP="00BF22FE">
      <w:pPr>
        <w:tabs>
          <w:tab w:val="right" w:pos="8364"/>
        </w:tabs>
        <w:ind w:firstLine="567"/>
        <w:jc w:val="both"/>
        <w:rPr>
          <w:bCs/>
          <w:sz w:val="24"/>
        </w:rPr>
      </w:pPr>
    </w:p>
    <w:p w:rsidR="006814C6" w:rsidRDefault="006814C6" w:rsidP="00BF22FE">
      <w:pPr>
        <w:tabs>
          <w:tab w:val="right" w:pos="8364"/>
        </w:tabs>
        <w:ind w:firstLine="567"/>
        <w:jc w:val="both"/>
        <w:rPr>
          <w:bCs/>
          <w:sz w:val="24"/>
        </w:rPr>
      </w:pPr>
    </w:p>
    <w:p w:rsidR="006814C6" w:rsidRDefault="006814C6" w:rsidP="00BF22FE">
      <w:pPr>
        <w:tabs>
          <w:tab w:val="right" w:pos="8364"/>
        </w:tabs>
        <w:ind w:firstLine="567"/>
        <w:jc w:val="both"/>
        <w:rPr>
          <w:bCs/>
          <w:sz w:val="24"/>
        </w:rPr>
      </w:pPr>
    </w:p>
    <w:p w:rsidR="006814C6" w:rsidRDefault="006814C6" w:rsidP="00BF22FE">
      <w:pPr>
        <w:tabs>
          <w:tab w:val="right" w:pos="8364"/>
        </w:tabs>
        <w:ind w:firstLine="567"/>
        <w:jc w:val="both"/>
        <w:rPr>
          <w:bCs/>
          <w:sz w:val="24"/>
        </w:rPr>
      </w:pPr>
    </w:p>
    <w:p w:rsidR="006814C6" w:rsidRDefault="006814C6" w:rsidP="00BF22FE">
      <w:pPr>
        <w:tabs>
          <w:tab w:val="right" w:pos="8364"/>
        </w:tabs>
        <w:ind w:firstLine="567"/>
        <w:jc w:val="both"/>
        <w:rPr>
          <w:bCs/>
          <w:sz w:val="24"/>
        </w:rPr>
      </w:pPr>
    </w:p>
    <w:p w:rsidR="006814C6" w:rsidRDefault="006814C6" w:rsidP="00BF22FE">
      <w:pPr>
        <w:tabs>
          <w:tab w:val="right" w:pos="8364"/>
        </w:tabs>
        <w:ind w:firstLine="567"/>
        <w:jc w:val="both"/>
        <w:rPr>
          <w:bCs/>
          <w:sz w:val="24"/>
        </w:rPr>
      </w:pPr>
    </w:p>
    <w:p w:rsidR="006814C6" w:rsidRDefault="006814C6" w:rsidP="00BF22FE">
      <w:pPr>
        <w:tabs>
          <w:tab w:val="right" w:pos="8364"/>
        </w:tabs>
        <w:ind w:firstLine="567"/>
        <w:jc w:val="both"/>
        <w:rPr>
          <w:bCs/>
          <w:sz w:val="24"/>
        </w:rPr>
      </w:pPr>
    </w:p>
    <w:p w:rsidR="006814C6" w:rsidRDefault="006814C6" w:rsidP="00BF22FE">
      <w:pPr>
        <w:tabs>
          <w:tab w:val="right" w:pos="8364"/>
        </w:tabs>
        <w:ind w:firstLine="567"/>
        <w:jc w:val="both"/>
        <w:rPr>
          <w:bCs/>
          <w:sz w:val="24"/>
        </w:rPr>
      </w:pPr>
    </w:p>
    <w:p w:rsidR="006814C6" w:rsidRDefault="006814C6" w:rsidP="00BF22FE">
      <w:pPr>
        <w:tabs>
          <w:tab w:val="right" w:pos="8364"/>
        </w:tabs>
        <w:ind w:firstLine="567"/>
        <w:jc w:val="both"/>
        <w:rPr>
          <w:bCs/>
          <w:sz w:val="24"/>
        </w:rPr>
      </w:pPr>
    </w:p>
    <w:p w:rsidR="006814C6" w:rsidRDefault="006814C6" w:rsidP="00BF22FE">
      <w:pPr>
        <w:tabs>
          <w:tab w:val="right" w:pos="8364"/>
        </w:tabs>
        <w:ind w:firstLine="567"/>
        <w:jc w:val="both"/>
        <w:rPr>
          <w:bCs/>
          <w:sz w:val="24"/>
        </w:rPr>
      </w:pPr>
    </w:p>
    <w:p w:rsidR="006814C6" w:rsidRDefault="006814C6" w:rsidP="00BF22FE">
      <w:pPr>
        <w:tabs>
          <w:tab w:val="right" w:pos="8364"/>
        </w:tabs>
        <w:ind w:firstLine="567"/>
        <w:jc w:val="both"/>
        <w:rPr>
          <w:bCs/>
          <w:sz w:val="24"/>
        </w:rPr>
      </w:pPr>
    </w:p>
    <w:p w:rsidR="006814C6" w:rsidRDefault="006814C6" w:rsidP="00BF22FE">
      <w:pPr>
        <w:tabs>
          <w:tab w:val="right" w:pos="8364"/>
        </w:tabs>
        <w:ind w:firstLine="567"/>
        <w:jc w:val="both"/>
        <w:rPr>
          <w:bCs/>
          <w:sz w:val="24"/>
        </w:rPr>
      </w:pPr>
    </w:p>
    <w:p w:rsidR="006814C6" w:rsidRDefault="006814C6" w:rsidP="00BF22FE">
      <w:pPr>
        <w:tabs>
          <w:tab w:val="right" w:pos="8364"/>
        </w:tabs>
        <w:ind w:firstLine="567"/>
        <w:jc w:val="both"/>
        <w:rPr>
          <w:bCs/>
          <w:sz w:val="24"/>
        </w:rPr>
      </w:pPr>
    </w:p>
    <w:p w:rsidR="006814C6" w:rsidRDefault="006814C6" w:rsidP="00BF22FE">
      <w:pPr>
        <w:tabs>
          <w:tab w:val="right" w:pos="8364"/>
        </w:tabs>
        <w:ind w:firstLine="567"/>
        <w:jc w:val="both"/>
        <w:rPr>
          <w:bCs/>
          <w:sz w:val="24"/>
        </w:rPr>
      </w:pPr>
    </w:p>
    <w:p w:rsidR="006F550B" w:rsidRDefault="006F550B" w:rsidP="00BF22FE">
      <w:pPr>
        <w:tabs>
          <w:tab w:val="right" w:pos="8364"/>
        </w:tabs>
        <w:ind w:firstLine="567"/>
        <w:jc w:val="both"/>
        <w:rPr>
          <w:bCs/>
          <w:sz w:val="24"/>
        </w:rPr>
        <w:sectPr w:rsidR="006F550B" w:rsidSect="00790C4F">
          <w:pgSz w:w="11907" w:h="16840" w:code="9"/>
          <w:pgMar w:top="1701" w:right="1418" w:bottom="1701" w:left="1985" w:header="567" w:footer="720" w:gutter="0"/>
          <w:cols w:space="720"/>
          <w:docGrid w:linePitch="272"/>
        </w:sectPr>
      </w:pPr>
    </w:p>
    <w:p w:rsidR="002C4355" w:rsidRPr="00D159DC" w:rsidRDefault="002C4355" w:rsidP="00846803">
      <w:pPr>
        <w:tabs>
          <w:tab w:val="right" w:pos="8364"/>
        </w:tabs>
        <w:ind w:left="567" w:hanging="567"/>
        <w:jc w:val="both"/>
        <w:rPr>
          <w:rFonts w:ascii="NewBaskerville" w:hAnsi="NewBaskerville"/>
          <w:b/>
          <w:bCs/>
          <w:sz w:val="24"/>
          <w:szCs w:val="24"/>
        </w:rPr>
      </w:pPr>
      <w:r w:rsidRPr="00D159DC">
        <w:rPr>
          <w:rFonts w:ascii="NewBaskerville" w:hAnsi="NewBaskerville"/>
          <w:b/>
          <w:bCs/>
          <w:sz w:val="24"/>
          <w:szCs w:val="24"/>
        </w:rPr>
        <w:lastRenderedPageBreak/>
        <w:t>1</w:t>
      </w:r>
      <w:r w:rsidR="00F706A9" w:rsidRPr="00D159DC">
        <w:rPr>
          <w:rFonts w:ascii="NewBaskerville" w:hAnsi="NewBaskerville"/>
          <w:b/>
          <w:bCs/>
          <w:sz w:val="24"/>
          <w:szCs w:val="24"/>
        </w:rPr>
        <w:t>2</w:t>
      </w:r>
      <w:r w:rsidRPr="00D159DC">
        <w:rPr>
          <w:rFonts w:ascii="NewBaskerville" w:hAnsi="NewBaskerville"/>
          <w:b/>
          <w:bCs/>
          <w:sz w:val="24"/>
          <w:szCs w:val="24"/>
        </w:rPr>
        <w:t>. Situación fiscal</w:t>
      </w:r>
    </w:p>
    <w:p w:rsidR="00846803" w:rsidRPr="00846803" w:rsidRDefault="00846803" w:rsidP="00846803">
      <w:pPr>
        <w:tabs>
          <w:tab w:val="right" w:pos="8364"/>
        </w:tabs>
        <w:ind w:left="567" w:hanging="567"/>
        <w:jc w:val="both"/>
        <w:rPr>
          <w:b/>
          <w:u w:val="single"/>
        </w:rPr>
      </w:pPr>
    </w:p>
    <w:p w:rsidR="002C4355" w:rsidRPr="00D55F96" w:rsidRDefault="00707210">
      <w:pPr>
        <w:tabs>
          <w:tab w:val="right" w:pos="8364"/>
        </w:tabs>
        <w:ind w:firstLine="540"/>
        <w:jc w:val="both"/>
        <w:rPr>
          <w:rFonts w:ascii="NewBaskerville" w:hAnsi="NewBaskerville"/>
          <w:bCs/>
        </w:rPr>
      </w:pPr>
      <w:r w:rsidRPr="00D55F96">
        <w:rPr>
          <w:rFonts w:ascii="NewBaskerville" w:hAnsi="NewBaskerville"/>
          <w:bCs/>
        </w:rPr>
        <w:t>El TRLPEM</w:t>
      </w:r>
      <w:r w:rsidR="00CA62A9" w:rsidRPr="00D55F96">
        <w:rPr>
          <w:rFonts w:ascii="NewBaskerville" w:hAnsi="NewBaskerville"/>
          <w:bCs/>
        </w:rPr>
        <w:t xml:space="preserve">M </w:t>
      </w:r>
      <w:r w:rsidR="002C4355" w:rsidRPr="00D55F96">
        <w:rPr>
          <w:rFonts w:ascii="NewBaskerville" w:hAnsi="NewBaskerville"/>
          <w:bCs/>
        </w:rPr>
        <w:t>establece que el régimen tributario de la</w:t>
      </w:r>
      <w:r w:rsidR="005C790F">
        <w:rPr>
          <w:rFonts w:ascii="NewBaskerville" w:hAnsi="NewBaskerville"/>
          <w:bCs/>
        </w:rPr>
        <w:t xml:space="preserve"> </w:t>
      </w:r>
      <w:r w:rsidR="002C4355" w:rsidRPr="00D55F96">
        <w:rPr>
          <w:rFonts w:ascii="NewBaskerville" w:hAnsi="NewBaskerville"/>
          <w:bCs/>
        </w:rPr>
        <w:t>A</w:t>
      </w:r>
      <w:r w:rsidR="005C790F">
        <w:rPr>
          <w:rFonts w:ascii="NewBaskerville" w:hAnsi="NewBaskerville"/>
          <w:bCs/>
        </w:rPr>
        <w:t>PB</w:t>
      </w:r>
      <w:r w:rsidR="002C4355" w:rsidRPr="00D55F96">
        <w:rPr>
          <w:rFonts w:ascii="NewBaskerville" w:hAnsi="NewBaskerville"/>
          <w:bCs/>
        </w:rPr>
        <w:t xml:space="preserve"> es el mismo que corresponde al Estado, sin perjuicio de la aplicación a dichas entidades del régimen </w:t>
      </w:r>
      <w:r w:rsidR="00F16EB6" w:rsidRPr="00D55F96">
        <w:rPr>
          <w:rFonts w:ascii="NewBaskerville" w:hAnsi="NewBaskerville"/>
          <w:bCs/>
        </w:rPr>
        <w:t>general</w:t>
      </w:r>
      <w:r w:rsidR="002C4355" w:rsidRPr="00D55F96">
        <w:rPr>
          <w:rFonts w:ascii="NewBaskerville" w:hAnsi="NewBaskerville"/>
          <w:bCs/>
        </w:rPr>
        <w:t xml:space="preserve"> en el Impuesto de Sociedades. </w:t>
      </w:r>
      <w:r w:rsidR="003F2E2E" w:rsidRPr="00D55F96">
        <w:rPr>
          <w:rFonts w:ascii="NewBaskerville" w:hAnsi="NewBaskerville"/>
          <w:bCs/>
        </w:rPr>
        <w:t xml:space="preserve">El Real Decreto-ley 26/2020, de 7 de julio, modifica el régimen fiscal previsto para las </w:t>
      </w:r>
      <w:r w:rsidR="00A861CC">
        <w:rPr>
          <w:rFonts w:ascii="NewBaskerville" w:hAnsi="NewBaskerville"/>
          <w:bCs/>
        </w:rPr>
        <w:t>Autoridades P</w:t>
      </w:r>
      <w:r w:rsidR="003F2E2E" w:rsidRPr="00D55F96">
        <w:rPr>
          <w:rFonts w:ascii="NewBaskerville" w:hAnsi="NewBaskerville"/>
          <w:bCs/>
        </w:rPr>
        <w:t>ortuarias, que dejan de estar parcialmente exentas del Impue</w:t>
      </w:r>
      <w:r w:rsidR="00D55F96" w:rsidRPr="00D55F96">
        <w:rPr>
          <w:rFonts w:ascii="NewBaskerville" w:hAnsi="NewBaskerville"/>
          <w:bCs/>
        </w:rPr>
        <w:t>sto</w:t>
      </w:r>
      <w:r w:rsidR="003F2E2E" w:rsidRPr="00D55F96">
        <w:rPr>
          <w:rFonts w:ascii="NewBaskerville" w:hAnsi="NewBaskerville"/>
          <w:bCs/>
        </w:rPr>
        <w:t xml:space="preserve"> sobre Sociedades, con el objeto de dar </w:t>
      </w:r>
      <w:r w:rsidR="003F24D6" w:rsidRPr="00D55F96">
        <w:rPr>
          <w:rFonts w:ascii="NewBaskerville" w:hAnsi="NewBaskerville"/>
          <w:bCs/>
        </w:rPr>
        <w:t>cumplimiento</w:t>
      </w:r>
      <w:r w:rsidR="003F2E2E" w:rsidRPr="00D55F96">
        <w:rPr>
          <w:rFonts w:ascii="NewBaskerville" w:hAnsi="NewBaskerville"/>
          <w:bCs/>
        </w:rPr>
        <w:t xml:space="preserve"> a la Decisión de la Comisión C (2018) 8676 final, de 8 de enero de 2019, relativa a la fiscalidad de los puertos en España.</w:t>
      </w:r>
    </w:p>
    <w:p w:rsidR="00536F43" w:rsidRPr="00D55F96" w:rsidRDefault="00536F43">
      <w:pPr>
        <w:tabs>
          <w:tab w:val="right" w:pos="8364"/>
        </w:tabs>
        <w:ind w:firstLine="540"/>
        <w:jc w:val="both"/>
        <w:rPr>
          <w:rFonts w:ascii="NewBaskerville" w:hAnsi="NewBaskerville"/>
          <w:bCs/>
        </w:rPr>
      </w:pPr>
    </w:p>
    <w:p w:rsidR="003F2E2E" w:rsidRPr="00D55F96" w:rsidRDefault="003F2E2E">
      <w:pPr>
        <w:tabs>
          <w:tab w:val="right" w:pos="8364"/>
        </w:tabs>
        <w:ind w:firstLine="540"/>
        <w:jc w:val="both"/>
        <w:rPr>
          <w:rFonts w:ascii="NewBaskerville" w:hAnsi="NewBaskerville"/>
          <w:bCs/>
        </w:rPr>
      </w:pPr>
      <w:r w:rsidRPr="00D55F96">
        <w:rPr>
          <w:rFonts w:ascii="NewBaskerville" w:hAnsi="NewBaskerville"/>
          <w:bCs/>
        </w:rPr>
        <w:t>Las autoridades portuarias tienen autonomía en su gestión económico-financiera sobre la base del principio de autosuficiencia económica, lo que supone que no reciben financiación a cargo de los Presupuestos General del Estado. Por otra parte, las autoridades portuarias realizan inversiones y gastos que no están directamente destinados al servicio de las actividades portuarias pero que, sin embargo, benefician a la colectividad de la ciudadanía sin percibir contraprestación a cambio. Justificándose la introducción en el impuesto de una deducción vinculada a estos gastos e inversiones.</w:t>
      </w:r>
    </w:p>
    <w:p w:rsidR="00536F43" w:rsidRPr="00D55F96" w:rsidRDefault="00536F43">
      <w:pPr>
        <w:tabs>
          <w:tab w:val="right" w:pos="8364"/>
        </w:tabs>
        <w:ind w:firstLine="540"/>
        <w:jc w:val="both"/>
        <w:rPr>
          <w:rFonts w:ascii="NewBaskerville" w:hAnsi="NewBaskerville"/>
          <w:bCs/>
        </w:rPr>
      </w:pPr>
    </w:p>
    <w:p w:rsidR="003F2E2E" w:rsidRPr="00D55F96" w:rsidRDefault="00BF68C9">
      <w:pPr>
        <w:tabs>
          <w:tab w:val="right" w:pos="8364"/>
        </w:tabs>
        <w:ind w:firstLine="540"/>
        <w:jc w:val="both"/>
        <w:rPr>
          <w:rFonts w:ascii="NewBaskerville" w:hAnsi="NewBaskerville"/>
          <w:bCs/>
        </w:rPr>
      </w:pPr>
      <w:r w:rsidRPr="00D55F96">
        <w:rPr>
          <w:rFonts w:ascii="NewBaskerville" w:hAnsi="NewBaskerville"/>
          <w:bCs/>
        </w:rPr>
        <w:t xml:space="preserve">Además, en la deducción se incluyen también los gastos e inversiones que son compatibles con el mercado interior a tenor de lo dispuesto en el capítulo I y en el artículo 56 ter del Reglamento (UE) Nº 651/2014, de la Comisión, de 17 de junio de 2014, por el que se declaran determinadas categorías de ayudas compatibles con el mercado interior en aplicación de los artículos 107 y 108 del Tratado, y, en su caso, las que puedan declararse con el mercado interior por </w:t>
      </w:r>
      <w:r w:rsidR="003F24D6" w:rsidRPr="00D55F96">
        <w:rPr>
          <w:rFonts w:ascii="NewBaskerville" w:hAnsi="NewBaskerville"/>
          <w:bCs/>
        </w:rPr>
        <w:t>Decisión</w:t>
      </w:r>
      <w:r w:rsidRPr="00D55F96">
        <w:rPr>
          <w:rFonts w:ascii="NewBaskerville" w:hAnsi="NewBaskerville"/>
          <w:bCs/>
        </w:rPr>
        <w:t xml:space="preserve"> de la Comisión Europea en cada supuesto particular de conformidad con lo previsto en el apartado 3 del artículo 108 de Tratado de Funcionamiento de la Unión Europea.</w:t>
      </w:r>
    </w:p>
    <w:p w:rsidR="00B62B5F" w:rsidRPr="00D55F96" w:rsidRDefault="00B62B5F">
      <w:pPr>
        <w:tabs>
          <w:tab w:val="right" w:pos="8364"/>
        </w:tabs>
        <w:ind w:firstLine="540"/>
        <w:jc w:val="both"/>
        <w:rPr>
          <w:rFonts w:ascii="NewBaskerville" w:hAnsi="NewBaskerville"/>
          <w:bCs/>
        </w:rPr>
      </w:pPr>
    </w:p>
    <w:p w:rsidR="00B62B5F" w:rsidRPr="00D55F96" w:rsidRDefault="00B62B5F">
      <w:pPr>
        <w:tabs>
          <w:tab w:val="right" w:pos="8364"/>
        </w:tabs>
        <w:ind w:firstLine="540"/>
        <w:jc w:val="both"/>
        <w:rPr>
          <w:rFonts w:ascii="NewBaskerville" w:hAnsi="NewBaskerville"/>
          <w:bCs/>
        </w:rPr>
      </w:pPr>
      <w:r w:rsidRPr="00D55F96">
        <w:rPr>
          <w:rFonts w:ascii="NewBaskerville" w:hAnsi="NewBaskerville"/>
          <w:bCs/>
        </w:rPr>
        <w:t>A continuación se presenta información de la Autoridad Portuaria en relación a las Administraciones Públicas y situación fiscal.</w:t>
      </w:r>
    </w:p>
    <w:p w:rsidR="00B62B5F" w:rsidRDefault="00B62B5F">
      <w:pPr>
        <w:tabs>
          <w:tab w:val="right" w:pos="8364"/>
        </w:tabs>
        <w:ind w:firstLine="540"/>
        <w:jc w:val="both"/>
        <w:rPr>
          <w:bCs/>
        </w:rPr>
      </w:pPr>
    </w:p>
    <w:p w:rsidR="008016E5" w:rsidRPr="00C7435A" w:rsidRDefault="008016E5">
      <w:pPr>
        <w:tabs>
          <w:tab w:val="right" w:pos="8364"/>
        </w:tabs>
        <w:ind w:firstLine="540"/>
        <w:jc w:val="both"/>
        <w:rPr>
          <w:rFonts w:ascii="NewBaskerville" w:hAnsi="NewBaskerville"/>
          <w:bCs/>
        </w:rPr>
      </w:pPr>
    </w:p>
    <w:p w:rsidR="00B62B5F" w:rsidRPr="00C7435A" w:rsidRDefault="00B62B5F">
      <w:pPr>
        <w:tabs>
          <w:tab w:val="right" w:pos="8364"/>
        </w:tabs>
        <w:ind w:firstLine="540"/>
        <w:jc w:val="both"/>
        <w:rPr>
          <w:rFonts w:ascii="NewBaskerville" w:hAnsi="NewBaskerville"/>
          <w:bCs/>
        </w:rPr>
      </w:pPr>
      <w:r w:rsidRPr="00C7435A">
        <w:rPr>
          <w:rFonts w:ascii="NewBaskerville" w:hAnsi="NewBaskerville"/>
          <w:bCs/>
          <w:u w:val="single"/>
        </w:rPr>
        <w:t>Saldos corrientes con las Administraciones Públicas.</w:t>
      </w:r>
    </w:p>
    <w:p w:rsidR="0010198F" w:rsidRPr="00C7435A" w:rsidRDefault="0010198F">
      <w:pPr>
        <w:tabs>
          <w:tab w:val="right" w:pos="8364"/>
        </w:tabs>
        <w:ind w:firstLine="540"/>
        <w:jc w:val="both"/>
        <w:rPr>
          <w:rFonts w:ascii="NewBaskerville" w:hAnsi="NewBaskerville"/>
          <w:bCs/>
        </w:rPr>
      </w:pPr>
    </w:p>
    <w:p w:rsidR="0010198F" w:rsidRPr="00C7435A" w:rsidRDefault="0010198F">
      <w:pPr>
        <w:tabs>
          <w:tab w:val="right" w:pos="8364"/>
        </w:tabs>
        <w:ind w:firstLine="540"/>
        <w:jc w:val="both"/>
        <w:rPr>
          <w:rFonts w:ascii="NewBaskerville" w:hAnsi="NewBaskerville"/>
          <w:bCs/>
        </w:rPr>
      </w:pPr>
      <w:r w:rsidRPr="00C7435A">
        <w:rPr>
          <w:rFonts w:ascii="NewBaskerville" w:hAnsi="NewBaskerville"/>
          <w:bCs/>
        </w:rPr>
        <w:t>La composición de los saldos corrientes con las Administraciones Públicas e</w:t>
      </w:r>
      <w:r w:rsidR="00AE1189">
        <w:rPr>
          <w:rFonts w:ascii="NewBaskerville" w:hAnsi="NewBaskerville"/>
          <w:bCs/>
        </w:rPr>
        <w:t>s</w:t>
      </w:r>
      <w:r w:rsidRPr="00C7435A">
        <w:rPr>
          <w:rFonts w:ascii="NewBaskerville" w:hAnsi="NewBaskerville"/>
          <w:bCs/>
        </w:rPr>
        <w:t xml:space="preserve"> la siguiente:</w:t>
      </w:r>
    </w:p>
    <w:p w:rsidR="00C7435A" w:rsidRPr="0010198F" w:rsidRDefault="00C7435A">
      <w:pPr>
        <w:tabs>
          <w:tab w:val="right" w:pos="8364"/>
        </w:tabs>
        <w:ind w:firstLine="540"/>
        <w:jc w:val="both"/>
        <w:rPr>
          <w:bCs/>
        </w:rPr>
      </w:pPr>
    </w:p>
    <w:tbl>
      <w:tblPr>
        <w:tblW w:w="6720" w:type="dxa"/>
        <w:tblInd w:w="55" w:type="dxa"/>
        <w:tblCellMar>
          <w:left w:w="70" w:type="dxa"/>
          <w:right w:w="70" w:type="dxa"/>
        </w:tblCellMar>
        <w:tblLook w:val="04A0" w:firstRow="1" w:lastRow="0" w:firstColumn="1" w:lastColumn="0" w:noHBand="0" w:noVBand="1"/>
      </w:tblPr>
      <w:tblGrid>
        <w:gridCol w:w="1442"/>
        <w:gridCol w:w="1439"/>
        <w:gridCol w:w="1439"/>
        <w:gridCol w:w="1200"/>
        <w:gridCol w:w="1200"/>
      </w:tblGrid>
      <w:tr w:rsidR="00F963DD" w:rsidRPr="00F963DD" w:rsidTr="00F963DD">
        <w:trPr>
          <w:trHeight w:val="285"/>
        </w:trPr>
        <w:tc>
          <w:tcPr>
            <w:tcW w:w="4320" w:type="dxa"/>
            <w:gridSpan w:val="3"/>
            <w:vMerge w:val="restart"/>
            <w:tcBorders>
              <w:top w:val="single" w:sz="8" w:space="0" w:color="auto"/>
              <w:left w:val="single" w:sz="8" w:space="0" w:color="auto"/>
              <w:bottom w:val="single" w:sz="8" w:space="0" w:color="000000"/>
              <w:right w:val="single" w:sz="8" w:space="0" w:color="000000"/>
            </w:tcBorders>
            <w:shd w:val="clear" w:color="000000" w:fill="CCFFCC"/>
            <w:vAlign w:val="center"/>
            <w:hideMark/>
          </w:tcPr>
          <w:p w:rsidR="00F963DD" w:rsidRPr="00F963DD" w:rsidRDefault="00F963DD" w:rsidP="00F963DD">
            <w:pPr>
              <w:jc w:val="center"/>
              <w:rPr>
                <w:rFonts w:ascii="Lucida Bright" w:hAnsi="Lucida Bright" w:cs="Calibri"/>
                <w:b/>
                <w:bCs/>
                <w:color w:val="000000"/>
                <w:sz w:val="16"/>
                <w:szCs w:val="16"/>
                <w:lang w:val="es-ES"/>
              </w:rPr>
            </w:pPr>
            <w:r w:rsidRPr="00F963DD">
              <w:rPr>
                <w:rFonts w:ascii="Lucida Bright" w:hAnsi="Lucida Bright" w:cs="Calibri"/>
                <w:b/>
                <w:bCs/>
                <w:color w:val="000000"/>
                <w:sz w:val="16"/>
                <w:szCs w:val="16"/>
                <w:lang w:val="es-ES"/>
              </w:rPr>
              <w:t>Saldos corrientes deudores con las Administraciones Públicas</w:t>
            </w:r>
          </w:p>
        </w:tc>
        <w:tc>
          <w:tcPr>
            <w:tcW w:w="2400" w:type="dxa"/>
            <w:gridSpan w:val="2"/>
            <w:tcBorders>
              <w:top w:val="single" w:sz="8" w:space="0" w:color="auto"/>
              <w:left w:val="nil"/>
              <w:bottom w:val="nil"/>
              <w:right w:val="single" w:sz="8" w:space="0" w:color="000000"/>
            </w:tcBorders>
            <w:shd w:val="clear" w:color="000000" w:fill="CCFFCC"/>
            <w:noWrap/>
            <w:vAlign w:val="bottom"/>
            <w:hideMark/>
          </w:tcPr>
          <w:p w:rsidR="00F963DD" w:rsidRPr="00F963DD" w:rsidRDefault="00F963DD" w:rsidP="00F963DD">
            <w:pPr>
              <w:jc w:val="center"/>
              <w:rPr>
                <w:rFonts w:ascii="Lucida Bright" w:hAnsi="Lucida Bright" w:cs="Calibri"/>
                <w:b/>
                <w:bCs/>
                <w:color w:val="000000"/>
                <w:sz w:val="14"/>
                <w:szCs w:val="14"/>
                <w:lang w:val="es-ES"/>
              </w:rPr>
            </w:pPr>
            <w:r w:rsidRPr="00F963DD">
              <w:rPr>
                <w:rFonts w:ascii="Lucida Bright" w:hAnsi="Lucida Bright" w:cs="Calibri"/>
                <w:b/>
                <w:bCs/>
                <w:color w:val="000000"/>
                <w:sz w:val="14"/>
                <w:szCs w:val="14"/>
                <w:lang w:val="es-ES"/>
              </w:rPr>
              <w:t>Euros</w:t>
            </w:r>
          </w:p>
        </w:tc>
      </w:tr>
      <w:tr w:rsidR="00F963DD" w:rsidRPr="00F963DD" w:rsidTr="00F963DD">
        <w:trPr>
          <w:trHeight w:val="240"/>
        </w:trPr>
        <w:tc>
          <w:tcPr>
            <w:tcW w:w="4320" w:type="dxa"/>
            <w:gridSpan w:val="3"/>
            <w:vMerge/>
            <w:tcBorders>
              <w:top w:val="single" w:sz="8" w:space="0" w:color="auto"/>
              <w:left w:val="single" w:sz="8" w:space="0" w:color="auto"/>
              <w:bottom w:val="single" w:sz="8" w:space="0" w:color="000000"/>
              <w:right w:val="single" w:sz="8" w:space="0" w:color="000000"/>
            </w:tcBorders>
            <w:vAlign w:val="center"/>
            <w:hideMark/>
          </w:tcPr>
          <w:p w:rsidR="00F963DD" w:rsidRPr="00F963DD" w:rsidRDefault="00F963DD" w:rsidP="00F963DD">
            <w:pPr>
              <w:rPr>
                <w:rFonts w:ascii="Lucida Bright" w:hAnsi="Lucida Bright" w:cs="Calibri"/>
                <w:b/>
                <w:bCs/>
                <w:color w:val="000000"/>
                <w:sz w:val="16"/>
                <w:szCs w:val="16"/>
                <w:lang w:val="es-ES"/>
              </w:rPr>
            </w:pPr>
          </w:p>
        </w:tc>
        <w:tc>
          <w:tcPr>
            <w:tcW w:w="1200" w:type="dxa"/>
            <w:tcBorders>
              <w:top w:val="nil"/>
              <w:left w:val="nil"/>
              <w:bottom w:val="single" w:sz="8" w:space="0" w:color="auto"/>
              <w:right w:val="nil"/>
            </w:tcBorders>
            <w:shd w:val="clear" w:color="000000" w:fill="CCFFCC"/>
            <w:noWrap/>
            <w:vAlign w:val="bottom"/>
            <w:hideMark/>
          </w:tcPr>
          <w:p w:rsidR="00F963DD" w:rsidRPr="00F963DD" w:rsidRDefault="00F963DD" w:rsidP="00F963DD">
            <w:pPr>
              <w:jc w:val="center"/>
              <w:rPr>
                <w:rFonts w:ascii="Lucida Bright" w:hAnsi="Lucida Bright" w:cs="Calibri"/>
                <w:b/>
                <w:bCs/>
                <w:color w:val="000000"/>
                <w:sz w:val="14"/>
                <w:szCs w:val="14"/>
                <w:lang w:val="es-ES"/>
              </w:rPr>
            </w:pPr>
            <w:r w:rsidRPr="00F963DD">
              <w:rPr>
                <w:rFonts w:ascii="Lucida Bright" w:hAnsi="Lucida Bright" w:cs="Calibri"/>
                <w:b/>
                <w:bCs/>
                <w:color w:val="000000"/>
                <w:sz w:val="14"/>
                <w:szCs w:val="14"/>
                <w:lang w:val="es-ES"/>
              </w:rPr>
              <w:t>2023</w:t>
            </w:r>
          </w:p>
        </w:tc>
        <w:tc>
          <w:tcPr>
            <w:tcW w:w="1200" w:type="dxa"/>
            <w:tcBorders>
              <w:top w:val="nil"/>
              <w:left w:val="single" w:sz="8" w:space="0" w:color="auto"/>
              <w:bottom w:val="single" w:sz="8" w:space="0" w:color="auto"/>
              <w:right w:val="single" w:sz="8" w:space="0" w:color="auto"/>
            </w:tcBorders>
            <w:shd w:val="clear" w:color="000000" w:fill="CCFFCC"/>
            <w:noWrap/>
            <w:vAlign w:val="bottom"/>
            <w:hideMark/>
          </w:tcPr>
          <w:p w:rsidR="00F963DD" w:rsidRPr="00F963DD" w:rsidRDefault="00F963DD" w:rsidP="00F963DD">
            <w:pPr>
              <w:jc w:val="center"/>
              <w:rPr>
                <w:rFonts w:ascii="Lucida Bright" w:hAnsi="Lucida Bright" w:cs="Calibri"/>
                <w:b/>
                <w:bCs/>
                <w:color w:val="000000"/>
                <w:sz w:val="14"/>
                <w:szCs w:val="14"/>
                <w:lang w:val="es-ES"/>
              </w:rPr>
            </w:pPr>
            <w:r w:rsidRPr="00F963DD">
              <w:rPr>
                <w:rFonts w:ascii="Lucida Bright" w:hAnsi="Lucida Bright" w:cs="Calibri"/>
                <w:b/>
                <w:bCs/>
                <w:color w:val="000000"/>
                <w:sz w:val="14"/>
                <w:szCs w:val="14"/>
                <w:lang w:val="es-ES"/>
              </w:rPr>
              <w:t>2022</w:t>
            </w:r>
          </w:p>
        </w:tc>
      </w:tr>
      <w:tr w:rsidR="00F963DD" w:rsidRPr="00F963DD" w:rsidTr="00F963DD">
        <w:trPr>
          <w:trHeight w:val="225"/>
        </w:trPr>
        <w:tc>
          <w:tcPr>
            <w:tcW w:w="4320" w:type="dxa"/>
            <w:gridSpan w:val="3"/>
            <w:tcBorders>
              <w:top w:val="nil"/>
              <w:left w:val="single" w:sz="8" w:space="0" w:color="auto"/>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xml:space="preserve">Hacienda Pública deudora por </w:t>
            </w:r>
            <w:proofErr w:type="spellStart"/>
            <w:r w:rsidRPr="00F963DD">
              <w:rPr>
                <w:rFonts w:ascii="Lucida Bright" w:hAnsi="Lucida Bright" w:cs="Calibri"/>
                <w:color w:val="000000"/>
                <w:sz w:val="14"/>
                <w:szCs w:val="14"/>
                <w:lang w:val="es-ES"/>
              </w:rPr>
              <w:t>Impto</w:t>
            </w:r>
            <w:proofErr w:type="spellEnd"/>
            <w:r w:rsidRPr="00F963DD">
              <w:rPr>
                <w:rFonts w:ascii="Lucida Bright" w:hAnsi="Lucida Bright" w:cs="Calibri"/>
                <w:color w:val="000000"/>
                <w:sz w:val="14"/>
                <w:szCs w:val="14"/>
                <w:lang w:val="es-ES"/>
              </w:rPr>
              <w:t xml:space="preserve"> s/Sociedades</w:t>
            </w:r>
          </w:p>
        </w:tc>
        <w:tc>
          <w:tcPr>
            <w:tcW w:w="1200" w:type="dxa"/>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11.989.504,47</w:t>
            </w:r>
          </w:p>
        </w:tc>
        <w:tc>
          <w:tcPr>
            <w:tcW w:w="1200" w:type="dxa"/>
            <w:tcBorders>
              <w:top w:val="nil"/>
              <w:left w:val="nil"/>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10.692.950,44</w:t>
            </w:r>
          </w:p>
        </w:tc>
      </w:tr>
      <w:tr w:rsidR="00F963DD" w:rsidRPr="00F963DD" w:rsidTr="00F963DD">
        <w:trPr>
          <w:trHeight w:val="225"/>
        </w:trPr>
        <w:tc>
          <w:tcPr>
            <w:tcW w:w="4320" w:type="dxa"/>
            <w:gridSpan w:val="3"/>
            <w:tcBorders>
              <w:top w:val="nil"/>
              <w:left w:val="single" w:sz="8" w:space="0" w:color="auto"/>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Organismos de la Seguridad Social deudor</w:t>
            </w:r>
          </w:p>
        </w:tc>
        <w:tc>
          <w:tcPr>
            <w:tcW w:w="1200" w:type="dxa"/>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48.662,04</w:t>
            </w:r>
          </w:p>
        </w:tc>
        <w:tc>
          <w:tcPr>
            <w:tcW w:w="1200" w:type="dxa"/>
            <w:tcBorders>
              <w:top w:val="nil"/>
              <w:left w:val="nil"/>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40.231,14</w:t>
            </w:r>
          </w:p>
        </w:tc>
      </w:tr>
      <w:tr w:rsidR="00F963DD" w:rsidRPr="00F963DD" w:rsidTr="00F963DD">
        <w:trPr>
          <w:trHeight w:val="225"/>
        </w:trPr>
        <w:tc>
          <w:tcPr>
            <w:tcW w:w="4320" w:type="dxa"/>
            <w:gridSpan w:val="3"/>
            <w:tcBorders>
              <w:top w:val="nil"/>
              <w:left w:val="single" w:sz="8" w:space="0" w:color="auto"/>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Subvenciones oficiales pendientes de cobro</w:t>
            </w:r>
          </w:p>
        </w:tc>
        <w:tc>
          <w:tcPr>
            <w:tcW w:w="1200" w:type="dxa"/>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145.968,98</w:t>
            </w:r>
          </w:p>
        </w:tc>
        <w:tc>
          <w:tcPr>
            <w:tcW w:w="1200" w:type="dxa"/>
            <w:tcBorders>
              <w:top w:val="nil"/>
              <w:left w:val="nil"/>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45.832,69</w:t>
            </w:r>
          </w:p>
        </w:tc>
      </w:tr>
      <w:tr w:rsidR="00F963DD" w:rsidRPr="00F963DD" w:rsidTr="00F963DD">
        <w:trPr>
          <w:trHeight w:val="240"/>
        </w:trPr>
        <w:tc>
          <w:tcPr>
            <w:tcW w:w="2881" w:type="dxa"/>
            <w:gridSpan w:val="2"/>
            <w:tcBorders>
              <w:top w:val="nil"/>
              <w:left w:val="single" w:sz="8" w:space="0" w:color="auto"/>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Hacienda Pública deudora por I.V.A.</w:t>
            </w:r>
          </w:p>
        </w:tc>
        <w:tc>
          <w:tcPr>
            <w:tcW w:w="1439" w:type="dxa"/>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6"/>
                <w:szCs w:val="16"/>
                <w:lang w:val="es-ES"/>
              </w:rPr>
            </w:pPr>
          </w:p>
        </w:tc>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7.425,93</w:t>
            </w:r>
          </w:p>
        </w:tc>
        <w:tc>
          <w:tcPr>
            <w:tcW w:w="1200" w:type="dxa"/>
            <w:tcBorders>
              <w:top w:val="nil"/>
              <w:left w:val="nil"/>
              <w:bottom w:val="single" w:sz="8" w:space="0" w:color="auto"/>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6"/>
                <w:szCs w:val="16"/>
                <w:lang w:val="es-ES"/>
              </w:rPr>
            </w:pPr>
            <w:r w:rsidRPr="00F963DD">
              <w:rPr>
                <w:rFonts w:ascii="Lucida Bright" w:hAnsi="Lucida Bright" w:cs="Calibri"/>
                <w:color w:val="000000"/>
                <w:sz w:val="16"/>
                <w:szCs w:val="16"/>
                <w:lang w:val="es-ES"/>
              </w:rPr>
              <w:t> </w:t>
            </w:r>
          </w:p>
        </w:tc>
      </w:tr>
      <w:tr w:rsidR="00F963DD" w:rsidRPr="00F963DD" w:rsidTr="00F963DD">
        <w:trPr>
          <w:trHeight w:val="240"/>
        </w:trPr>
        <w:tc>
          <w:tcPr>
            <w:tcW w:w="1442" w:type="dxa"/>
            <w:tcBorders>
              <w:top w:val="nil"/>
              <w:left w:val="single" w:sz="8" w:space="0" w:color="auto"/>
              <w:bottom w:val="single" w:sz="8" w:space="0" w:color="auto"/>
              <w:right w:val="nil"/>
            </w:tcBorders>
            <w:shd w:val="clear" w:color="auto" w:fill="auto"/>
            <w:noWrap/>
            <w:vAlign w:val="bottom"/>
            <w:hideMark/>
          </w:tcPr>
          <w:p w:rsidR="00F963DD" w:rsidRPr="00F963DD" w:rsidRDefault="00F963DD" w:rsidP="00F963DD">
            <w:pPr>
              <w:rPr>
                <w:rFonts w:ascii="Lucida Bright" w:hAnsi="Lucida Bright" w:cs="Calibri"/>
                <w:color w:val="000000"/>
                <w:sz w:val="16"/>
                <w:szCs w:val="16"/>
                <w:lang w:val="es-ES"/>
              </w:rPr>
            </w:pPr>
            <w:r w:rsidRPr="00F963DD">
              <w:rPr>
                <w:rFonts w:ascii="Lucida Bright" w:hAnsi="Lucida Bright" w:cs="Calibri"/>
                <w:color w:val="000000"/>
                <w:sz w:val="16"/>
                <w:szCs w:val="16"/>
                <w:lang w:val="es-ES"/>
              </w:rPr>
              <w:t> </w:t>
            </w:r>
          </w:p>
        </w:tc>
        <w:tc>
          <w:tcPr>
            <w:tcW w:w="1439" w:type="dxa"/>
            <w:tcBorders>
              <w:top w:val="nil"/>
              <w:left w:val="nil"/>
              <w:bottom w:val="single" w:sz="8" w:space="0" w:color="auto"/>
              <w:right w:val="nil"/>
            </w:tcBorders>
            <w:shd w:val="clear" w:color="auto" w:fill="auto"/>
            <w:noWrap/>
            <w:vAlign w:val="bottom"/>
            <w:hideMark/>
          </w:tcPr>
          <w:p w:rsidR="00F963DD" w:rsidRPr="00F963DD" w:rsidRDefault="00F963DD" w:rsidP="00F963DD">
            <w:pPr>
              <w:rPr>
                <w:rFonts w:ascii="Lucida Bright" w:hAnsi="Lucida Bright" w:cs="Calibri"/>
                <w:color w:val="000000"/>
                <w:sz w:val="16"/>
                <w:szCs w:val="16"/>
                <w:lang w:val="es-ES"/>
              </w:rPr>
            </w:pPr>
            <w:r w:rsidRPr="00F963DD">
              <w:rPr>
                <w:rFonts w:ascii="Lucida Bright" w:hAnsi="Lucida Bright" w:cs="Calibri"/>
                <w:color w:val="000000"/>
                <w:sz w:val="16"/>
                <w:szCs w:val="16"/>
                <w:lang w:val="es-ES"/>
              </w:rPr>
              <w:t> </w:t>
            </w:r>
          </w:p>
        </w:tc>
        <w:tc>
          <w:tcPr>
            <w:tcW w:w="1439" w:type="dxa"/>
            <w:tcBorders>
              <w:top w:val="nil"/>
              <w:left w:val="nil"/>
              <w:bottom w:val="single" w:sz="8" w:space="0" w:color="auto"/>
              <w:right w:val="nil"/>
            </w:tcBorders>
            <w:shd w:val="clear" w:color="auto" w:fill="auto"/>
            <w:noWrap/>
            <w:vAlign w:val="bottom"/>
            <w:hideMark/>
          </w:tcPr>
          <w:p w:rsidR="00F963DD" w:rsidRPr="00F963DD" w:rsidRDefault="00F963DD" w:rsidP="00F963DD">
            <w:pPr>
              <w:rPr>
                <w:rFonts w:ascii="Lucida Bright" w:hAnsi="Lucida Bright" w:cs="Calibri"/>
                <w:color w:val="000000"/>
                <w:sz w:val="16"/>
                <w:szCs w:val="16"/>
                <w:lang w:val="es-ES"/>
              </w:rPr>
            </w:pPr>
            <w:r w:rsidRPr="00F963DD">
              <w:rPr>
                <w:rFonts w:ascii="Lucida Bright" w:hAnsi="Lucida Bright" w:cs="Calibri"/>
                <w:color w:val="000000"/>
                <w:sz w:val="16"/>
                <w:szCs w:val="16"/>
                <w:lang w:val="es-ES"/>
              </w:rPr>
              <w:t> </w:t>
            </w:r>
          </w:p>
        </w:tc>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b/>
                <w:bCs/>
                <w:color w:val="000000"/>
                <w:sz w:val="14"/>
                <w:szCs w:val="14"/>
                <w:lang w:val="es-ES"/>
              </w:rPr>
            </w:pPr>
            <w:r w:rsidRPr="00F963DD">
              <w:rPr>
                <w:rFonts w:ascii="Lucida Bright" w:hAnsi="Lucida Bright" w:cs="Calibri"/>
                <w:b/>
                <w:bCs/>
                <w:color w:val="000000"/>
                <w:sz w:val="14"/>
                <w:szCs w:val="14"/>
                <w:lang w:val="es-ES"/>
              </w:rPr>
              <w:t>12.191.561,42</w:t>
            </w:r>
          </w:p>
        </w:tc>
        <w:tc>
          <w:tcPr>
            <w:tcW w:w="1200" w:type="dxa"/>
            <w:tcBorders>
              <w:top w:val="nil"/>
              <w:left w:val="nil"/>
              <w:bottom w:val="single" w:sz="8" w:space="0" w:color="auto"/>
              <w:right w:val="single" w:sz="8" w:space="0" w:color="auto"/>
            </w:tcBorders>
            <w:shd w:val="clear" w:color="auto" w:fill="auto"/>
            <w:noWrap/>
            <w:vAlign w:val="bottom"/>
            <w:hideMark/>
          </w:tcPr>
          <w:p w:rsidR="00F963DD" w:rsidRPr="00F963DD" w:rsidRDefault="00F963DD" w:rsidP="00EE22CD">
            <w:pPr>
              <w:jc w:val="right"/>
              <w:rPr>
                <w:rFonts w:ascii="Lucida Bright" w:hAnsi="Lucida Bright" w:cs="Calibri"/>
                <w:b/>
                <w:bCs/>
                <w:color w:val="000000"/>
                <w:sz w:val="14"/>
                <w:szCs w:val="14"/>
                <w:lang w:val="es-ES"/>
              </w:rPr>
            </w:pPr>
            <w:r w:rsidRPr="00F963DD">
              <w:rPr>
                <w:rFonts w:ascii="Lucida Bright" w:hAnsi="Lucida Bright" w:cs="Calibri"/>
                <w:b/>
                <w:bCs/>
                <w:color w:val="000000"/>
                <w:sz w:val="14"/>
                <w:szCs w:val="14"/>
                <w:lang w:val="es-ES"/>
              </w:rPr>
              <w:t>10.7</w:t>
            </w:r>
            <w:r w:rsidR="00EE22CD">
              <w:rPr>
                <w:rFonts w:ascii="Lucida Bright" w:hAnsi="Lucida Bright" w:cs="Calibri"/>
                <w:b/>
                <w:bCs/>
                <w:color w:val="000000"/>
                <w:sz w:val="14"/>
                <w:szCs w:val="14"/>
                <w:lang w:val="es-ES"/>
              </w:rPr>
              <w:t>79</w:t>
            </w:r>
            <w:r w:rsidRPr="00F963DD">
              <w:rPr>
                <w:rFonts w:ascii="Lucida Bright" w:hAnsi="Lucida Bright" w:cs="Calibri"/>
                <w:b/>
                <w:bCs/>
                <w:color w:val="000000"/>
                <w:sz w:val="14"/>
                <w:szCs w:val="14"/>
                <w:lang w:val="es-ES"/>
              </w:rPr>
              <w:t>.</w:t>
            </w:r>
            <w:r w:rsidR="00EE22CD">
              <w:rPr>
                <w:rFonts w:ascii="Lucida Bright" w:hAnsi="Lucida Bright" w:cs="Calibri"/>
                <w:b/>
                <w:bCs/>
                <w:color w:val="000000"/>
                <w:sz w:val="14"/>
                <w:szCs w:val="14"/>
                <w:lang w:val="es-ES"/>
              </w:rPr>
              <w:t>014</w:t>
            </w:r>
            <w:r w:rsidRPr="00F963DD">
              <w:rPr>
                <w:rFonts w:ascii="Lucida Bright" w:hAnsi="Lucida Bright" w:cs="Calibri"/>
                <w:b/>
                <w:bCs/>
                <w:color w:val="000000"/>
                <w:sz w:val="14"/>
                <w:szCs w:val="14"/>
                <w:lang w:val="es-ES"/>
              </w:rPr>
              <w:t>,27</w:t>
            </w:r>
          </w:p>
        </w:tc>
      </w:tr>
    </w:tbl>
    <w:p w:rsidR="00F86C94" w:rsidRDefault="00F86C94">
      <w:pPr>
        <w:tabs>
          <w:tab w:val="right" w:pos="8364"/>
        </w:tabs>
        <w:ind w:firstLine="540"/>
        <w:jc w:val="both"/>
        <w:rPr>
          <w:bCs/>
        </w:rPr>
      </w:pPr>
    </w:p>
    <w:tbl>
      <w:tblPr>
        <w:tblW w:w="6720" w:type="dxa"/>
        <w:tblInd w:w="55" w:type="dxa"/>
        <w:tblCellMar>
          <w:left w:w="70" w:type="dxa"/>
          <w:right w:w="70" w:type="dxa"/>
        </w:tblCellMar>
        <w:tblLook w:val="04A0" w:firstRow="1" w:lastRow="0" w:firstColumn="1" w:lastColumn="0" w:noHBand="0" w:noVBand="1"/>
      </w:tblPr>
      <w:tblGrid>
        <w:gridCol w:w="1442"/>
        <w:gridCol w:w="1439"/>
        <w:gridCol w:w="1439"/>
        <w:gridCol w:w="1200"/>
        <w:gridCol w:w="1200"/>
      </w:tblGrid>
      <w:tr w:rsidR="00F963DD" w:rsidRPr="00F963DD" w:rsidTr="00F963DD">
        <w:trPr>
          <w:trHeight w:val="225"/>
        </w:trPr>
        <w:tc>
          <w:tcPr>
            <w:tcW w:w="4320" w:type="dxa"/>
            <w:gridSpan w:val="3"/>
            <w:vMerge w:val="restart"/>
            <w:tcBorders>
              <w:top w:val="single" w:sz="8" w:space="0" w:color="auto"/>
              <w:left w:val="single" w:sz="8" w:space="0" w:color="auto"/>
              <w:bottom w:val="single" w:sz="8" w:space="0" w:color="000000"/>
              <w:right w:val="single" w:sz="8" w:space="0" w:color="000000"/>
            </w:tcBorders>
            <w:shd w:val="clear" w:color="000000" w:fill="CCFFCC"/>
            <w:vAlign w:val="center"/>
            <w:hideMark/>
          </w:tcPr>
          <w:p w:rsidR="00F963DD" w:rsidRPr="00F963DD" w:rsidRDefault="00F963DD" w:rsidP="00F963DD">
            <w:pPr>
              <w:jc w:val="center"/>
              <w:rPr>
                <w:rFonts w:ascii="Lucida Bright" w:hAnsi="Lucida Bright" w:cs="Calibri"/>
                <w:b/>
                <w:bCs/>
                <w:color w:val="000000"/>
                <w:sz w:val="16"/>
                <w:szCs w:val="16"/>
                <w:lang w:val="es-ES"/>
              </w:rPr>
            </w:pPr>
            <w:r w:rsidRPr="00F963DD">
              <w:rPr>
                <w:rFonts w:ascii="Lucida Bright" w:hAnsi="Lucida Bright" w:cs="Calibri"/>
                <w:b/>
                <w:bCs/>
                <w:color w:val="000000"/>
                <w:sz w:val="16"/>
                <w:szCs w:val="16"/>
                <w:lang w:val="es-ES"/>
              </w:rPr>
              <w:t>Saldos corrientes acreedores con las Administraciones Públicas</w:t>
            </w:r>
          </w:p>
        </w:tc>
        <w:tc>
          <w:tcPr>
            <w:tcW w:w="2400" w:type="dxa"/>
            <w:gridSpan w:val="2"/>
            <w:tcBorders>
              <w:top w:val="single" w:sz="8" w:space="0" w:color="auto"/>
              <w:left w:val="nil"/>
              <w:bottom w:val="nil"/>
              <w:right w:val="single" w:sz="8" w:space="0" w:color="000000"/>
            </w:tcBorders>
            <w:shd w:val="clear" w:color="000000" w:fill="CCFFCC"/>
            <w:noWrap/>
            <w:vAlign w:val="bottom"/>
            <w:hideMark/>
          </w:tcPr>
          <w:p w:rsidR="00F963DD" w:rsidRPr="00F963DD" w:rsidRDefault="00F963DD" w:rsidP="00F963DD">
            <w:pPr>
              <w:jc w:val="center"/>
              <w:rPr>
                <w:rFonts w:ascii="Lucida Bright" w:hAnsi="Lucida Bright" w:cs="Calibri"/>
                <w:b/>
                <w:bCs/>
                <w:color w:val="000000"/>
                <w:sz w:val="14"/>
                <w:szCs w:val="14"/>
                <w:lang w:val="es-ES"/>
              </w:rPr>
            </w:pPr>
            <w:r w:rsidRPr="00F963DD">
              <w:rPr>
                <w:rFonts w:ascii="Lucida Bright" w:hAnsi="Lucida Bright" w:cs="Calibri"/>
                <w:b/>
                <w:bCs/>
                <w:color w:val="000000"/>
                <w:sz w:val="14"/>
                <w:szCs w:val="14"/>
                <w:lang w:val="es-ES"/>
              </w:rPr>
              <w:t>Euros</w:t>
            </w:r>
          </w:p>
        </w:tc>
      </w:tr>
      <w:tr w:rsidR="00F963DD" w:rsidRPr="00F963DD" w:rsidTr="00F963DD">
        <w:trPr>
          <w:trHeight w:val="240"/>
        </w:trPr>
        <w:tc>
          <w:tcPr>
            <w:tcW w:w="4320" w:type="dxa"/>
            <w:gridSpan w:val="3"/>
            <w:vMerge/>
            <w:tcBorders>
              <w:top w:val="single" w:sz="8" w:space="0" w:color="auto"/>
              <w:left w:val="single" w:sz="8" w:space="0" w:color="auto"/>
              <w:bottom w:val="single" w:sz="8" w:space="0" w:color="000000"/>
              <w:right w:val="single" w:sz="8" w:space="0" w:color="000000"/>
            </w:tcBorders>
            <w:vAlign w:val="center"/>
            <w:hideMark/>
          </w:tcPr>
          <w:p w:rsidR="00F963DD" w:rsidRPr="00F963DD" w:rsidRDefault="00F963DD" w:rsidP="00F963DD">
            <w:pPr>
              <w:rPr>
                <w:rFonts w:ascii="Lucida Bright" w:hAnsi="Lucida Bright" w:cs="Calibri"/>
                <w:b/>
                <w:bCs/>
                <w:color w:val="000000"/>
                <w:sz w:val="16"/>
                <w:szCs w:val="16"/>
                <w:lang w:val="es-ES"/>
              </w:rPr>
            </w:pPr>
          </w:p>
        </w:tc>
        <w:tc>
          <w:tcPr>
            <w:tcW w:w="1200" w:type="dxa"/>
            <w:tcBorders>
              <w:top w:val="nil"/>
              <w:left w:val="nil"/>
              <w:bottom w:val="single" w:sz="8" w:space="0" w:color="auto"/>
              <w:right w:val="single" w:sz="8" w:space="0" w:color="auto"/>
            </w:tcBorders>
            <w:shd w:val="clear" w:color="000000" w:fill="CCFFCC"/>
            <w:noWrap/>
            <w:vAlign w:val="bottom"/>
            <w:hideMark/>
          </w:tcPr>
          <w:p w:rsidR="00F963DD" w:rsidRPr="00F963DD" w:rsidRDefault="00F963DD" w:rsidP="00F963DD">
            <w:pPr>
              <w:jc w:val="center"/>
              <w:rPr>
                <w:rFonts w:ascii="Lucida Bright" w:hAnsi="Lucida Bright" w:cs="Calibri"/>
                <w:b/>
                <w:bCs/>
                <w:color w:val="000000"/>
                <w:sz w:val="14"/>
                <w:szCs w:val="14"/>
                <w:lang w:val="es-ES"/>
              </w:rPr>
            </w:pPr>
            <w:r w:rsidRPr="00F963DD">
              <w:rPr>
                <w:rFonts w:ascii="Lucida Bright" w:hAnsi="Lucida Bright" w:cs="Calibri"/>
                <w:b/>
                <w:bCs/>
                <w:color w:val="000000"/>
                <w:sz w:val="14"/>
                <w:szCs w:val="14"/>
                <w:lang w:val="es-ES"/>
              </w:rPr>
              <w:t>2023</w:t>
            </w:r>
          </w:p>
        </w:tc>
        <w:tc>
          <w:tcPr>
            <w:tcW w:w="1200" w:type="dxa"/>
            <w:tcBorders>
              <w:top w:val="nil"/>
              <w:left w:val="nil"/>
              <w:bottom w:val="single" w:sz="8" w:space="0" w:color="auto"/>
              <w:right w:val="single" w:sz="8" w:space="0" w:color="auto"/>
            </w:tcBorders>
            <w:shd w:val="clear" w:color="000000" w:fill="CCFFCC"/>
            <w:noWrap/>
            <w:vAlign w:val="bottom"/>
            <w:hideMark/>
          </w:tcPr>
          <w:p w:rsidR="00F963DD" w:rsidRPr="00F963DD" w:rsidRDefault="00F963DD" w:rsidP="00F963DD">
            <w:pPr>
              <w:jc w:val="center"/>
              <w:rPr>
                <w:rFonts w:ascii="Lucida Bright" w:hAnsi="Lucida Bright" w:cs="Calibri"/>
                <w:b/>
                <w:bCs/>
                <w:color w:val="000000"/>
                <w:sz w:val="14"/>
                <w:szCs w:val="14"/>
                <w:lang w:val="es-ES"/>
              </w:rPr>
            </w:pPr>
            <w:r w:rsidRPr="00F963DD">
              <w:rPr>
                <w:rFonts w:ascii="Lucida Bright" w:hAnsi="Lucida Bright" w:cs="Calibri"/>
                <w:b/>
                <w:bCs/>
                <w:color w:val="000000"/>
                <w:sz w:val="14"/>
                <w:szCs w:val="14"/>
                <w:lang w:val="es-ES"/>
              </w:rPr>
              <w:t>2022</w:t>
            </w:r>
          </w:p>
        </w:tc>
      </w:tr>
      <w:tr w:rsidR="00F963DD" w:rsidRPr="00F963DD" w:rsidTr="00F963DD">
        <w:trPr>
          <w:trHeight w:val="225"/>
        </w:trPr>
        <w:tc>
          <w:tcPr>
            <w:tcW w:w="2881" w:type="dxa"/>
            <w:gridSpan w:val="2"/>
            <w:tcBorders>
              <w:top w:val="nil"/>
              <w:left w:val="single" w:sz="8" w:space="0" w:color="auto"/>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Hacienda Pública acreedora por I.V.A.</w:t>
            </w:r>
          </w:p>
        </w:tc>
        <w:tc>
          <w:tcPr>
            <w:tcW w:w="1439" w:type="dxa"/>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1200" w:type="dxa"/>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2.032.595,09</w:t>
            </w:r>
          </w:p>
        </w:tc>
        <w:tc>
          <w:tcPr>
            <w:tcW w:w="1200" w:type="dxa"/>
            <w:tcBorders>
              <w:top w:val="nil"/>
              <w:left w:val="nil"/>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1.361.237,98</w:t>
            </w:r>
          </w:p>
        </w:tc>
      </w:tr>
      <w:tr w:rsidR="00F963DD" w:rsidRPr="00F963DD" w:rsidTr="00F963DD">
        <w:trPr>
          <w:trHeight w:val="225"/>
        </w:trPr>
        <w:tc>
          <w:tcPr>
            <w:tcW w:w="4320" w:type="dxa"/>
            <w:gridSpan w:val="3"/>
            <w:tcBorders>
              <w:top w:val="nil"/>
              <w:left w:val="single" w:sz="8" w:space="0" w:color="auto"/>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Hacienda Pública acreedora por retenciones IRPF/IS</w:t>
            </w:r>
          </w:p>
        </w:tc>
        <w:tc>
          <w:tcPr>
            <w:tcW w:w="1200" w:type="dxa"/>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401.440,81</w:t>
            </w:r>
          </w:p>
        </w:tc>
        <w:tc>
          <w:tcPr>
            <w:tcW w:w="1200" w:type="dxa"/>
            <w:tcBorders>
              <w:top w:val="nil"/>
              <w:left w:val="nil"/>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324.411,03</w:t>
            </w:r>
          </w:p>
        </w:tc>
      </w:tr>
      <w:tr w:rsidR="00F963DD" w:rsidRPr="00F963DD" w:rsidTr="00F963DD">
        <w:trPr>
          <w:trHeight w:val="225"/>
        </w:trPr>
        <w:tc>
          <w:tcPr>
            <w:tcW w:w="4320" w:type="dxa"/>
            <w:gridSpan w:val="3"/>
            <w:tcBorders>
              <w:top w:val="nil"/>
              <w:left w:val="single" w:sz="8" w:space="0" w:color="auto"/>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Organismos de la Seguridad Social acreedor</w:t>
            </w:r>
          </w:p>
        </w:tc>
        <w:tc>
          <w:tcPr>
            <w:tcW w:w="1200" w:type="dxa"/>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522.448,82</w:t>
            </w:r>
          </w:p>
        </w:tc>
        <w:tc>
          <w:tcPr>
            <w:tcW w:w="1200" w:type="dxa"/>
            <w:tcBorders>
              <w:top w:val="nil"/>
              <w:left w:val="nil"/>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451.760,95</w:t>
            </w:r>
          </w:p>
        </w:tc>
      </w:tr>
      <w:tr w:rsidR="00F963DD" w:rsidRPr="00F963DD" w:rsidTr="00F963DD">
        <w:trPr>
          <w:trHeight w:val="240"/>
        </w:trPr>
        <w:tc>
          <w:tcPr>
            <w:tcW w:w="2881" w:type="dxa"/>
            <w:gridSpan w:val="2"/>
            <w:tcBorders>
              <w:top w:val="nil"/>
              <w:left w:val="single" w:sz="8" w:space="0" w:color="auto"/>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Subvenciones oficiales, anticipos</w:t>
            </w:r>
          </w:p>
        </w:tc>
        <w:tc>
          <w:tcPr>
            <w:tcW w:w="1439" w:type="dxa"/>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481.115,62</w:t>
            </w:r>
          </w:p>
        </w:tc>
        <w:tc>
          <w:tcPr>
            <w:tcW w:w="1200" w:type="dxa"/>
            <w:tcBorders>
              <w:top w:val="nil"/>
              <w:left w:val="nil"/>
              <w:bottom w:val="single" w:sz="8" w:space="0" w:color="auto"/>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395.128,13</w:t>
            </w:r>
          </w:p>
        </w:tc>
      </w:tr>
      <w:tr w:rsidR="00F963DD" w:rsidRPr="00F963DD" w:rsidTr="00F963DD">
        <w:trPr>
          <w:trHeight w:val="240"/>
        </w:trPr>
        <w:tc>
          <w:tcPr>
            <w:tcW w:w="1442" w:type="dxa"/>
            <w:tcBorders>
              <w:top w:val="nil"/>
              <w:left w:val="single" w:sz="8" w:space="0" w:color="auto"/>
              <w:bottom w:val="single" w:sz="8" w:space="0" w:color="auto"/>
              <w:right w:val="nil"/>
            </w:tcBorders>
            <w:shd w:val="clear" w:color="auto" w:fill="auto"/>
            <w:noWrap/>
            <w:vAlign w:val="bottom"/>
            <w:hideMark/>
          </w:tcPr>
          <w:p w:rsidR="00F963DD" w:rsidRPr="00F963DD" w:rsidRDefault="00F963DD" w:rsidP="00F963DD">
            <w:pPr>
              <w:rPr>
                <w:rFonts w:ascii="Lucida Bright" w:hAnsi="Lucida Bright" w:cs="Calibri"/>
                <w:color w:val="000000"/>
                <w:sz w:val="16"/>
                <w:szCs w:val="16"/>
                <w:lang w:val="es-ES"/>
              </w:rPr>
            </w:pPr>
            <w:r w:rsidRPr="00F963DD">
              <w:rPr>
                <w:rFonts w:ascii="Lucida Bright" w:hAnsi="Lucida Bright" w:cs="Calibri"/>
                <w:color w:val="000000"/>
                <w:sz w:val="16"/>
                <w:szCs w:val="16"/>
                <w:lang w:val="es-ES"/>
              </w:rPr>
              <w:t> </w:t>
            </w:r>
          </w:p>
        </w:tc>
        <w:tc>
          <w:tcPr>
            <w:tcW w:w="1439" w:type="dxa"/>
            <w:tcBorders>
              <w:top w:val="nil"/>
              <w:left w:val="nil"/>
              <w:bottom w:val="single" w:sz="8" w:space="0" w:color="auto"/>
              <w:right w:val="nil"/>
            </w:tcBorders>
            <w:shd w:val="clear" w:color="auto" w:fill="auto"/>
            <w:noWrap/>
            <w:vAlign w:val="bottom"/>
            <w:hideMark/>
          </w:tcPr>
          <w:p w:rsidR="00F963DD" w:rsidRPr="00F963DD" w:rsidRDefault="00F963DD" w:rsidP="00F963DD">
            <w:pPr>
              <w:rPr>
                <w:rFonts w:ascii="Lucida Bright" w:hAnsi="Lucida Bright" w:cs="Calibri"/>
                <w:color w:val="000000"/>
                <w:sz w:val="16"/>
                <w:szCs w:val="16"/>
                <w:lang w:val="es-ES"/>
              </w:rPr>
            </w:pPr>
            <w:r w:rsidRPr="00F963DD">
              <w:rPr>
                <w:rFonts w:ascii="Lucida Bright" w:hAnsi="Lucida Bright" w:cs="Calibri"/>
                <w:color w:val="000000"/>
                <w:sz w:val="16"/>
                <w:szCs w:val="16"/>
                <w:lang w:val="es-ES"/>
              </w:rPr>
              <w:t> </w:t>
            </w:r>
          </w:p>
        </w:tc>
        <w:tc>
          <w:tcPr>
            <w:tcW w:w="1439" w:type="dxa"/>
            <w:tcBorders>
              <w:top w:val="nil"/>
              <w:left w:val="nil"/>
              <w:bottom w:val="single" w:sz="8" w:space="0" w:color="auto"/>
              <w:right w:val="nil"/>
            </w:tcBorders>
            <w:shd w:val="clear" w:color="auto" w:fill="auto"/>
            <w:noWrap/>
            <w:vAlign w:val="bottom"/>
            <w:hideMark/>
          </w:tcPr>
          <w:p w:rsidR="00F963DD" w:rsidRPr="00F963DD" w:rsidRDefault="00F963DD" w:rsidP="00F963DD">
            <w:pPr>
              <w:rPr>
                <w:rFonts w:ascii="Lucida Bright" w:hAnsi="Lucida Bright" w:cs="Calibri"/>
                <w:color w:val="000000"/>
                <w:sz w:val="16"/>
                <w:szCs w:val="16"/>
                <w:lang w:val="es-ES"/>
              </w:rPr>
            </w:pPr>
            <w:r w:rsidRPr="00F963DD">
              <w:rPr>
                <w:rFonts w:ascii="Lucida Bright" w:hAnsi="Lucida Bright" w:cs="Calibri"/>
                <w:color w:val="000000"/>
                <w:sz w:val="16"/>
                <w:szCs w:val="16"/>
                <w:lang w:val="es-ES"/>
              </w:rPr>
              <w:t> </w:t>
            </w:r>
          </w:p>
        </w:tc>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F963DD" w:rsidRPr="00F963DD" w:rsidRDefault="00F963DD" w:rsidP="00142EF3">
            <w:pPr>
              <w:jc w:val="right"/>
              <w:rPr>
                <w:rFonts w:ascii="Lucida Bright" w:hAnsi="Lucida Bright" w:cs="Calibri"/>
                <w:b/>
                <w:bCs/>
                <w:color w:val="000000"/>
                <w:sz w:val="14"/>
                <w:szCs w:val="14"/>
                <w:lang w:val="es-ES"/>
              </w:rPr>
            </w:pPr>
            <w:r w:rsidRPr="00F963DD">
              <w:rPr>
                <w:rFonts w:ascii="Lucida Bright" w:hAnsi="Lucida Bright" w:cs="Calibri"/>
                <w:b/>
                <w:bCs/>
                <w:color w:val="000000"/>
                <w:sz w:val="14"/>
                <w:szCs w:val="14"/>
                <w:lang w:val="es-ES"/>
              </w:rPr>
              <w:t>3.43</w:t>
            </w:r>
            <w:r w:rsidR="00142EF3">
              <w:rPr>
                <w:rFonts w:ascii="Lucida Bright" w:hAnsi="Lucida Bright" w:cs="Calibri"/>
                <w:b/>
                <w:bCs/>
                <w:color w:val="000000"/>
                <w:sz w:val="14"/>
                <w:szCs w:val="14"/>
                <w:lang w:val="es-ES"/>
              </w:rPr>
              <w:t>7</w:t>
            </w:r>
            <w:r w:rsidRPr="00F963DD">
              <w:rPr>
                <w:rFonts w:ascii="Lucida Bright" w:hAnsi="Lucida Bright" w:cs="Calibri"/>
                <w:b/>
                <w:bCs/>
                <w:color w:val="000000"/>
                <w:sz w:val="14"/>
                <w:szCs w:val="14"/>
                <w:lang w:val="es-ES"/>
              </w:rPr>
              <w:t>.6</w:t>
            </w:r>
            <w:r w:rsidR="00142EF3">
              <w:rPr>
                <w:rFonts w:ascii="Lucida Bright" w:hAnsi="Lucida Bright" w:cs="Calibri"/>
                <w:b/>
                <w:bCs/>
                <w:color w:val="000000"/>
                <w:sz w:val="14"/>
                <w:szCs w:val="14"/>
                <w:lang w:val="es-ES"/>
              </w:rPr>
              <w:t>00</w:t>
            </w:r>
            <w:r w:rsidRPr="00F963DD">
              <w:rPr>
                <w:rFonts w:ascii="Lucida Bright" w:hAnsi="Lucida Bright" w:cs="Calibri"/>
                <w:b/>
                <w:bCs/>
                <w:color w:val="000000"/>
                <w:sz w:val="14"/>
                <w:szCs w:val="14"/>
                <w:lang w:val="es-ES"/>
              </w:rPr>
              <w:t>,34</w:t>
            </w:r>
          </w:p>
        </w:tc>
        <w:tc>
          <w:tcPr>
            <w:tcW w:w="1200" w:type="dxa"/>
            <w:tcBorders>
              <w:top w:val="nil"/>
              <w:left w:val="nil"/>
              <w:bottom w:val="single" w:sz="8" w:space="0" w:color="auto"/>
              <w:right w:val="single" w:sz="8" w:space="0" w:color="auto"/>
            </w:tcBorders>
            <w:shd w:val="clear" w:color="auto" w:fill="auto"/>
            <w:noWrap/>
            <w:vAlign w:val="bottom"/>
            <w:hideMark/>
          </w:tcPr>
          <w:p w:rsidR="00F963DD" w:rsidRPr="00F963DD" w:rsidRDefault="00F963DD" w:rsidP="00142EF3">
            <w:pPr>
              <w:jc w:val="right"/>
              <w:rPr>
                <w:rFonts w:ascii="Lucida Bright" w:hAnsi="Lucida Bright" w:cs="Calibri"/>
                <w:b/>
                <w:bCs/>
                <w:color w:val="000000"/>
                <w:sz w:val="14"/>
                <w:szCs w:val="14"/>
                <w:lang w:val="es-ES"/>
              </w:rPr>
            </w:pPr>
            <w:r w:rsidRPr="00F963DD">
              <w:rPr>
                <w:rFonts w:ascii="Lucida Bright" w:hAnsi="Lucida Bright" w:cs="Calibri"/>
                <w:b/>
                <w:bCs/>
                <w:color w:val="000000"/>
                <w:sz w:val="14"/>
                <w:szCs w:val="14"/>
                <w:lang w:val="es-ES"/>
              </w:rPr>
              <w:t>2.53</w:t>
            </w:r>
            <w:r w:rsidR="00142EF3">
              <w:rPr>
                <w:rFonts w:ascii="Lucida Bright" w:hAnsi="Lucida Bright" w:cs="Calibri"/>
                <w:b/>
                <w:bCs/>
                <w:color w:val="000000"/>
                <w:sz w:val="14"/>
                <w:szCs w:val="14"/>
                <w:lang w:val="es-ES"/>
              </w:rPr>
              <w:t>2</w:t>
            </w:r>
            <w:r w:rsidRPr="00F963DD">
              <w:rPr>
                <w:rFonts w:ascii="Lucida Bright" w:hAnsi="Lucida Bright" w:cs="Calibri"/>
                <w:b/>
                <w:bCs/>
                <w:color w:val="000000"/>
                <w:sz w:val="14"/>
                <w:szCs w:val="14"/>
                <w:lang w:val="es-ES"/>
              </w:rPr>
              <w:t>.5</w:t>
            </w:r>
            <w:r w:rsidR="00142EF3">
              <w:rPr>
                <w:rFonts w:ascii="Lucida Bright" w:hAnsi="Lucida Bright" w:cs="Calibri"/>
                <w:b/>
                <w:bCs/>
                <w:color w:val="000000"/>
                <w:sz w:val="14"/>
                <w:szCs w:val="14"/>
                <w:lang w:val="es-ES"/>
              </w:rPr>
              <w:t>38</w:t>
            </w:r>
            <w:r w:rsidRPr="00F963DD">
              <w:rPr>
                <w:rFonts w:ascii="Lucida Bright" w:hAnsi="Lucida Bright" w:cs="Calibri"/>
                <w:b/>
                <w:bCs/>
                <w:color w:val="000000"/>
                <w:sz w:val="14"/>
                <w:szCs w:val="14"/>
                <w:lang w:val="es-ES"/>
              </w:rPr>
              <w:t>,09</w:t>
            </w:r>
          </w:p>
        </w:tc>
      </w:tr>
    </w:tbl>
    <w:p w:rsidR="00F963DD" w:rsidRDefault="00F963DD">
      <w:pPr>
        <w:tabs>
          <w:tab w:val="right" w:pos="8364"/>
        </w:tabs>
        <w:ind w:firstLine="540"/>
        <w:jc w:val="both"/>
        <w:rPr>
          <w:bCs/>
        </w:rPr>
      </w:pPr>
    </w:p>
    <w:p w:rsidR="00F963DD" w:rsidRDefault="00F963DD">
      <w:pPr>
        <w:tabs>
          <w:tab w:val="right" w:pos="8364"/>
        </w:tabs>
        <w:ind w:firstLine="540"/>
        <w:jc w:val="both"/>
        <w:rPr>
          <w:rFonts w:ascii="NewBaskerville" w:hAnsi="NewBaskerville"/>
          <w:bCs/>
          <w:u w:val="single"/>
        </w:rPr>
      </w:pPr>
    </w:p>
    <w:p w:rsidR="00F963DD" w:rsidRDefault="00F963DD">
      <w:pPr>
        <w:tabs>
          <w:tab w:val="right" w:pos="8364"/>
        </w:tabs>
        <w:ind w:firstLine="540"/>
        <w:jc w:val="both"/>
        <w:rPr>
          <w:rFonts w:ascii="NewBaskerville" w:hAnsi="NewBaskerville"/>
          <w:bCs/>
          <w:u w:val="single"/>
        </w:rPr>
      </w:pPr>
    </w:p>
    <w:p w:rsidR="00F963DD" w:rsidRDefault="00F963DD">
      <w:pPr>
        <w:tabs>
          <w:tab w:val="right" w:pos="8364"/>
        </w:tabs>
        <w:ind w:firstLine="540"/>
        <w:jc w:val="both"/>
        <w:rPr>
          <w:rFonts w:ascii="NewBaskerville" w:hAnsi="NewBaskerville"/>
          <w:bCs/>
          <w:u w:val="single"/>
        </w:rPr>
        <w:sectPr w:rsidR="00F963DD" w:rsidSect="00790C4F">
          <w:pgSz w:w="11907" w:h="16840" w:code="9"/>
          <w:pgMar w:top="1701" w:right="1418" w:bottom="1701" w:left="1985" w:header="567" w:footer="720" w:gutter="0"/>
          <w:cols w:space="720"/>
          <w:docGrid w:linePitch="272"/>
        </w:sectPr>
      </w:pPr>
    </w:p>
    <w:p w:rsidR="00F963DD" w:rsidRDefault="00F963DD">
      <w:pPr>
        <w:tabs>
          <w:tab w:val="right" w:pos="8364"/>
        </w:tabs>
        <w:ind w:firstLine="540"/>
        <w:jc w:val="both"/>
        <w:rPr>
          <w:rFonts w:ascii="NewBaskerville" w:hAnsi="NewBaskerville"/>
          <w:bCs/>
          <w:u w:val="single"/>
        </w:rPr>
      </w:pPr>
    </w:p>
    <w:p w:rsidR="00F86C94" w:rsidRDefault="00F86C94">
      <w:pPr>
        <w:tabs>
          <w:tab w:val="right" w:pos="8364"/>
        </w:tabs>
        <w:ind w:firstLine="540"/>
        <w:jc w:val="both"/>
        <w:rPr>
          <w:rFonts w:ascii="NewBaskerville" w:hAnsi="NewBaskerville"/>
          <w:bCs/>
          <w:u w:val="single"/>
        </w:rPr>
      </w:pPr>
      <w:r w:rsidRPr="00C7435A">
        <w:rPr>
          <w:rFonts w:ascii="NewBaskerville" w:hAnsi="NewBaskerville"/>
          <w:bCs/>
          <w:u w:val="single"/>
        </w:rPr>
        <w:t>Conciliación resultado contable y base imponible fiscal.</w:t>
      </w:r>
    </w:p>
    <w:p w:rsidR="00CA21B8" w:rsidRPr="00C7435A" w:rsidRDefault="00CA21B8">
      <w:pPr>
        <w:tabs>
          <w:tab w:val="right" w:pos="8364"/>
        </w:tabs>
        <w:ind w:firstLine="540"/>
        <w:jc w:val="both"/>
        <w:rPr>
          <w:rFonts w:ascii="NewBaskerville" w:hAnsi="NewBaskerville"/>
          <w:bCs/>
        </w:rPr>
      </w:pPr>
    </w:p>
    <w:p w:rsidR="00C7435A" w:rsidRDefault="0010198F" w:rsidP="00C7435A">
      <w:pPr>
        <w:tabs>
          <w:tab w:val="right" w:pos="8364"/>
        </w:tabs>
        <w:ind w:firstLine="540"/>
        <w:jc w:val="both"/>
        <w:rPr>
          <w:rFonts w:ascii="NewBaskerville" w:hAnsi="NewBaskerville"/>
          <w:bCs/>
        </w:rPr>
      </w:pPr>
      <w:r w:rsidRPr="00C7435A">
        <w:rPr>
          <w:rFonts w:ascii="NewBaskerville" w:hAnsi="NewBaskerville"/>
          <w:bCs/>
        </w:rPr>
        <w:t>La conciliación entre los ingresos y gastos del ejercicio y la base imponible del Impuesto sobre Sociedades es la siguiente:</w:t>
      </w:r>
    </w:p>
    <w:tbl>
      <w:tblPr>
        <w:tblW w:w="4880" w:type="pct"/>
        <w:tblLayout w:type="fixed"/>
        <w:tblCellMar>
          <w:left w:w="70" w:type="dxa"/>
          <w:right w:w="70" w:type="dxa"/>
        </w:tblCellMar>
        <w:tblLook w:val="04A0" w:firstRow="1" w:lastRow="0" w:firstColumn="1" w:lastColumn="0" w:noHBand="0" w:noVBand="1"/>
      </w:tblPr>
      <w:tblGrid>
        <w:gridCol w:w="1608"/>
        <w:gridCol w:w="1624"/>
        <w:gridCol w:w="938"/>
        <w:gridCol w:w="1309"/>
        <w:gridCol w:w="1254"/>
        <w:gridCol w:w="1296"/>
        <w:gridCol w:w="1254"/>
        <w:gridCol w:w="1275"/>
        <w:gridCol w:w="130"/>
        <w:gridCol w:w="1148"/>
        <w:gridCol w:w="329"/>
        <w:gridCol w:w="1087"/>
      </w:tblGrid>
      <w:tr w:rsidR="00F963DD" w:rsidRPr="00F963DD" w:rsidTr="00083185">
        <w:trPr>
          <w:trHeight w:val="20"/>
        </w:trPr>
        <w:tc>
          <w:tcPr>
            <w:tcW w:w="4033" w:type="pct"/>
            <w:gridSpan w:val="9"/>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b/>
                <w:bCs/>
                <w:color w:val="000000"/>
                <w:sz w:val="18"/>
                <w:szCs w:val="18"/>
                <w:lang w:val="es-ES"/>
              </w:rPr>
            </w:pPr>
            <w:r w:rsidRPr="00F963DD">
              <w:rPr>
                <w:rFonts w:ascii="Lucida Bright" w:hAnsi="Lucida Bright" w:cs="Calibri"/>
                <w:b/>
                <w:bCs/>
                <w:color w:val="000000"/>
                <w:sz w:val="18"/>
                <w:szCs w:val="18"/>
                <w:lang w:val="es-ES"/>
              </w:rPr>
              <w:t>Ejercicio 2023. Conciliación resultado contable y base imponible fiscal.</w:t>
            </w:r>
          </w:p>
        </w:tc>
        <w:tc>
          <w:tcPr>
            <w:tcW w:w="557" w:type="pct"/>
            <w:gridSpan w:val="2"/>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6"/>
                <w:szCs w:val="16"/>
                <w:lang w:val="es-ES"/>
              </w:rPr>
            </w:pPr>
          </w:p>
        </w:tc>
        <w:tc>
          <w:tcPr>
            <w:tcW w:w="410" w:type="pct"/>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6"/>
                <w:szCs w:val="16"/>
                <w:lang w:val="es-ES"/>
              </w:rPr>
            </w:pPr>
          </w:p>
        </w:tc>
      </w:tr>
      <w:tr w:rsidR="00F963DD" w:rsidRPr="00F963DD" w:rsidTr="00083185">
        <w:trPr>
          <w:trHeight w:val="20"/>
        </w:trPr>
        <w:tc>
          <w:tcPr>
            <w:tcW w:w="607" w:type="pct"/>
            <w:tcBorders>
              <w:top w:val="single" w:sz="8" w:space="0" w:color="auto"/>
              <w:left w:val="single" w:sz="8" w:space="0" w:color="auto"/>
              <w:bottom w:val="nil"/>
              <w:right w:val="nil"/>
            </w:tcBorders>
            <w:shd w:val="clear" w:color="000000" w:fill="CCFFCC"/>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613" w:type="pct"/>
            <w:tcBorders>
              <w:top w:val="single" w:sz="8" w:space="0" w:color="auto"/>
              <w:left w:val="nil"/>
              <w:bottom w:val="nil"/>
              <w:right w:val="nil"/>
            </w:tcBorders>
            <w:shd w:val="clear" w:color="000000" w:fill="CCFFCC"/>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354" w:type="pct"/>
            <w:tcBorders>
              <w:top w:val="single" w:sz="8" w:space="0" w:color="auto"/>
              <w:left w:val="nil"/>
              <w:bottom w:val="nil"/>
              <w:right w:val="single" w:sz="8" w:space="0" w:color="auto"/>
            </w:tcBorders>
            <w:shd w:val="clear" w:color="000000" w:fill="CCFFCC"/>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3427" w:type="pct"/>
            <w:gridSpan w:val="9"/>
            <w:tcBorders>
              <w:top w:val="single" w:sz="8" w:space="0" w:color="auto"/>
              <w:left w:val="nil"/>
              <w:bottom w:val="single" w:sz="8" w:space="0" w:color="auto"/>
              <w:right w:val="single" w:sz="8" w:space="0" w:color="000000"/>
            </w:tcBorders>
            <w:shd w:val="clear" w:color="000000" w:fill="CCFFCC"/>
            <w:vAlign w:val="bottom"/>
            <w:hideMark/>
          </w:tcPr>
          <w:p w:rsidR="00F963DD" w:rsidRPr="00F963DD" w:rsidRDefault="00F963DD" w:rsidP="00F963DD">
            <w:pPr>
              <w:jc w:val="cente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Euros</w:t>
            </w:r>
          </w:p>
        </w:tc>
      </w:tr>
      <w:tr w:rsidR="00083185" w:rsidRPr="00F963DD" w:rsidTr="00083185">
        <w:trPr>
          <w:trHeight w:val="20"/>
        </w:trPr>
        <w:tc>
          <w:tcPr>
            <w:tcW w:w="607" w:type="pct"/>
            <w:tcBorders>
              <w:top w:val="nil"/>
              <w:left w:val="single" w:sz="8" w:space="0" w:color="auto"/>
              <w:bottom w:val="single" w:sz="8" w:space="0" w:color="auto"/>
              <w:right w:val="nil"/>
            </w:tcBorders>
            <w:shd w:val="clear" w:color="000000" w:fill="CCFFCC"/>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613" w:type="pct"/>
            <w:tcBorders>
              <w:top w:val="nil"/>
              <w:left w:val="nil"/>
              <w:bottom w:val="single" w:sz="8" w:space="0" w:color="auto"/>
              <w:right w:val="nil"/>
            </w:tcBorders>
            <w:shd w:val="clear" w:color="000000" w:fill="CCFFCC"/>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354" w:type="pct"/>
            <w:tcBorders>
              <w:top w:val="nil"/>
              <w:left w:val="nil"/>
              <w:bottom w:val="single" w:sz="8" w:space="0" w:color="auto"/>
              <w:right w:val="single" w:sz="8" w:space="0" w:color="auto"/>
            </w:tcBorders>
            <w:shd w:val="clear" w:color="000000" w:fill="CCFFCC"/>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967" w:type="pct"/>
            <w:gridSpan w:val="2"/>
            <w:tcBorders>
              <w:top w:val="single" w:sz="8" w:space="0" w:color="auto"/>
              <w:left w:val="nil"/>
              <w:bottom w:val="single" w:sz="8" w:space="0" w:color="auto"/>
              <w:right w:val="single" w:sz="8" w:space="0" w:color="auto"/>
            </w:tcBorders>
            <w:shd w:val="clear" w:color="000000" w:fill="CCFFCC"/>
            <w:vAlign w:val="bottom"/>
            <w:hideMark/>
          </w:tcPr>
          <w:p w:rsidR="00F963DD" w:rsidRPr="00F963DD" w:rsidRDefault="00F963DD" w:rsidP="00F963DD">
            <w:pPr>
              <w:jc w:val="cente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Cuenta de Pérdidas y Ganancias</w:t>
            </w:r>
          </w:p>
        </w:tc>
        <w:tc>
          <w:tcPr>
            <w:tcW w:w="962" w:type="pct"/>
            <w:gridSpan w:val="2"/>
            <w:tcBorders>
              <w:top w:val="single" w:sz="8" w:space="0" w:color="auto"/>
              <w:left w:val="nil"/>
              <w:bottom w:val="single" w:sz="8" w:space="0" w:color="auto"/>
              <w:right w:val="single" w:sz="8" w:space="0" w:color="auto"/>
            </w:tcBorders>
            <w:shd w:val="clear" w:color="000000" w:fill="CCFFCC"/>
            <w:vAlign w:val="bottom"/>
            <w:hideMark/>
          </w:tcPr>
          <w:p w:rsidR="00F963DD" w:rsidRPr="00F963DD" w:rsidRDefault="00F963DD" w:rsidP="00F963DD">
            <w:pPr>
              <w:jc w:val="cente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Ingresos y Gastos Directamente Imputados al Patrimonio</w:t>
            </w:r>
          </w:p>
        </w:tc>
        <w:tc>
          <w:tcPr>
            <w:tcW w:w="963" w:type="pct"/>
            <w:gridSpan w:val="3"/>
            <w:tcBorders>
              <w:top w:val="single" w:sz="8" w:space="0" w:color="auto"/>
              <w:left w:val="nil"/>
              <w:bottom w:val="single" w:sz="8" w:space="0" w:color="auto"/>
              <w:right w:val="single" w:sz="8" w:space="0" w:color="auto"/>
            </w:tcBorders>
            <w:shd w:val="clear" w:color="000000" w:fill="CCFFCC"/>
            <w:vAlign w:val="bottom"/>
            <w:hideMark/>
          </w:tcPr>
          <w:p w:rsidR="00F963DD" w:rsidRPr="00F963DD" w:rsidRDefault="00F963DD" w:rsidP="00F963DD">
            <w:pPr>
              <w:jc w:val="cente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Reservas</w:t>
            </w:r>
          </w:p>
        </w:tc>
        <w:tc>
          <w:tcPr>
            <w:tcW w:w="534" w:type="pct"/>
            <w:gridSpan w:val="2"/>
            <w:tcBorders>
              <w:top w:val="nil"/>
              <w:left w:val="nil"/>
              <w:bottom w:val="single" w:sz="8" w:space="0" w:color="auto"/>
              <w:right w:val="single" w:sz="8" w:space="0" w:color="auto"/>
            </w:tcBorders>
            <w:shd w:val="clear" w:color="000000" w:fill="CCFFCC"/>
            <w:noWrap/>
            <w:vAlign w:val="bottom"/>
            <w:hideMark/>
          </w:tcPr>
          <w:p w:rsidR="00F963DD" w:rsidRPr="00F963DD" w:rsidRDefault="00F963DD" w:rsidP="00F963DD">
            <w:pPr>
              <w:jc w:val="cente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Total</w:t>
            </w:r>
          </w:p>
        </w:tc>
      </w:tr>
      <w:tr w:rsidR="00083185" w:rsidRPr="00F963DD" w:rsidTr="00083185">
        <w:trPr>
          <w:trHeight w:val="165"/>
        </w:trPr>
        <w:tc>
          <w:tcPr>
            <w:tcW w:w="1573"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963DD" w:rsidRPr="00F963DD" w:rsidRDefault="00F963DD" w:rsidP="00F963DD">
            <w:pPr>
              <w:jc w:val="cente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Resultado contable antes del Impuesto sobre Sociedades</w:t>
            </w:r>
          </w:p>
        </w:tc>
        <w:tc>
          <w:tcPr>
            <w:tcW w:w="96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963DD" w:rsidRPr="00F963DD" w:rsidRDefault="00F963DD" w:rsidP="00F963DD">
            <w:pPr>
              <w:jc w:val="cente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47.050.375,18</w:t>
            </w:r>
          </w:p>
        </w:tc>
        <w:tc>
          <w:tcPr>
            <w:tcW w:w="962"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963DD" w:rsidRPr="00F963DD" w:rsidRDefault="00F963DD" w:rsidP="00F963DD">
            <w:pPr>
              <w:jc w:val="cente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1.196.160,57</w:t>
            </w:r>
          </w:p>
        </w:tc>
        <w:tc>
          <w:tcPr>
            <w:tcW w:w="963"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963DD" w:rsidRPr="00F963DD" w:rsidRDefault="00F963DD" w:rsidP="00F963DD">
            <w:pPr>
              <w:jc w:val="cente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-81.228,02</w:t>
            </w:r>
          </w:p>
        </w:tc>
        <w:tc>
          <w:tcPr>
            <w:tcW w:w="534"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F963DD" w:rsidRPr="00F963DD" w:rsidRDefault="00F963DD" w:rsidP="00F963DD">
            <w:pPr>
              <w:jc w:val="cente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48.165.307,73</w:t>
            </w:r>
          </w:p>
        </w:tc>
      </w:tr>
      <w:tr w:rsidR="00083185" w:rsidRPr="00F963DD" w:rsidTr="00083185">
        <w:trPr>
          <w:trHeight w:val="165"/>
        </w:trPr>
        <w:tc>
          <w:tcPr>
            <w:tcW w:w="1573" w:type="pct"/>
            <w:gridSpan w:val="3"/>
            <w:vMerge/>
            <w:tcBorders>
              <w:top w:val="single" w:sz="8" w:space="0" w:color="auto"/>
              <w:left w:val="single" w:sz="8" w:space="0" w:color="auto"/>
              <w:bottom w:val="single" w:sz="8" w:space="0" w:color="000000"/>
              <w:right w:val="single" w:sz="8" w:space="0" w:color="000000"/>
            </w:tcBorders>
            <w:vAlign w:val="center"/>
            <w:hideMark/>
          </w:tcPr>
          <w:p w:rsidR="00F963DD" w:rsidRPr="00F963DD" w:rsidRDefault="00F963DD" w:rsidP="00F963DD">
            <w:pPr>
              <w:rPr>
                <w:rFonts w:ascii="Lucida Bright" w:hAnsi="Lucida Bright" w:cs="Calibri"/>
                <w:color w:val="000000"/>
                <w:sz w:val="14"/>
                <w:szCs w:val="14"/>
                <w:lang w:val="es-ES"/>
              </w:rPr>
            </w:pPr>
          </w:p>
        </w:tc>
        <w:tc>
          <w:tcPr>
            <w:tcW w:w="967" w:type="pct"/>
            <w:gridSpan w:val="2"/>
            <w:vMerge/>
            <w:tcBorders>
              <w:top w:val="single" w:sz="8" w:space="0" w:color="auto"/>
              <w:left w:val="single" w:sz="8" w:space="0" w:color="auto"/>
              <w:bottom w:val="single" w:sz="8" w:space="0" w:color="000000"/>
              <w:right w:val="single" w:sz="8" w:space="0" w:color="000000"/>
            </w:tcBorders>
            <w:vAlign w:val="center"/>
            <w:hideMark/>
          </w:tcPr>
          <w:p w:rsidR="00F963DD" w:rsidRPr="00F963DD" w:rsidRDefault="00F963DD" w:rsidP="00F963DD">
            <w:pPr>
              <w:rPr>
                <w:rFonts w:ascii="Lucida Bright" w:hAnsi="Lucida Bright" w:cs="Calibri"/>
                <w:color w:val="000000"/>
                <w:sz w:val="14"/>
                <w:szCs w:val="14"/>
                <w:lang w:val="es-ES"/>
              </w:rPr>
            </w:pPr>
          </w:p>
        </w:tc>
        <w:tc>
          <w:tcPr>
            <w:tcW w:w="962" w:type="pct"/>
            <w:gridSpan w:val="2"/>
            <w:vMerge/>
            <w:tcBorders>
              <w:top w:val="single" w:sz="8" w:space="0" w:color="auto"/>
              <w:left w:val="single" w:sz="8" w:space="0" w:color="auto"/>
              <w:bottom w:val="single" w:sz="8" w:space="0" w:color="000000"/>
              <w:right w:val="single" w:sz="8" w:space="0" w:color="000000"/>
            </w:tcBorders>
            <w:vAlign w:val="center"/>
            <w:hideMark/>
          </w:tcPr>
          <w:p w:rsidR="00F963DD" w:rsidRPr="00F963DD" w:rsidRDefault="00F963DD" w:rsidP="00F963DD">
            <w:pPr>
              <w:rPr>
                <w:rFonts w:ascii="Lucida Bright" w:hAnsi="Lucida Bright" w:cs="Calibri"/>
                <w:color w:val="000000"/>
                <w:sz w:val="14"/>
                <w:szCs w:val="14"/>
                <w:lang w:val="es-ES"/>
              </w:rPr>
            </w:pPr>
          </w:p>
        </w:tc>
        <w:tc>
          <w:tcPr>
            <w:tcW w:w="963" w:type="pct"/>
            <w:gridSpan w:val="3"/>
            <w:vMerge/>
            <w:tcBorders>
              <w:top w:val="single" w:sz="8" w:space="0" w:color="auto"/>
              <w:left w:val="single" w:sz="8" w:space="0" w:color="auto"/>
              <w:bottom w:val="single" w:sz="8" w:space="0" w:color="000000"/>
              <w:right w:val="single" w:sz="8" w:space="0" w:color="000000"/>
            </w:tcBorders>
            <w:vAlign w:val="center"/>
            <w:hideMark/>
          </w:tcPr>
          <w:p w:rsidR="00F963DD" w:rsidRPr="00F963DD" w:rsidRDefault="00F963DD" w:rsidP="00F963DD">
            <w:pPr>
              <w:rPr>
                <w:rFonts w:ascii="Lucida Bright" w:hAnsi="Lucida Bright" w:cs="Calibri"/>
                <w:color w:val="000000"/>
                <w:sz w:val="14"/>
                <w:szCs w:val="14"/>
                <w:lang w:val="es-ES"/>
              </w:rPr>
            </w:pPr>
          </w:p>
        </w:tc>
        <w:tc>
          <w:tcPr>
            <w:tcW w:w="534" w:type="pct"/>
            <w:gridSpan w:val="2"/>
            <w:vMerge/>
            <w:tcBorders>
              <w:top w:val="nil"/>
              <w:left w:val="single" w:sz="8" w:space="0" w:color="auto"/>
              <w:bottom w:val="single" w:sz="8" w:space="0" w:color="000000"/>
              <w:right w:val="single" w:sz="8" w:space="0" w:color="auto"/>
            </w:tcBorders>
            <w:vAlign w:val="center"/>
            <w:hideMark/>
          </w:tcPr>
          <w:p w:rsidR="00F963DD" w:rsidRPr="00F963DD" w:rsidRDefault="00F963DD" w:rsidP="00F963DD">
            <w:pPr>
              <w:rPr>
                <w:rFonts w:ascii="Lucida Bright" w:hAnsi="Lucida Bright" w:cs="Calibri"/>
                <w:color w:val="000000"/>
                <w:sz w:val="14"/>
                <w:szCs w:val="14"/>
                <w:lang w:val="es-ES"/>
              </w:rPr>
            </w:pPr>
          </w:p>
        </w:tc>
      </w:tr>
      <w:tr w:rsidR="00083185" w:rsidRPr="00F963DD" w:rsidTr="00083185">
        <w:trPr>
          <w:trHeight w:val="20"/>
        </w:trPr>
        <w:tc>
          <w:tcPr>
            <w:tcW w:w="1573" w:type="pct"/>
            <w:gridSpan w:val="3"/>
            <w:vMerge/>
            <w:tcBorders>
              <w:top w:val="single" w:sz="8" w:space="0" w:color="auto"/>
              <w:left w:val="single" w:sz="8" w:space="0" w:color="auto"/>
              <w:bottom w:val="single" w:sz="8" w:space="0" w:color="000000"/>
              <w:right w:val="single" w:sz="8" w:space="0" w:color="000000"/>
            </w:tcBorders>
            <w:vAlign w:val="center"/>
            <w:hideMark/>
          </w:tcPr>
          <w:p w:rsidR="00F963DD" w:rsidRPr="00F963DD" w:rsidRDefault="00F963DD" w:rsidP="00F963DD">
            <w:pPr>
              <w:rPr>
                <w:rFonts w:ascii="Lucida Bright" w:hAnsi="Lucida Bright" w:cs="Calibri"/>
                <w:color w:val="000000"/>
                <w:sz w:val="14"/>
                <w:szCs w:val="14"/>
                <w:lang w:val="es-ES"/>
              </w:rPr>
            </w:pPr>
          </w:p>
        </w:tc>
        <w:tc>
          <w:tcPr>
            <w:tcW w:w="494"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xml:space="preserve">Aumentos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Disminuciones</w:t>
            </w:r>
          </w:p>
        </w:tc>
        <w:tc>
          <w:tcPr>
            <w:tcW w:w="489"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xml:space="preserve">Aumentos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Disminuciones</w:t>
            </w:r>
          </w:p>
        </w:tc>
        <w:tc>
          <w:tcPr>
            <w:tcW w:w="481" w:type="pct"/>
            <w:tcBorders>
              <w:top w:val="nil"/>
              <w:left w:val="nil"/>
              <w:bottom w:val="single" w:sz="4" w:space="0" w:color="auto"/>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xml:space="preserve">Aumentos </w:t>
            </w:r>
          </w:p>
        </w:tc>
        <w:tc>
          <w:tcPr>
            <w:tcW w:w="482" w:type="pct"/>
            <w:gridSpan w:val="2"/>
            <w:tcBorders>
              <w:top w:val="nil"/>
              <w:left w:val="nil"/>
              <w:bottom w:val="single" w:sz="4" w:space="0" w:color="auto"/>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Disminuciones</w:t>
            </w:r>
          </w:p>
        </w:tc>
        <w:tc>
          <w:tcPr>
            <w:tcW w:w="534" w:type="pct"/>
            <w:gridSpan w:val="2"/>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r>
      <w:tr w:rsidR="00083185" w:rsidRPr="00F963DD" w:rsidTr="00083185">
        <w:trPr>
          <w:trHeight w:val="20"/>
        </w:trPr>
        <w:tc>
          <w:tcPr>
            <w:tcW w:w="607" w:type="pct"/>
            <w:tcBorders>
              <w:top w:val="nil"/>
              <w:left w:val="single" w:sz="8" w:space="0" w:color="auto"/>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613" w:type="pct"/>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354"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94" w:type="pct"/>
            <w:tcBorders>
              <w:top w:val="single" w:sz="8" w:space="0" w:color="auto"/>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single" w:sz="8" w:space="0" w:color="auto"/>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9" w:type="pct"/>
            <w:tcBorders>
              <w:top w:val="single" w:sz="8" w:space="0" w:color="auto"/>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single" w:sz="8" w:space="0" w:color="auto"/>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1"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2" w:type="pct"/>
            <w:gridSpan w:val="2"/>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534" w:type="pct"/>
            <w:gridSpan w:val="2"/>
            <w:tcBorders>
              <w:top w:val="single" w:sz="8" w:space="0" w:color="auto"/>
              <w:left w:val="single" w:sz="8" w:space="0" w:color="auto"/>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r>
      <w:tr w:rsidR="00083185" w:rsidRPr="00F963DD" w:rsidTr="00083185">
        <w:trPr>
          <w:trHeight w:val="20"/>
        </w:trPr>
        <w:tc>
          <w:tcPr>
            <w:tcW w:w="1219" w:type="pct"/>
            <w:gridSpan w:val="2"/>
            <w:tcBorders>
              <w:top w:val="nil"/>
              <w:left w:val="single" w:sz="8" w:space="0" w:color="auto"/>
              <w:bottom w:val="nil"/>
              <w:right w:val="nil"/>
            </w:tcBorders>
            <w:shd w:val="clear" w:color="auto" w:fill="auto"/>
            <w:noWrap/>
            <w:vAlign w:val="center"/>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Diferencias permanentes:</w:t>
            </w:r>
          </w:p>
        </w:tc>
        <w:tc>
          <w:tcPr>
            <w:tcW w:w="354"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94"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9"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1"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2" w:type="pct"/>
            <w:gridSpan w:val="2"/>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534" w:type="pct"/>
            <w:gridSpan w:val="2"/>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r>
      <w:tr w:rsidR="00083185" w:rsidRPr="00F963DD" w:rsidTr="00083185">
        <w:trPr>
          <w:trHeight w:val="20"/>
        </w:trPr>
        <w:tc>
          <w:tcPr>
            <w:tcW w:w="1573" w:type="pct"/>
            <w:gridSpan w:val="3"/>
            <w:tcBorders>
              <w:top w:val="nil"/>
              <w:left w:val="single" w:sz="8" w:space="0" w:color="auto"/>
              <w:bottom w:val="nil"/>
              <w:right w:val="single" w:sz="8" w:space="0" w:color="000000"/>
            </w:tcBorders>
            <w:shd w:val="clear" w:color="auto" w:fill="auto"/>
            <w:noWrap/>
            <w:vAlign w:val="center"/>
            <w:hideMark/>
          </w:tcPr>
          <w:p w:rsidR="00F963DD" w:rsidRPr="00F963DD" w:rsidRDefault="00F963DD" w:rsidP="00F963DD">
            <w:pPr>
              <w:rPr>
                <w:rFonts w:ascii="Lucida Bright" w:hAnsi="Lucida Bright" w:cs="Calibri"/>
                <w:i/>
                <w:iCs/>
                <w:color w:val="000000"/>
                <w:sz w:val="14"/>
                <w:szCs w:val="14"/>
                <w:lang w:val="es-ES"/>
              </w:rPr>
            </w:pPr>
            <w:r w:rsidRPr="00F963DD">
              <w:rPr>
                <w:rFonts w:ascii="Lucida Bright" w:hAnsi="Lucida Bright" w:cs="Calibri"/>
                <w:i/>
                <w:iCs/>
                <w:color w:val="000000"/>
                <w:sz w:val="14"/>
                <w:szCs w:val="14"/>
                <w:lang w:val="es-ES"/>
              </w:rPr>
              <w:t xml:space="preserve">Dotación </w:t>
            </w:r>
            <w:proofErr w:type="spellStart"/>
            <w:r w:rsidRPr="00F963DD">
              <w:rPr>
                <w:rFonts w:ascii="Lucida Bright" w:hAnsi="Lucida Bright" w:cs="Calibri"/>
                <w:i/>
                <w:iCs/>
                <w:color w:val="000000"/>
                <w:sz w:val="14"/>
                <w:szCs w:val="14"/>
                <w:lang w:val="es-ES"/>
              </w:rPr>
              <w:t>amort</w:t>
            </w:r>
            <w:proofErr w:type="spellEnd"/>
            <w:r w:rsidRPr="00F963DD">
              <w:rPr>
                <w:rFonts w:ascii="Lucida Bright" w:hAnsi="Lucida Bright" w:cs="Calibri"/>
                <w:i/>
                <w:iCs/>
                <w:color w:val="000000"/>
                <w:sz w:val="14"/>
                <w:szCs w:val="14"/>
                <w:lang w:val="es-ES"/>
              </w:rPr>
              <w:t xml:space="preserve"> superior Plan Especial</w:t>
            </w:r>
          </w:p>
        </w:tc>
        <w:tc>
          <w:tcPr>
            <w:tcW w:w="494" w:type="pct"/>
            <w:tcBorders>
              <w:top w:val="nil"/>
              <w:left w:val="nil"/>
              <w:bottom w:val="nil"/>
              <w:right w:val="single" w:sz="4" w:space="0" w:color="auto"/>
            </w:tcBorders>
            <w:shd w:val="clear" w:color="auto" w:fill="auto"/>
            <w:noWrap/>
            <w:vAlign w:val="bottom"/>
            <w:hideMark/>
          </w:tcPr>
          <w:p w:rsidR="00F963DD" w:rsidRPr="00F963DD" w:rsidRDefault="00F963DD" w:rsidP="00D01D3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1.036.805,1</w:t>
            </w:r>
            <w:r w:rsidR="00D01D3D">
              <w:rPr>
                <w:rFonts w:ascii="Lucida Bright" w:hAnsi="Lucida Bright" w:cs="Calibri"/>
                <w:color w:val="000000"/>
                <w:sz w:val="14"/>
                <w:szCs w:val="14"/>
                <w:lang w:val="es-ES"/>
              </w:rPr>
              <w:t>3</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9"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1"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2" w:type="pct"/>
            <w:gridSpan w:val="2"/>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534" w:type="pct"/>
            <w:gridSpan w:val="2"/>
            <w:tcBorders>
              <w:top w:val="nil"/>
              <w:left w:val="single" w:sz="8" w:space="0" w:color="auto"/>
              <w:bottom w:val="nil"/>
              <w:right w:val="single" w:sz="8" w:space="0" w:color="auto"/>
            </w:tcBorders>
            <w:shd w:val="clear" w:color="auto" w:fill="auto"/>
            <w:noWrap/>
            <w:vAlign w:val="bottom"/>
            <w:hideMark/>
          </w:tcPr>
          <w:p w:rsidR="00F963DD" w:rsidRPr="00F963DD" w:rsidRDefault="00F963DD" w:rsidP="00D01D3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1.036.805,1</w:t>
            </w:r>
            <w:r w:rsidR="00D01D3D">
              <w:rPr>
                <w:rFonts w:ascii="Lucida Bright" w:hAnsi="Lucida Bright" w:cs="Calibri"/>
                <w:color w:val="000000"/>
                <w:sz w:val="14"/>
                <w:szCs w:val="14"/>
                <w:lang w:val="es-ES"/>
              </w:rPr>
              <w:t>3</w:t>
            </w:r>
          </w:p>
        </w:tc>
      </w:tr>
      <w:tr w:rsidR="00083185" w:rsidRPr="00F963DD" w:rsidTr="00083185">
        <w:trPr>
          <w:trHeight w:val="20"/>
        </w:trPr>
        <w:tc>
          <w:tcPr>
            <w:tcW w:w="1573" w:type="pct"/>
            <w:gridSpan w:val="3"/>
            <w:tcBorders>
              <w:top w:val="nil"/>
              <w:left w:val="single" w:sz="8" w:space="0" w:color="auto"/>
              <w:bottom w:val="nil"/>
              <w:right w:val="single" w:sz="8" w:space="0" w:color="000000"/>
            </w:tcBorders>
            <w:shd w:val="clear" w:color="auto" w:fill="auto"/>
            <w:noWrap/>
            <w:vAlign w:val="center"/>
            <w:hideMark/>
          </w:tcPr>
          <w:p w:rsidR="00F963DD" w:rsidRPr="00F963DD" w:rsidRDefault="00F963DD" w:rsidP="00F963DD">
            <w:pPr>
              <w:rPr>
                <w:rFonts w:ascii="Lucida Bright" w:hAnsi="Lucida Bright" w:cs="Calibri"/>
                <w:i/>
                <w:iCs/>
                <w:color w:val="000000"/>
                <w:sz w:val="14"/>
                <w:szCs w:val="14"/>
                <w:lang w:val="es-ES"/>
              </w:rPr>
            </w:pPr>
            <w:proofErr w:type="spellStart"/>
            <w:r w:rsidRPr="00F963DD">
              <w:rPr>
                <w:rFonts w:ascii="Lucida Bright" w:hAnsi="Lucida Bright" w:cs="Calibri"/>
                <w:i/>
                <w:iCs/>
                <w:color w:val="000000"/>
                <w:sz w:val="14"/>
                <w:szCs w:val="14"/>
                <w:lang w:val="es-ES"/>
              </w:rPr>
              <w:t>Ing</w:t>
            </w:r>
            <w:proofErr w:type="spellEnd"/>
            <w:r w:rsidRPr="00F963DD">
              <w:rPr>
                <w:rFonts w:ascii="Lucida Bright" w:hAnsi="Lucida Bright" w:cs="Calibri"/>
                <w:i/>
                <w:iCs/>
                <w:color w:val="000000"/>
                <w:sz w:val="14"/>
                <w:szCs w:val="14"/>
                <w:lang w:val="es-ES"/>
              </w:rPr>
              <w:t xml:space="preserve"> </w:t>
            </w:r>
            <w:proofErr w:type="spellStart"/>
            <w:r w:rsidRPr="00F963DD">
              <w:rPr>
                <w:rFonts w:ascii="Lucida Bright" w:hAnsi="Lucida Bright" w:cs="Calibri"/>
                <w:i/>
                <w:iCs/>
                <w:color w:val="000000"/>
                <w:sz w:val="14"/>
                <w:szCs w:val="14"/>
                <w:lang w:val="es-ES"/>
              </w:rPr>
              <w:t>trasp</w:t>
            </w:r>
            <w:proofErr w:type="spellEnd"/>
            <w:r w:rsidRPr="00F963DD">
              <w:rPr>
                <w:rFonts w:ascii="Lucida Bright" w:hAnsi="Lucida Bright" w:cs="Calibri"/>
                <w:i/>
                <w:iCs/>
                <w:color w:val="000000"/>
                <w:sz w:val="14"/>
                <w:szCs w:val="14"/>
                <w:lang w:val="es-ES"/>
              </w:rPr>
              <w:t xml:space="preserve"> </w:t>
            </w:r>
            <w:proofErr w:type="spellStart"/>
            <w:r w:rsidRPr="00F963DD">
              <w:rPr>
                <w:rFonts w:ascii="Lucida Bright" w:hAnsi="Lucida Bright" w:cs="Calibri"/>
                <w:i/>
                <w:iCs/>
                <w:color w:val="000000"/>
                <w:sz w:val="14"/>
                <w:szCs w:val="14"/>
                <w:lang w:val="es-ES"/>
              </w:rPr>
              <w:t>rdo</w:t>
            </w:r>
            <w:proofErr w:type="spellEnd"/>
            <w:r w:rsidRPr="00F963DD">
              <w:rPr>
                <w:rFonts w:ascii="Lucida Bright" w:hAnsi="Lucida Bright" w:cs="Calibri"/>
                <w:i/>
                <w:iCs/>
                <w:color w:val="000000"/>
                <w:sz w:val="14"/>
                <w:szCs w:val="14"/>
                <w:lang w:val="es-ES"/>
              </w:rPr>
              <w:t xml:space="preserve"> reversiones </w:t>
            </w:r>
            <w:proofErr w:type="spellStart"/>
            <w:r w:rsidRPr="00F963DD">
              <w:rPr>
                <w:rFonts w:ascii="Lucida Bright" w:hAnsi="Lucida Bright" w:cs="Calibri"/>
                <w:i/>
                <w:iCs/>
                <w:color w:val="000000"/>
                <w:sz w:val="14"/>
                <w:szCs w:val="14"/>
                <w:lang w:val="es-ES"/>
              </w:rPr>
              <w:t>conc</w:t>
            </w:r>
            <w:proofErr w:type="spellEnd"/>
            <w:r w:rsidRPr="00F963DD">
              <w:rPr>
                <w:rFonts w:ascii="Lucida Bright" w:hAnsi="Lucida Bright" w:cs="Calibri"/>
                <w:i/>
                <w:iCs/>
                <w:color w:val="000000"/>
                <w:sz w:val="14"/>
                <w:szCs w:val="14"/>
                <w:lang w:val="es-ES"/>
              </w:rPr>
              <w:t xml:space="preserve"> </w:t>
            </w:r>
            <w:proofErr w:type="spellStart"/>
            <w:r w:rsidRPr="00F963DD">
              <w:rPr>
                <w:rFonts w:ascii="Lucida Bright" w:hAnsi="Lucida Bright" w:cs="Calibri"/>
                <w:i/>
                <w:iCs/>
                <w:color w:val="000000"/>
                <w:sz w:val="14"/>
                <w:szCs w:val="14"/>
                <w:lang w:val="es-ES"/>
              </w:rPr>
              <w:t>ej</w:t>
            </w:r>
            <w:proofErr w:type="spellEnd"/>
            <w:r w:rsidRPr="00F963DD">
              <w:rPr>
                <w:rFonts w:ascii="Lucida Bright" w:hAnsi="Lucida Bright" w:cs="Calibri"/>
                <w:i/>
                <w:iCs/>
                <w:color w:val="000000"/>
                <w:sz w:val="14"/>
                <w:szCs w:val="14"/>
                <w:lang w:val="es-ES"/>
              </w:rPr>
              <w:t xml:space="preserve"> ante 2020</w:t>
            </w:r>
          </w:p>
        </w:tc>
        <w:tc>
          <w:tcPr>
            <w:tcW w:w="494"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121.594,21</w:t>
            </w:r>
          </w:p>
        </w:tc>
        <w:tc>
          <w:tcPr>
            <w:tcW w:w="489"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1"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2" w:type="pct"/>
            <w:gridSpan w:val="2"/>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534" w:type="pct"/>
            <w:gridSpan w:val="2"/>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(121.594,21)</w:t>
            </w:r>
          </w:p>
        </w:tc>
      </w:tr>
      <w:tr w:rsidR="00083185" w:rsidRPr="00F963DD" w:rsidTr="00083185">
        <w:trPr>
          <w:trHeight w:val="20"/>
        </w:trPr>
        <w:tc>
          <w:tcPr>
            <w:tcW w:w="1219" w:type="pct"/>
            <w:gridSpan w:val="2"/>
            <w:tcBorders>
              <w:top w:val="nil"/>
              <w:left w:val="single" w:sz="8" w:space="0" w:color="auto"/>
              <w:bottom w:val="nil"/>
              <w:right w:val="nil"/>
            </w:tcBorders>
            <w:shd w:val="clear" w:color="auto" w:fill="auto"/>
            <w:noWrap/>
            <w:vAlign w:val="center"/>
            <w:hideMark/>
          </w:tcPr>
          <w:p w:rsidR="00F963DD" w:rsidRPr="00F963DD" w:rsidRDefault="00F963DD" w:rsidP="00F963DD">
            <w:pPr>
              <w:rPr>
                <w:rFonts w:ascii="Lucida Bright" w:hAnsi="Lucida Bright" w:cs="Calibri"/>
                <w:i/>
                <w:iCs/>
                <w:color w:val="000000"/>
                <w:sz w:val="14"/>
                <w:szCs w:val="14"/>
                <w:lang w:val="es-ES"/>
              </w:rPr>
            </w:pPr>
            <w:r w:rsidRPr="00F963DD">
              <w:rPr>
                <w:rFonts w:ascii="Lucida Bright" w:hAnsi="Lucida Bright" w:cs="Calibri"/>
                <w:i/>
                <w:iCs/>
                <w:color w:val="000000"/>
                <w:sz w:val="14"/>
                <w:szCs w:val="14"/>
                <w:lang w:val="es-ES"/>
              </w:rPr>
              <w:t>Gastos no económicos del ejercicio</w:t>
            </w:r>
          </w:p>
        </w:tc>
        <w:tc>
          <w:tcPr>
            <w:tcW w:w="354"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94" w:type="pct"/>
            <w:tcBorders>
              <w:top w:val="nil"/>
              <w:left w:val="nil"/>
              <w:bottom w:val="nil"/>
              <w:right w:val="single" w:sz="4" w:space="0" w:color="auto"/>
            </w:tcBorders>
            <w:shd w:val="clear" w:color="auto" w:fill="auto"/>
            <w:noWrap/>
            <w:vAlign w:val="bottom"/>
            <w:hideMark/>
          </w:tcPr>
          <w:p w:rsidR="00F963DD" w:rsidRPr="00F963DD" w:rsidRDefault="00F963DD" w:rsidP="00D01D3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5.617.171,7</w:t>
            </w:r>
            <w:r w:rsidR="00D01D3D">
              <w:rPr>
                <w:rFonts w:ascii="Lucida Bright" w:hAnsi="Lucida Bright" w:cs="Calibri"/>
                <w:color w:val="000000"/>
                <w:sz w:val="14"/>
                <w:szCs w:val="14"/>
                <w:lang w:val="es-ES"/>
              </w:rPr>
              <w:t>7</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9"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1"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2" w:type="pct"/>
            <w:gridSpan w:val="2"/>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534" w:type="pct"/>
            <w:gridSpan w:val="2"/>
            <w:tcBorders>
              <w:top w:val="nil"/>
              <w:left w:val="single" w:sz="8" w:space="0" w:color="auto"/>
              <w:bottom w:val="nil"/>
              <w:right w:val="single" w:sz="8" w:space="0" w:color="auto"/>
            </w:tcBorders>
            <w:shd w:val="clear" w:color="auto" w:fill="auto"/>
            <w:noWrap/>
            <w:vAlign w:val="bottom"/>
            <w:hideMark/>
          </w:tcPr>
          <w:p w:rsidR="00F963DD" w:rsidRPr="00F963DD" w:rsidRDefault="00F963DD" w:rsidP="00D01D3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5.617.171,7</w:t>
            </w:r>
            <w:r w:rsidR="00D01D3D">
              <w:rPr>
                <w:rFonts w:ascii="Lucida Bright" w:hAnsi="Lucida Bright" w:cs="Calibri"/>
                <w:color w:val="000000"/>
                <w:sz w:val="14"/>
                <w:szCs w:val="14"/>
                <w:lang w:val="es-ES"/>
              </w:rPr>
              <w:t>7</w:t>
            </w:r>
          </w:p>
        </w:tc>
      </w:tr>
      <w:tr w:rsidR="00083185" w:rsidRPr="00F963DD" w:rsidTr="00083185">
        <w:trPr>
          <w:trHeight w:val="20"/>
        </w:trPr>
        <w:tc>
          <w:tcPr>
            <w:tcW w:w="1219" w:type="pct"/>
            <w:gridSpan w:val="2"/>
            <w:tcBorders>
              <w:top w:val="nil"/>
              <w:left w:val="single" w:sz="8" w:space="0" w:color="auto"/>
              <w:bottom w:val="nil"/>
              <w:right w:val="nil"/>
            </w:tcBorders>
            <w:shd w:val="clear" w:color="auto" w:fill="auto"/>
            <w:noWrap/>
            <w:vAlign w:val="center"/>
            <w:hideMark/>
          </w:tcPr>
          <w:p w:rsidR="00F963DD" w:rsidRPr="00F963DD" w:rsidRDefault="00F963DD" w:rsidP="00F963DD">
            <w:pPr>
              <w:rPr>
                <w:rFonts w:ascii="Lucida Bright" w:hAnsi="Lucida Bright" w:cs="Calibri"/>
                <w:i/>
                <w:iCs/>
                <w:color w:val="000000"/>
                <w:sz w:val="14"/>
                <w:szCs w:val="14"/>
                <w:lang w:val="es-ES"/>
              </w:rPr>
            </w:pPr>
            <w:r w:rsidRPr="00F963DD">
              <w:rPr>
                <w:rFonts w:ascii="Lucida Bright" w:hAnsi="Lucida Bright" w:cs="Calibri"/>
                <w:i/>
                <w:iCs/>
                <w:color w:val="000000"/>
                <w:sz w:val="14"/>
                <w:szCs w:val="14"/>
                <w:lang w:val="es-ES"/>
              </w:rPr>
              <w:t>Gastos no deducibles</w:t>
            </w:r>
          </w:p>
        </w:tc>
        <w:tc>
          <w:tcPr>
            <w:tcW w:w="354"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94" w:type="pct"/>
            <w:tcBorders>
              <w:top w:val="nil"/>
              <w:left w:val="nil"/>
              <w:bottom w:val="nil"/>
              <w:right w:val="single" w:sz="4"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85.386,00</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9"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1"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2" w:type="pct"/>
            <w:gridSpan w:val="2"/>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534" w:type="pct"/>
            <w:gridSpan w:val="2"/>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85.386,00</w:t>
            </w:r>
          </w:p>
        </w:tc>
      </w:tr>
      <w:tr w:rsidR="00083185" w:rsidRPr="00F963DD" w:rsidTr="00083185">
        <w:trPr>
          <w:trHeight w:val="20"/>
        </w:trPr>
        <w:tc>
          <w:tcPr>
            <w:tcW w:w="1573" w:type="pct"/>
            <w:gridSpan w:val="3"/>
            <w:tcBorders>
              <w:top w:val="nil"/>
              <w:left w:val="single" w:sz="8" w:space="0" w:color="auto"/>
              <w:bottom w:val="nil"/>
              <w:right w:val="single" w:sz="8" w:space="0" w:color="000000"/>
            </w:tcBorders>
            <w:shd w:val="clear" w:color="auto" w:fill="auto"/>
            <w:noWrap/>
            <w:vAlign w:val="center"/>
            <w:hideMark/>
          </w:tcPr>
          <w:p w:rsidR="00F963DD" w:rsidRPr="00F963DD" w:rsidRDefault="00F963DD" w:rsidP="00F963DD">
            <w:pPr>
              <w:rPr>
                <w:rFonts w:ascii="Lucida Bright" w:hAnsi="Lucida Bright" w:cs="Calibri"/>
                <w:i/>
                <w:iCs/>
                <w:color w:val="000000"/>
                <w:sz w:val="14"/>
                <w:szCs w:val="14"/>
                <w:lang w:val="es-ES"/>
              </w:rPr>
            </w:pPr>
            <w:r w:rsidRPr="00F963DD">
              <w:rPr>
                <w:rFonts w:ascii="Lucida Bright" w:hAnsi="Lucida Bright" w:cs="Calibri"/>
                <w:i/>
                <w:iCs/>
                <w:color w:val="000000"/>
                <w:sz w:val="14"/>
                <w:szCs w:val="14"/>
                <w:lang w:val="es-ES"/>
              </w:rPr>
              <w:t>Cambios de criterio y errores contables</w:t>
            </w:r>
          </w:p>
        </w:tc>
        <w:tc>
          <w:tcPr>
            <w:tcW w:w="494"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9"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1" w:type="pct"/>
            <w:tcBorders>
              <w:top w:val="nil"/>
              <w:left w:val="nil"/>
              <w:bottom w:val="nil"/>
              <w:right w:val="single" w:sz="4"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85.040,09</w:t>
            </w:r>
          </w:p>
        </w:tc>
        <w:tc>
          <w:tcPr>
            <w:tcW w:w="482" w:type="pct"/>
            <w:gridSpan w:val="2"/>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534" w:type="pct"/>
            <w:gridSpan w:val="2"/>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85.040,09</w:t>
            </w:r>
          </w:p>
        </w:tc>
      </w:tr>
      <w:tr w:rsidR="00083185" w:rsidRPr="00F963DD" w:rsidTr="00083185">
        <w:trPr>
          <w:trHeight w:val="20"/>
        </w:trPr>
        <w:tc>
          <w:tcPr>
            <w:tcW w:w="1573" w:type="pct"/>
            <w:gridSpan w:val="3"/>
            <w:tcBorders>
              <w:top w:val="nil"/>
              <w:left w:val="single" w:sz="8" w:space="0" w:color="auto"/>
              <w:bottom w:val="nil"/>
              <w:right w:val="single" w:sz="8" w:space="0" w:color="000000"/>
            </w:tcBorders>
            <w:shd w:val="clear" w:color="auto" w:fill="auto"/>
            <w:noWrap/>
            <w:vAlign w:val="center"/>
            <w:hideMark/>
          </w:tcPr>
          <w:p w:rsidR="00F963DD" w:rsidRPr="00F963DD" w:rsidRDefault="00F963DD" w:rsidP="00F963DD">
            <w:pPr>
              <w:rPr>
                <w:rFonts w:ascii="Lucida Bright" w:hAnsi="Lucida Bright" w:cs="Calibri"/>
                <w:i/>
                <w:iCs/>
                <w:color w:val="000000"/>
                <w:sz w:val="14"/>
                <w:szCs w:val="14"/>
                <w:lang w:val="es-ES"/>
              </w:rPr>
            </w:pPr>
            <w:r w:rsidRPr="00F963DD">
              <w:rPr>
                <w:rFonts w:ascii="Lucida Bright" w:hAnsi="Lucida Bright" w:cs="Calibri"/>
                <w:i/>
                <w:iCs/>
                <w:color w:val="000000"/>
                <w:sz w:val="14"/>
                <w:szCs w:val="14"/>
                <w:lang w:val="es-ES"/>
              </w:rPr>
              <w:t>Imputación renta FFATP (modelo 184)</w:t>
            </w:r>
          </w:p>
        </w:tc>
        <w:tc>
          <w:tcPr>
            <w:tcW w:w="494" w:type="pct"/>
            <w:tcBorders>
              <w:top w:val="nil"/>
              <w:left w:val="nil"/>
              <w:bottom w:val="nil"/>
              <w:right w:val="single" w:sz="4"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118,87</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9"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1"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2" w:type="pct"/>
            <w:gridSpan w:val="2"/>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534" w:type="pct"/>
            <w:gridSpan w:val="2"/>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118,87</w:t>
            </w:r>
          </w:p>
        </w:tc>
      </w:tr>
      <w:tr w:rsidR="00083185" w:rsidRPr="00F963DD" w:rsidTr="00083185">
        <w:trPr>
          <w:trHeight w:val="20"/>
        </w:trPr>
        <w:tc>
          <w:tcPr>
            <w:tcW w:w="1219" w:type="pct"/>
            <w:gridSpan w:val="2"/>
            <w:tcBorders>
              <w:top w:val="nil"/>
              <w:left w:val="single" w:sz="8" w:space="0" w:color="auto"/>
              <w:bottom w:val="nil"/>
              <w:right w:val="nil"/>
            </w:tcBorders>
            <w:shd w:val="clear" w:color="auto" w:fill="auto"/>
            <w:noWrap/>
            <w:vAlign w:val="center"/>
            <w:hideMark/>
          </w:tcPr>
          <w:p w:rsidR="00F963DD" w:rsidRPr="00F963DD" w:rsidRDefault="00F963DD" w:rsidP="00F963DD">
            <w:pPr>
              <w:rPr>
                <w:rFonts w:ascii="Lucida Bright" w:hAnsi="Lucida Bright" w:cs="Calibri"/>
                <w:i/>
                <w:iCs/>
                <w:color w:val="000000"/>
                <w:sz w:val="14"/>
                <w:szCs w:val="14"/>
                <w:lang w:val="es-ES"/>
              </w:rPr>
            </w:pPr>
            <w:r w:rsidRPr="00F963DD">
              <w:rPr>
                <w:rFonts w:ascii="Lucida Bright" w:hAnsi="Lucida Bright" w:cs="Calibri"/>
                <w:i/>
                <w:iCs/>
                <w:color w:val="000000"/>
                <w:sz w:val="14"/>
                <w:szCs w:val="14"/>
                <w:lang w:val="es-ES"/>
              </w:rPr>
              <w:t>Reserva de capitalización 2023</w:t>
            </w:r>
          </w:p>
        </w:tc>
        <w:tc>
          <w:tcPr>
            <w:tcW w:w="354"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94"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3.285.606,61</w:t>
            </w:r>
          </w:p>
        </w:tc>
        <w:tc>
          <w:tcPr>
            <w:tcW w:w="489"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1"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2" w:type="pct"/>
            <w:gridSpan w:val="2"/>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534" w:type="pct"/>
            <w:gridSpan w:val="2"/>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(3.285.606,61)</w:t>
            </w:r>
          </w:p>
        </w:tc>
      </w:tr>
      <w:tr w:rsidR="00083185" w:rsidRPr="00F963DD" w:rsidTr="00083185">
        <w:trPr>
          <w:trHeight w:val="20"/>
        </w:trPr>
        <w:tc>
          <w:tcPr>
            <w:tcW w:w="1219" w:type="pct"/>
            <w:gridSpan w:val="2"/>
            <w:tcBorders>
              <w:top w:val="nil"/>
              <w:left w:val="single" w:sz="8" w:space="0" w:color="auto"/>
              <w:bottom w:val="nil"/>
              <w:right w:val="nil"/>
            </w:tcBorders>
            <w:shd w:val="clear" w:color="auto" w:fill="auto"/>
            <w:noWrap/>
            <w:vAlign w:val="bottom"/>
            <w:hideMark/>
          </w:tcPr>
          <w:p w:rsidR="00F963DD" w:rsidRPr="00F963DD" w:rsidRDefault="00F963DD" w:rsidP="00F963DD">
            <w:pPr>
              <w:rPr>
                <w:rFonts w:ascii="Lucida Bright" w:hAnsi="Lucida Bright" w:cs="Calibri"/>
                <w:i/>
                <w:iCs/>
                <w:color w:val="000000"/>
                <w:sz w:val="14"/>
                <w:szCs w:val="14"/>
                <w:lang w:val="es-ES"/>
              </w:rPr>
            </w:pPr>
            <w:r w:rsidRPr="00F963DD">
              <w:rPr>
                <w:rFonts w:ascii="Lucida Bright" w:hAnsi="Lucida Bright" w:cs="Calibri"/>
                <w:i/>
                <w:iCs/>
                <w:color w:val="000000"/>
                <w:sz w:val="14"/>
                <w:szCs w:val="14"/>
                <w:lang w:val="es-ES"/>
              </w:rPr>
              <w:t>Adquisiciones lucrativas</w:t>
            </w:r>
          </w:p>
        </w:tc>
        <w:tc>
          <w:tcPr>
            <w:tcW w:w="354"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94"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9"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1"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2" w:type="pct"/>
            <w:gridSpan w:val="2"/>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534" w:type="pct"/>
            <w:gridSpan w:val="2"/>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w:t>
            </w:r>
          </w:p>
        </w:tc>
      </w:tr>
      <w:tr w:rsidR="00083185" w:rsidRPr="00F963DD" w:rsidTr="00083185">
        <w:trPr>
          <w:trHeight w:val="20"/>
        </w:trPr>
        <w:tc>
          <w:tcPr>
            <w:tcW w:w="607" w:type="pct"/>
            <w:tcBorders>
              <w:top w:val="nil"/>
              <w:left w:val="single" w:sz="8" w:space="0" w:color="auto"/>
              <w:bottom w:val="nil"/>
              <w:right w:val="nil"/>
            </w:tcBorders>
            <w:shd w:val="clear" w:color="auto" w:fill="auto"/>
            <w:noWrap/>
            <w:vAlign w:val="bottom"/>
            <w:hideMark/>
          </w:tcPr>
          <w:p w:rsidR="00F963DD" w:rsidRPr="00F963DD" w:rsidRDefault="00F963DD" w:rsidP="00F963DD">
            <w:pPr>
              <w:rPr>
                <w:rFonts w:ascii="Lucida Bright" w:hAnsi="Lucida Bright" w:cs="Calibri"/>
                <w:i/>
                <w:iCs/>
                <w:color w:val="000000"/>
                <w:sz w:val="14"/>
                <w:szCs w:val="14"/>
                <w:lang w:val="es-ES"/>
              </w:rPr>
            </w:pPr>
            <w:r w:rsidRPr="00F963DD">
              <w:rPr>
                <w:rFonts w:ascii="Lucida Bright" w:hAnsi="Lucida Bright" w:cs="Calibri"/>
                <w:i/>
                <w:iCs/>
                <w:color w:val="000000"/>
                <w:sz w:val="14"/>
                <w:szCs w:val="14"/>
                <w:lang w:val="es-ES"/>
              </w:rPr>
              <w:t> </w:t>
            </w:r>
          </w:p>
        </w:tc>
        <w:tc>
          <w:tcPr>
            <w:tcW w:w="613" w:type="pct"/>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354"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94"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9"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1"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2" w:type="pct"/>
            <w:gridSpan w:val="2"/>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534" w:type="pct"/>
            <w:gridSpan w:val="2"/>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r>
      <w:tr w:rsidR="00083185" w:rsidRPr="00F963DD" w:rsidTr="00083185">
        <w:trPr>
          <w:trHeight w:val="20"/>
        </w:trPr>
        <w:tc>
          <w:tcPr>
            <w:tcW w:w="1219" w:type="pct"/>
            <w:gridSpan w:val="2"/>
            <w:tcBorders>
              <w:top w:val="nil"/>
              <w:left w:val="single" w:sz="8" w:space="0" w:color="auto"/>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Diferencias temporales:</w:t>
            </w:r>
          </w:p>
        </w:tc>
        <w:tc>
          <w:tcPr>
            <w:tcW w:w="354"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94"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9"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1"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2" w:type="pct"/>
            <w:gridSpan w:val="2"/>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534" w:type="pct"/>
            <w:gridSpan w:val="2"/>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r>
      <w:tr w:rsidR="00083185" w:rsidRPr="00F963DD" w:rsidTr="00083185">
        <w:trPr>
          <w:trHeight w:val="20"/>
        </w:trPr>
        <w:tc>
          <w:tcPr>
            <w:tcW w:w="1219" w:type="pct"/>
            <w:gridSpan w:val="2"/>
            <w:tcBorders>
              <w:top w:val="nil"/>
              <w:left w:val="single" w:sz="8" w:space="0" w:color="auto"/>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Con origen en el ejercicio</w:t>
            </w:r>
          </w:p>
        </w:tc>
        <w:tc>
          <w:tcPr>
            <w:tcW w:w="354"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94"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9"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1"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2" w:type="pct"/>
            <w:gridSpan w:val="2"/>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534" w:type="pct"/>
            <w:gridSpan w:val="2"/>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r>
      <w:tr w:rsidR="00083185" w:rsidRPr="00F963DD" w:rsidTr="00083185">
        <w:trPr>
          <w:trHeight w:val="20"/>
        </w:trPr>
        <w:tc>
          <w:tcPr>
            <w:tcW w:w="1573" w:type="pct"/>
            <w:gridSpan w:val="3"/>
            <w:tcBorders>
              <w:top w:val="nil"/>
              <w:left w:val="single" w:sz="8" w:space="0" w:color="auto"/>
              <w:bottom w:val="nil"/>
              <w:right w:val="single" w:sz="8" w:space="0" w:color="000000"/>
            </w:tcBorders>
            <w:shd w:val="clear" w:color="auto" w:fill="auto"/>
            <w:noWrap/>
            <w:vAlign w:val="bottom"/>
            <w:hideMark/>
          </w:tcPr>
          <w:p w:rsidR="00F963DD" w:rsidRPr="00F963DD" w:rsidRDefault="00F963DD" w:rsidP="00F963DD">
            <w:pPr>
              <w:rPr>
                <w:rFonts w:ascii="Lucida Bright" w:hAnsi="Lucida Bright" w:cs="Calibri"/>
                <w:i/>
                <w:iCs/>
                <w:color w:val="000000"/>
                <w:sz w:val="14"/>
                <w:szCs w:val="14"/>
                <w:lang w:val="es-ES"/>
              </w:rPr>
            </w:pPr>
            <w:r w:rsidRPr="00F963DD">
              <w:rPr>
                <w:rFonts w:ascii="Lucida Bright" w:hAnsi="Lucida Bright" w:cs="Calibri"/>
                <w:i/>
                <w:iCs/>
                <w:color w:val="000000"/>
                <w:sz w:val="14"/>
                <w:szCs w:val="14"/>
                <w:lang w:val="es-ES"/>
              </w:rPr>
              <w:t xml:space="preserve">Diferencias </w:t>
            </w:r>
            <w:proofErr w:type="spellStart"/>
            <w:r w:rsidRPr="00F963DD">
              <w:rPr>
                <w:rFonts w:ascii="Lucida Bright" w:hAnsi="Lucida Bright" w:cs="Calibri"/>
                <w:i/>
                <w:iCs/>
                <w:color w:val="000000"/>
                <w:sz w:val="14"/>
                <w:szCs w:val="14"/>
                <w:lang w:val="es-ES"/>
              </w:rPr>
              <w:t>anortización</w:t>
            </w:r>
            <w:proofErr w:type="spellEnd"/>
            <w:r w:rsidRPr="00F963DD">
              <w:rPr>
                <w:rFonts w:ascii="Lucida Bright" w:hAnsi="Lucida Bright" w:cs="Calibri"/>
                <w:i/>
                <w:iCs/>
                <w:color w:val="000000"/>
                <w:sz w:val="14"/>
                <w:szCs w:val="14"/>
                <w:lang w:val="es-ES"/>
              </w:rPr>
              <w:t xml:space="preserve"> contable y fiscal</w:t>
            </w:r>
          </w:p>
        </w:tc>
        <w:tc>
          <w:tcPr>
            <w:tcW w:w="494" w:type="pct"/>
            <w:tcBorders>
              <w:top w:val="nil"/>
              <w:left w:val="nil"/>
              <w:bottom w:val="nil"/>
              <w:right w:val="single" w:sz="4"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259,82</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142,63</w:t>
            </w:r>
          </w:p>
        </w:tc>
        <w:tc>
          <w:tcPr>
            <w:tcW w:w="489"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1"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2" w:type="pct"/>
            <w:gridSpan w:val="2"/>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534" w:type="pct"/>
            <w:gridSpan w:val="2"/>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117,19</w:t>
            </w:r>
          </w:p>
        </w:tc>
      </w:tr>
      <w:tr w:rsidR="00083185" w:rsidRPr="00F963DD" w:rsidTr="00083185">
        <w:trPr>
          <w:trHeight w:val="20"/>
        </w:trPr>
        <w:tc>
          <w:tcPr>
            <w:tcW w:w="1573" w:type="pct"/>
            <w:gridSpan w:val="3"/>
            <w:tcBorders>
              <w:top w:val="nil"/>
              <w:left w:val="single" w:sz="8" w:space="0" w:color="auto"/>
              <w:bottom w:val="nil"/>
              <w:right w:val="single" w:sz="8" w:space="0" w:color="000000"/>
            </w:tcBorders>
            <w:shd w:val="clear" w:color="auto" w:fill="auto"/>
            <w:noWrap/>
            <w:vAlign w:val="bottom"/>
            <w:hideMark/>
          </w:tcPr>
          <w:p w:rsidR="00F963DD" w:rsidRPr="00F963DD" w:rsidRDefault="00F963DD" w:rsidP="00F963DD">
            <w:pPr>
              <w:rPr>
                <w:rFonts w:ascii="Lucida Bright" w:hAnsi="Lucida Bright" w:cs="Calibri"/>
                <w:i/>
                <w:iCs/>
                <w:color w:val="000000"/>
                <w:sz w:val="14"/>
                <w:szCs w:val="14"/>
                <w:lang w:val="es-ES"/>
              </w:rPr>
            </w:pPr>
            <w:r w:rsidRPr="00F963DD">
              <w:rPr>
                <w:rFonts w:ascii="Lucida Bright" w:hAnsi="Lucida Bright" w:cs="Calibri"/>
                <w:i/>
                <w:iCs/>
                <w:color w:val="000000"/>
                <w:sz w:val="14"/>
                <w:szCs w:val="14"/>
                <w:lang w:val="es-ES"/>
              </w:rPr>
              <w:t xml:space="preserve">Actualización finan provisiones no </w:t>
            </w:r>
            <w:proofErr w:type="spellStart"/>
            <w:r w:rsidRPr="00F963DD">
              <w:rPr>
                <w:rFonts w:ascii="Lucida Bright" w:hAnsi="Lucida Bright" w:cs="Calibri"/>
                <w:i/>
                <w:iCs/>
                <w:color w:val="000000"/>
                <w:sz w:val="14"/>
                <w:szCs w:val="14"/>
                <w:lang w:val="es-ES"/>
              </w:rPr>
              <w:t>deduc</w:t>
            </w:r>
            <w:proofErr w:type="spellEnd"/>
          </w:p>
        </w:tc>
        <w:tc>
          <w:tcPr>
            <w:tcW w:w="494" w:type="pct"/>
            <w:tcBorders>
              <w:top w:val="nil"/>
              <w:left w:val="nil"/>
              <w:bottom w:val="nil"/>
              <w:right w:val="single" w:sz="4"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62.052,10</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9"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1"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2" w:type="pct"/>
            <w:gridSpan w:val="2"/>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534" w:type="pct"/>
            <w:gridSpan w:val="2"/>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62.052,10</w:t>
            </w:r>
          </w:p>
        </w:tc>
      </w:tr>
      <w:tr w:rsidR="00083185" w:rsidRPr="00F963DD" w:rsidTr="00083185">
        <w:trPr>
          <w:trHeight w:val="20"/>
        </w:trPr>
        <w:tc>
          <w:tcPr>
            <w:tcW w:w="1219" w:type="pct"/>
            <w:gridSpan w:val="2"/>
            <w:tcBorders>
              <w:top w:val="nil"/>
              <w:left w:val="single" w:sz="8" w:space="0" w:color="auto"/>
              <w:bottom w:val="nil"/>
              <w:right w:val="nil"/>
            </w:tcBorders>
            <w:shd w:val="clear" w:color="auto" w:fill="auto"/>
            <w:noWrap/>
            <w:vAlign w:val="bottom"/>
            <w:hideMark/>
          </w:tcPr>
          <w:p w:rsidR="00F963DD" w:rsidRPr="00F963DD" w:rsidRDefault="00F963DD" w:rsidP="00F963DD">
            <w:pPr>
              <w:rPr>
                <w:rFonts w:ascii="Lucida Bright" w:hAnsi="Lucida Bright" w:cs="Calibri"/>
                <w:i/>
                <w:iCs/>
                <w:color w:val="000000"/>
                <w:sz w:val="14"/>
                <w:szCs w:val="14"/>
                <w:lang w:val="es-ES"/>
              </w:rPr>
            </w:pPr>
            <w:r w:rsidRPr="00F963DD">
              <w:rPr>
                <w:rFonts w:ascii="Lucida Bright" w:hAnsi="Lucida Bright" w:cs="Calibri"/>
                <w:i/>
                <w:iCs/>
                <w:color w:val="000000"/>
                <w:sz w:val="14"/>
                <w:szCs w:val="14"/>
                <w:lang w:val="es-ES"/>
              </w:rPr>
              <w:t>Subvenciones recibidas</w:t>
            </w:r>
          </w:p>
        </w:tc>
        <w:tc>
          <w:tcPr>
            <w:tcW w:w="354"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94"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9"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1.196.160,57</w:t>
            </w:r>
          </w:p>
        </w:tc>
        <w:tc>
          <w:tcPr>
            <w:tcW w:w="481"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2" w:type="pct"/>
            <w:gridSpan w:val="2"/>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534" w:type="pct"/>
            <w:gridSpan w:val="2"/>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(1.196.160,57)</w:t>
            </w:r>
          </w:p>
        </w:tc>
      </w:tr>
      <w:tr w:rsidR="00083185" w:rsidRPr="00F963DD" w:rsidTr="00083185">
        <w:trPr>
          <w:trHeight w:val="20"/>
        </w:trPr>
        <w:tc>
          <w:tcPr>
            <w:tcW w:w="1219" w:type="pct"/>
            <w:gridSpan w:val="2"/>
            <w:tcBorders>
              <w:top w:val="nil"/>
              <w:left w:val="single" w:sz="8" w:space="0" w:color="auto"/>
              <w:bottom w:val="nil"/>
              <w:right w:val="nil"/>
            </w:tcBorders>
            <w:shd w:val="clear" w:color="auto" w:fill="auto"/>
            <w:noWrap/>
            <w:vAlign w:val="bottom"/>
            <w:hideMark/>
          </w:tcPr>
          <w:p w:rsidR="00F963DD" w:rsidRPr="00F963DD" w:rsidRDefault="00F963DD" w:rsidP="00F963DD">
            <w:pPr>
              <w:rPr>
                <w:rFonts w:ascii="Lucida Bright" w:hAnsi="Lucida Bright" w:cs="Calibri"/>
                <w:i/>
                <w:iCs/>
                <w:color w:val="000000"/>
                <w:sz w:val="14"/>
                <w:szCs w:val="14"/>
                <w:lang w:val="es-ES"/>
              </w:rPr>
            </w:pPr>
            <w:r w:rsidRPr="00F963DD">
              <w:rPr>
                <w:rFonts w:ascii="Lucida Bright" w:hAnsi="Lucida Bright" w:cs="Calibri"/>
                <w:i/>
                <w:iCs/>
                <w:color w:val="000000"/>
                <w:sz w:val="14"/>
                <w:szCs w:val="14"/>
                <w:lang w:val="es-ES"/>
              </w:rPr>
              <w:t>Adquisiciones lucrativas</w:t>
            </w:r>
          </w:p>
        </w:tc>
        <w:tc>
          <w:tcPr>
            <w:tcW w:w="354"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94"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170.504,83</w:t>
            </w:r>
          </w:p>
        </w:tc>
        <w:tc>
          <w:tcPr>
            <w:tcW w:w="489"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1"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2" w:type="pct"/>
            <w:gridSpan w:val="2"/>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534" w:type="pct"/>
            <w:gridSpan w:val="2"/>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(170.504,83)</w:t>
            </w:r>
          </w:p>
        </w:tc>
      </w:tr>
      <w:tr w:rsidR="00083185" w:rsidRPr="00F963DD" w:rsidTr="00083185">
        <w:trPr>
          <w:trHeight w:val="20"/>
        </w:trPr>
        <w:tc>
          <w:tcPr>
            <w:tcW w:w="607" w:type="pct"/>
            <w:tcBorders>
              <w:top w:val="nil"/>
              <w:left w:val="single" w:sz="8" w:space="0" w:color="auto"/>
              <w:bottom w:val="nil"/>
              <w:right w:val="nil"/>
            </w:tcBorders>
            <w:shd w:val="clear" w:color="auto" w:fill="auto"/>
            <w:noWrap/>
            <w:vAlign w:val="bottom"/>
            <w:hideMark/>
          </w:tcPr>
          <w:p w:rsidR="00F963DD" w:rsidRPr="00F963DD" w:rsidRDefault="00F963DD" w:rsidP="00F963DD">
            <w:pPr>
              <w:rPr>
                <w:rFonts w:ascii="Lucida Bright" w:hAnsi="Lucida Bright" w:cs="Calibri"/>
                <w:i/>
                <w:iCs/>
                <w:color w:val="000000"/>
                <w:sz w:val="14"/>
                <w:szCs w:val="14"/>
                <w:lang w:val="es-ES"/>
              </w:rPr>
            </w:pPr>
            <w:r w:rsidRPr="00F963DD">
              <w:rPr>
                <w:rFonts w:ascii="Lucida Bright" w:hAnsi="Lucida Bright" w:cs="Calibri"/>
                <w:i/>
                <w:iCs/>
                <w:color w:val="000000"/>
                <w:sz w:val="14"/>
                <w:szCs w:val="14"/>
                <w:lang w:val="es-ES"/>
              </w:rPr>
              <w:t> </w:t>
            </w:r>
          </w:p>
        </w:tc>
        <w:tc>
          <w:tcPr>
            <w:tcW w:w="613" w:type="pct"/>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354"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94"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9"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1"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2" w:type="pct"/>
            <w:gridSpan w:val="2"/>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534" w:type="pct"/>
            <w:gridSpan w:val="2"/>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r>
      <w:tr w:rsidR="00083185" w:rsidRPr="00F963DD" w:rsidTr="00083185">
        <w:trPr>
          <w:trHeight w:val="20"/>
        </w:trPr>
        <w:tc>
          <w:tcPr>
            <w:tcW w:w="1219" w:type="pct"/>
            <w:gridSpan w:val="2"/>
            <w:tcBorders>
              <w:top w:val="nil"/>
              <w:left w:val="single" w:sz="8" w:space="0" w:color="auto"/>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Con origen en ejercicios anteriores</w:t>
            </w:r>
          </w:p>
        </w:tc>
        <w:tc>
          <w:tcPr>
            <w:tcW w:w="354"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94"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9"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1"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2" w:type="pct"/>
            <w:gridSpan w:val="2"/>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534" w:type="pct"/>
            <w:gridSpan w:val="2"/>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r>
      <w:tr w:rsidR="00083185" w:rsidRPr="00F963DD" w:rsidTr="00083185">
        <w:trPr>
          <w:trHeight w:val="20"/>
        </w:trPr>
        <w:tc>
          <w:tcPr>
            <w:tcW w:w="1573" w:type="pct"/>
            <w:gridSpan w:val="3"/>
            <w:tcBorders>
              <w:top w:val="nil"/>
              <w:left w:val="single" w:sz="8" w:space="0" w:color="auto"/>
              <w:bottom w:val="nil"/>
              <w:right w:val="single" w:sz="8" w:space="0" w:color="000000"/>
            </w:tcBorders>
            <w:shd w:val="clear" w:color="auto" w:fill="auto"/>
            <w:noWrap/>
            <w:vAlign w:val="bottom"/>
            <w:hideMark/>
          </w:tcPr>
          <w:p w:rsidR="00F963DD" w:rsidRPr="00F963DD" w:rsidRDefault="00F963DD" w:rsidP="00F963DD">
            <w:pPr>
              <w:rPr>
                <w:rFonts w:ascii="Lucida Bright" w:hAnsi="Lucida Bright" w:cs="Calibri"/>
                <w:i/>
                <w:iCs/>
                <w:color w:val="000000"/>
                <w:sz w:val="14"/>
                <w:szCs w:val="14"/>
                <w:lang w:val="es-ES"/>
              </w:rPr>
            </w:pPr>
            <w:proofErr w:type="spellStart"/>
            <w:r w:rsidRPr="00F963DD">
              <w:rPr>
                <w:rFonts w:ascii="Lucida Bright" w:hAnsi="Lucida Bright" w:cs="Calibri"/>
                <w:i/>
                <w:iCs/>
                <w:color w:val="000000"/>
                <w:sz w:val="14"/>
                <w:szCs w:val="14"/>
                <w:lang w:val="es-ES"/>
              </w:rPr>
              <w:t>Deducc</w:t>
            </w:r>
            <w:proofErr w:type="spellEnd"/>
            <w:r w:rsidRPr="00F963DD">
              <w:rPr>
                <w:rFonts w:ascii="Lucida Bright" w:hAnsi="Lucida Bright" w:cs="Calibri"/>
                <w:i/>
                <w:iCs/>
                <w:color w:val="000000"/>
                <w:sz w:val="14"/>
                <w:szCs w:val="14"/>
                <w:lang w:val="es-ES"/>
              </w:rPr>
              <w:t xml:space="preserve"> 30% gastos </w:t>
            </w:r>
            <w:proofErr w:type="spellStart"/>
            <w:r w:rsidRPr="00F963DD">
              <w:rPr>
                <w:rFonts w:ascii="Lucida Bright" w:hAnsi="Lucida Bright" w:cs="Calibri"/>
                <w:i/>
                <w:iCs/>
                <w:color w:val="000000"/>
                <w:sz w:val="14"/>
                <w:szCs w:val="14"/>
                <w:lang w:val="es-ES"/>
              </w:rPr>
              <w:t>amortiz</w:t>
            </w:r>
            <w:proofErr w:type="spellEnd"/>
            <w:r w:rsidRPr="00F963DD">
              <w:rPr>
                <w:rFonts w:ascii="Lucida Bright" w:hAnsi="Lucida Bright" w:cs="Calibri"/>
                <w:i/>
                <w:iCs/>
                <w:color w:val="000000"/>
                <w:sz w:val="14"/>
                <w:szCs w:val="14"/>
                <w:lang w:val="es-ES"/>
              </w:rPr>
              <w:t xml:space="preserve"> Art 7 L16/2012</w:t>
            </w:r>
          </w:p>
        </w:tc>
        <w:tc>
          <w:tcPr>
            <w:tcW w:w="494"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44.452,51</w:t>
            </w:r>
          </w:p>
        </w:tc>
        <w:tc>
          <w:tcPr>
            <w:tcW w:w="489"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1"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2" w:type="pct"/>
            <w:gridSpan w:val="2"/>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534" w:type="pct"/>
            <w:gridSpan w:val="2"/>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(44.452,51)</w:t>
            </w:r>
          </w:p>
        </w:tc>
      </w:tr>
      <w:tr w:rsidR="00083185" w:rsidRPr="00F963DD" w:rsidTr="00083185">
        <w:trPr>
          <w:trHeight w:val="20"/>
        </w:trPr>
        <w:tc>
          <w:tcPr>
            <w:tcW w:w="1573" w:type="pct"/>
            <w:gridSpan w:val="3"/>
            <w:tcBorders>
              <w:top w:val="nil"/>
              <w:left w:val="single" w:sz="8" w:space="0" w:color="auto"/>
              <w:bottom w:val="nil"/>
              <w:right w:val="single" w:sz="8" w:space="0" w:color="000000"/>
            </w:tcBorders>
            <w:shd w:val="clear" w:color="auto" w:fill="auto"/>
            <w:noWrap/>
            <w:vAlign w:val="bottom"/>
            <w:hideMark/>
          </w:tcPr>
          <w:p w:rsidR="00F963DD" w:rsidRPr="00F963DD" w:rsidRDefault="00F963DD" w:rsidP="00F963DD">
            <w:pPr>
              <w:rPr>
                <w:rFonts w:ascii="Lucida Bright" w:hAnsi="Lucida Bright" w:cs="Calibri"/>
                <w:i/>
                <w:iCs/>
                <w:color w:val="000000"/>
                <w:sz w:val="14"/>
                <w:szCs w:val="14"/>
                <w:lang w:val="es-ES"/>
              </w:rPr>
            </w:pPr>
            <w:r w:rsidRPr="00F963DD">
              <w:rPr>
                <w:rFonts w:ascii="Lucida Bright" w:hAnsi="Lucida Bright" w:cs="Calibri"/>
                <w:i/>
                <w:iCs/>
                <w:color w:val="000000"/>
                <w:sz w:val="14"/>
                <w:szCs w:val="14"/>
                <w:lang w:val="es-ES"/>
              </w:rPr>
              <w:t xml:space="preserve">Diferencias </w:t>
            </w:r>
            <w:proofErr w:type="spellStart"/>
            <w:r w:rsidRPr="00F963DD">
              <w:rPr>
                <w:rFonts w:ascii="Lucida Bright" w:hAnsi="Lucida Bright" w:cs="Calibri"/>
                <w:i/>
                <w:iCs/>
                <w:color w:val="000000"/>
                <w:sz w:val="14"/>
                <w:szCs w:val="14"/>
                <w:lang w:val="es-ES"/>
              </w:rPr>
              <w:t>anortización</w:t>
            </w:r>
            <w:proofErr w:type="spellEnd"/>
            <w:r w:rsidRPr="00F963DD">
              <w:rPr>
                <w:rFonts w:ascii="Lucida Bright" w:hAnsi="Lucida Bright" w:cs="Calibri"/>
                <w:i/>
                <w:iCs/>
                <w:color w:val="000000"/>
                <w:sz w:val="14"/>
                <w:szCs w:val="14"/>
                <w:lang w:val="es-ES"/>
              </w:rPr>
              <w:t xml:space="preserve"> contable y fiscal</w:t>
            </w:r>
          </w:p>
        </w:tc>
        <w:tc>
          <w:tcPr>
            <w:tcW w:w="494" w:type="pct"/>
            <w:tcBorders>
              <w:top w:val="nil"/>
              <w:left w:val="nil"/>
              <w:bottom w:val="nil"/>
              <w:right w:val="single" w:sz="4"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610,25</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894,84</w:t>
            </w:r>
          </w:p>
        </w:tc>
        <w:tc>
          <w:tcPr>
            <w:tcW w:w="489"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1"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2" w:type="pct"/>
            <w:gridSpan w:val="2"/>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534" w:type="pct"/>
            <w:gridSpan w:val="2"/>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jc w:val="right"/>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(284,59)</w:t>
            </w:r>
          </w:p>
        </w:tc>
      </w:tr>
      <w:tr w:rsidR="00083185" w:rsidRPr="00F963DD" w:rsidTr="00083185">
        <w:trPr>
          <w:trHeight w:val="20"/>
        </w:trPr>
        <w:tc>
          <w:tcPr>
            <w:tcW w:w="607" w:type="pct"/>
            <w:tcBorders>
              <w:top w:val="nil"/>
              <w:left w:val="single" w:sz="8" w:space="0" w:color="auto"/>
              <w:bottom w:val="nil"/>
              <w:right w:val="nil"/>
            </w:tcBorders>
            <w:shd w:val="clear" w:color="auto" w:fill="auto"/>
            <w:noWrap/>
            <w:vAlign w:val="bottom"/>
            <w:hideMark/>
          </w:tcPr>
          <w:p w:rsidR="00F963DD" w:rsidRPr="00F963DD" w:rsidRDefault="00F963DD" w:rsidP="00F963DD">
            <w:pPr>
              <w:rPr>
                <w:rFonts w:ascii="Lucida Bright" w:hAnsi="Lucida Bright" w:cs="Calibri"/>
                <w:i/>
                <w:iCs/>
                <w:color w:val="000000"/>
                <w:sz w:val="14"/>
                <w:szCs w:val="14"/>
                <w:lang w:val="es-ES"/>
              </w:rPr>
            </w:pPr>
            <w:r w:rsidRPr="00F963DD">
              <w:rPr>
                <w:rFonts w:ascii="Lucida Bright" w:hAnsi="Lucida Bright" w:cs="Calibri"/>
                <w:i/>
                <w:iCs/>
                <w:color w:val="000000"/>
                <w:sz w:val="14"/>
                <w:szCs w:val="14"/>
                <w:lang w:val="es-ES"/>
              </w:rPr>
              <w:t> </w:t>
            </w:r>
          </w:p>
        </w:tc>
        <w:tc>
          <w:tcPr>
            <w:tcW w:w="613" w:type="pct"/>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354"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94"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9"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1" w:type="pct"/>
            <w:tcBorders>
              <w:top w:val="nil"/>
              <w:left w:val="nil"/>
              <w:bottom w:val="nil"/>
              <w:right w:val="single" w:sz="4"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2" w:type="pct"/>
            <w:gridSpan w:val="2"/>
            <w:tcBorders>
              <w:top w:val="nil"/>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p>
        </w:tc>
        <w:tc>
          <w:tcPr>
            <w:tcW w:w="534" w:type="pct"/>
            <w:gridSpan w:val="2"/>
            <w:tcBorders>
              <w:top w:val="nil"/>
              <w:left w:val="single" w:sz="8" w:space="0" w:color="auto"/>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r>
      <w:tr w:rsidR="00083185" w:rsidRPr="00F963DD" w:rsidTr="00083185">
        <w:trPr>
          <w:trHeight w:val="20"/>
        </w:trPr>
        <w:tc>
          <w:tcPr>
            <w:tcW w:w="1573" w:type="pct"/>
            <w:gridSpan w:val="3"/>
            <w:vMerge w:val="restart"/>
            <w:tcBorders>
              <w:top w:val="nil"/>
              <w:left w:val="single" w:sz="8" w:space="0" w:color="auto"/>
              <w:bottom w:val="single" w:sz="8" w:space="0" w:color="000000"/>
              <w:right w:val="single" w:sz="8" w:space="0" w:color="000000"/>
            </w:tcBorders>
            <w:shd w:val="clear" w:color="auto" w:fill="auto"/>
            <w:vAlign w:val="center"/>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Compensación de bases imponibles negativas de ejercicios anteriores</w:t>
            </w:r>
          </w:p>
        </w:tc>
        <w:tc>
          <w:tcPr>
            <w:tcW w:w="494" w:type="pct"/>
            <w:tcBorders>
              <w:top w:val="single" w:sz="8" w:space="0" w:color="auto"/>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single" w:sz="8" w:space="0" w:color="auto"/>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9" w:type="pct"/>
            <w:tcBorders>
              <w:top w:val="single" w:sz="8" w:space="0" w:color="auto"/>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single" w:sz="8" w:space="0" w:color="auto"/>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1" w:type="pct"/>
            <w:tcBorders>
              <w:top w:val="single" w:sz="8" w:space="0" w:color="auto"/>
              <w:left w:val="nil"/>
              <w:bottom w:val="nil"/>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2" w:type="pct"/>
            <w:gridSpan w:val="2"/>
            <w:tcBorders>
              <w:top w:val="single" w:sz="8" w:space="0" w:color="auto"/>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534" w:type="pct"/>
            <w:gridSpan w:val="2"/>
            <w:tcBorders>
              <w:top w:val="single" w:sz="8" w:space="0" w:color="auto"/>
              <w:left w:val="nil"/>
              <w:bottom w:val="nil"/>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r>
      <w:tr w:rsidR="00083185" w:rsidRPr="00F963DD" w:rsidTr="00083185">
        <w:trPr>
          <w:trHeight w:val="20"/>
        </w:trPr>
        <w:tc>
          <w:tcPr>
            <w:tcW w:w="1573" w:type="pct"/>
            <w:gridSpan w:val="3"/>
            <w:vMerge/>
            <w:tcBorders>
              <w:top w:val="nil"/>
              <w:left w:val="single" w:sz="8" w:space="0" w:color="auto"/>
              <w:bottom w:val="single" w:sz="8" w:space="0" w:color="000000"/>
              <w:right w:val="single" w:sz="8" w:space="0" w:color="000000"/>
            </w:tcBorders>
            <w:vAlign w:val="center"/>
            <w:hideMark/>
          </w:tcPr>
          <w:p w:rsidR="00F963DD" w:rsidRPr="00F963DD" w:rsidRDefault="00F963DD" w:rsidP="00F963DD">
            <w:pPr>
              <w:rPr>
                <w:rFonts w:ascii="Lucida Bright" w:hAnsi="Lucida Bright" w:cs="Calibri"/>
                <w:color w:val="000000"/>
                <w:sz w:val="14"/>
                <w:szCs w:val="14"/>
                <w:lang w:val="es-ES"/>
              </w:rPr>
            </w:pPr>
          </w:p>
        </w:tc>
        <w:tc>
          <w:tcPr>
            <w:tcW w:w="494" w:type="pct"/>
            <w:tcBorders>
              <w:top w:val="nil"/>
              <w:left w:val="nil"/>
              <w:bottom w:val="single" w:sz="8" w:space="0" w:color="auto"/>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single" w:sz="8" w:space="0" w:color="auto"/>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9" w:type="pct"/>
            <w:tcBorders>
              <w:top w:val="nil"/>
              <w:left w:val="nil"/>
              <w:bottom w:val="single" w:sz="8" w:space="0" w:color="auto"/>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73" w:type="pct"/>
            <w:tcBorders>
              <w:top w:val="nil"/>
              <w:left w:val="nil"/>
              <w:bottom w:val="single" w:sz="8" w:space="0" w:color="auto"/>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1" w:type="pct"/>
            <w:tcBorders>
              <w:top w:val="nil"/>
              <w:left w:val="nil"/>
              <w:bottom w:val="single" w:sz="8" w:space="0" w:color="auto"/>
              <w:right w:val="nil"/>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482" w:type="pct"/>
            <w:gridSpan w:val="2"/>
            <w:tcBorders>
              <w:top w:val="nil"/>
              <w:left w:val="nil"/>
              <w:bottom w:val="single" w:sz="8" w:space="0" w:color="auto"/>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c>
          <w:tcPr>
            <w:tcW w:w="534" w:type="pct"/>
            <w:gridSpan w:val="2"/>
            <w:tcBorders>
              <w:top w:val="nil"/>
              <w:left w:val="nil"/>
              <w:bottom w:val="single" w:sz="8" w:space="0" w:color="auto"/>
              <w:right w:val="single" w:sz="8" w:space="0" w:color="auto"/>
            </w:tcBorders>
            <w:shd w:val="clear" w:color="auto" w:fill="auto"/>
            <w:noWrap/>
            <w:vAlign w:val="bottom"/>
            <w:hideMark/>
          </w:tcPr>
          <w:p w:rsidR="00F963DD" w:rsidRPr="00F963DD" w:rsidRDefault="00F963DD" w:rsidP="00F963DD">
            <w:pP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 </w:t>
            </w:r>
          </w:p>
        </w:tc>
      </w:tr>
      <w:tr w:rsidR="00083185" w:rsidRPr="00F963DD" w:rsidTr="00083185">
        <w:trPr>
          <w:trHeight w:val="165"/>
        </w:trPr>
        <w:tc>
          <w:tcPr>
            <w:tcW w:w="1573"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963DD" w:rsidRPr="00F963DD" w:rsidRDefault="00F963DD" w:rsidP="00F963DD">
            <w:pPr>
              <w:rPr>
                <w:rFonts w:ascii="Lucida Bright" w:hAnsi="Lucida Bright" w:cs="Calibri"/>
                <w:b/>
                <w:bCs/>
                <w:color w:val="000000"/>
                <w:sz w:val="14"/>
                <w:szCs w:val="14"/>
                <w:lang w:val="es-ES"/>
              </w:rPr>
            </w:pPr>
            <w:r w:rsidRPr="00F963DD">
              <w:rPr>
                <w:rFonts w:ascii="Lucida Bright" w:hAnsi="Lucida Bright" w:cs="Calibri"/>
                <w:b/>
                <w:bCs/>
                <w:color w:val="000000"/>
                <w:sz w:val="14"/>
                <w:szCs w:val="14"/>
                <w:lang w:val="es-ES"/>
              </w:rPr>
              <w:t>Base Imponible fiscal</w:t>
            </w:r>
          </w:p>
        </w:tc>
        <w:tc>
          <w:tcPr>
            <w:tcW w:w="967" w:type="pct"/>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963DD" w:rsidRPr="00F963DD" w:rsidRDefault="00F963DD" w:rsidP="00F963DD">
            <w:pPr>
              <w:jc w:val="cente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50.229.583,49</w:t>
            </w:r>
          </w:p>
        </w:tc>
        <w:tc>
          <w:tcPr>
            <w:tcW w:w="962" w:type="pct"/>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963DD" w:rsidRPr="00F963DD" w:rsidRDefault="00F963DD" w:rsidP="00F963DD">
            <w:pPr>
              <w:jc w:val="cente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0,00</w:t>
            </w:r>
          </w:p>
        </w:tc>
        <w:tc>
          <w:tcPr>
            <w:tcW w:w="963" w:type="pct"/>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963DD" w:rsidRPr="00F963DD" w:rsidRDefault="00F963DD" w:rsidP="00F963DD">
            <w:pPr>
              <w:jc w:val="cente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3.812,07</w:t>
            </w:r>
          </w:p>
        </w:tc>
        <w:tc>
          <w:tcPr>
            <w:tcW w:w="534" w:type="pct"/>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F963DD" w:rsidRPr="00F963DD" w:rsidRDefault="00F963DD" w:rsidP="00F963DD">
            <w:pPr>
              <w:jc w:val="center"/>
              <w:rPr>
                <w:rFonts w:ascii="Lucida Bright" w:hAnsi="Lucida Bright" w:cs="Calibri"/>
                <w:color w:val="000000"/>
                <w:sz w:val="14"/>
                <w:szCs w:val="14"/>
                <w:lang w:val="es-ES"/>
              </w:rPr>
            </w:pPr>
            <w:r w:rsidRPr="00F963DD">
              <w:rPr>
                <w:rFonts w:ascii="Lucida Bright" w:hAnsi="Lucida Bright" w:cs="Calibri"/>
                <w:color w:val="000000"/>
                <w:sz w:val="14"/>
                <w:szCs w:val="14"/>
                <w:lang w:val="es-ES"/>
              </w:rPr>
              <w:t>50.233.395,56</w:t>
            </w:r>
          </w:p>
        </w:tc>
      </w:tr>
      <w:tr w:rsidR="00083185" w:rsidRPr="00F963DD" w:rsidTr="00083185">
        <w:trPr>
          <w:trHeight w:val="165"/>
        </w:trPr>
        <w:tc>
          <w:tcPr>
            <w:tcW w:w="1573" w:type="pct"/>
            <w:gridSpan w:val="3"/>
            <w:vMerge/>
            <w:tcBorders>
              <w:top w:val="single" w:sz="8" w:space="0" w:color="auto"/>
              <w:left w:val="single" w:sz="8" w:space="0" w:color="auto"/>
              <w:bottom w:val="single" w:sz="8" w:space="0" w:color="000000"/>
              <w:right w:val="single" w:sz="8" w:space="0" w:color="000000"/>
            </w:tcBorders>
            <w:vAlign w:val="center"/>
            <w:hideMark/>
          </w:tcPr>
          <w:p w:rsidR="00F963DD" w:rsidRPr="00F963DD" w:rsidRDefault="00F963DD" w:rsidP="00F963DD">
            <w:pPr>
              <w:rPr>
                <w:rFonts w:ascii="Lucida Bright" w:hAnsi="Lucida Bright" w:cs="Calibri"/>
                <w:b/>
                <w:bCs/>
                <w:color w:val="000000"/>
                <w:sz w:val="14"/>
                <w:szCs w:val="14"/>
                <w:lang w:val="es-ES"/>
              </w:rPr>
            </w:pPr>
          </w:p>
        </w:tc>
        <w:tc>
          <w:tcPr>
            <w:tcW w:w="967" w:type="pct"/>
            <w:gridSpan w:val="2"/>
            <w:vMerge/>
            <w:tcBorders>
              <w:top w:val="single" w:sz="8" w:space="0" w:color="auto"/>
              <w:left w:val="single" w:sz="8" w:space="0" w:color="auto"/>
              <w:bottom w:val="single" w:sz="8" w:space="0" w:color="000000"/>
              <w:right w:val="single" w:sz="8" w:space="0" w:color="auto"/>
            </w:tcBorders>
            <w:vAlign w:val="center"/>
            <w:hideMark/>
          </w:tcPr>
          <w:p w:rsidR="00F963DD" w:rsidRPr="00F963DD" w:rsidRDefault="00F963DD" w:rsidP="00F963DD">
            <w:pPr>
              <w:rPr>
                <w:rFonts w:ascii="Lucida Bright" w:hAnsi="Lucida Bright" w:cs="Calibri"/>
                <w:color w:val="000000"/>
                <w:sz w:val="14"/>
                <w:szCs w:val="14"/>
                <w:lang w:val="es-ES"/>
              </w:rPr>
            </w:pPr>
          </w:p>
        </w:tc>
        <w:tc>
          <w:tcPr>
            <w:tcW w:w="962" w:type="pct"/>
            <w:gridSpan w:val="2"/>
            <w:vMerge/>
            <w:tcBorders>
              <w:top w:val="single" w:sz="8" w:space="0" w:color="auto"/>
              <w:left w:val="single" w:sz="8" w:space="0" w:color="auto"/>
              <w:bottom w:val="single" w:sz="8" w:space="0" w:color="000000"/>
              <w:right w:val="single" w:sz="8" w:space="0" w:color="auto"/>
            </w:tcBorders>
            <w:vAlign w:val="center"/>
            <w:hideMark/>
          </w:tcPr>
          <w:p w:rsidR="00F963DD" w:rsidRPr="00F963DD" w:rsidRDefault="00F963DD" w:rsidP="00F963DD">
            <w:pPr>
              <w:rPr>
                <w:rFonts w:ascii="Lucida Bright" w:hAnsi="Lucida Bright" w:cs="Calibri"/>
                <w:color w:val="000000"/>
                <w:sz w:val="14"/>
                <w:szCs w:val="14"/>
                <w:lang w:val="es-ES"/>
              </w:rPr>
            </w:pPr>
          </w:p>
        </w:tc>
        <w:tc>
          <w:tcPr>
            <w:tcW w:w="963" w:type="pct"/>
            <w:gridSpan w:val="3"/>
            <w:vMerge/>
            <w:tcBorders>
              <w:top w:val="single" w:sz="8" w:space="0" w:color="auto"/>
              <w:left w:val="single" w:sz="8" w:space="0" w:color="auto"/>
              <w:bottom w:val="single" w:sz="8" w:space="0" w:color="000000"/>
              <w:right w:val="single" w:sz="8" w:space="0" w:color="auto"/>
            </w:tcBorders>
            <w:vAlign w:val="center"/>
            <w:hideMark/>
          </w:tcPr>
          <w:p w:rsidR="00F963DD" w:rsidRPr="00F963DD" w:rsidRDefault="00F963DD" w:rsidP="00F963DD">
            <w:pPr>
              <w:rPr>
                <w:rFonts w:ascii="Lucida Bright" w:hAnsi="Lucida Bright" w:cs="Calibri"/>
                <w:color w:val="000000"/>
                <w:sz w:val="14"/>
                <w:szCs w:val="14"/>
                <w:lang w:val="es-ES"/>
              </w:rPr>
            </w:pPr>
          </w:p>
        </w:tc>
        <w:tc>
          <w:tcPr>
            <w:tcW w:w="534" w:type="pct"/>
            <w:gridSpan w:val="2"/>
            <w:vMerge/>
            <w:tcBorders>
              <w:top w:val="nil"/>
              <w:left w:val="single" w:sz="8" w:space="0" w:color="auto"/>
              <w:bottom w:val="single" w:sz="8" w:space="0" w:color="000000"/>
              <w:right w:val="single" w:sz="8" w:space="0" w:color="auto"/>
            </w:tcBorders>
            <w:vAlign w:val="center"/>
            <w:hideMark/>
          </w:tcPr>
          <w:p w:rsidR="00F963DD" w:rsidRPr="00F963DD" w:rsidRDefault="00F963DD" w:rsidP="00F963DD">
            <w:pPr>
              <w:rPr>
                <w:rFonts w:ascii="Lucida Bright" w:hAnsi="Lucida Bright" w:cs="Calibri"/>
                <w:color w:val="000000"/>
                <w:sz w:val="14"/>
                <w:szCs w:val="14"/>
                <w:lang w:val="es-ES"/>
              </w:rPr>
            </w:pPr>
          </w:p>
        </w:tc>
      </w:tr>
    </w:tbl>
    <w:p w:rsidR="00F963DD" w:rsidRDefault="00F963DD" w:rsidP="00E0015A">
      <w:pPr>
        <w:tabs>
          <w:tab w:val="right" w:pos="8364"/>
        </w:tabs>
        <w:jc w:val="both"/>
        <w:rPr>
          <w:bCs/>
          <w:sz w:val="16"/>
          <w:szCs w:val="16"/>
        </w:rPr>
        <w:sectPr w:rsidR="00F963DD" w:rsidSect="00F963DD">
          <w:pgSz w:w="16840" w:h="11907" w:orient="landscape" w:code="9"/>
          <w:pgMar w:top="1985" w:right="1701" w:bottom="1418" w:left="1701" w:header="567" w:footer="720" w:gutter="0"/>
          <w:cols w:space="720"/>
          <w:docGrid w:linePitch="272"/>
        </w:sectPr>
      </w:pPr>
    </w:p>
    <w:p w:rsidR="00BB70A9" w:rsidRDefault="00BB70A9">
      <w:pPr>
        <w:tabs>
          <w:tab w:val="right" w:pos="8364"/>
        </w:tabs>
        <w:ind w:firstLine="540"/>
        <w:jc w:val="both"/>
        <w:rPr>
          <w:rFonts w:ascii="NewBaskerville" w:hAnsi="NewBaskerville"/>
          <w:bCs/>
          <w:u w:val="single"/>
        </w:rPr>
      </w:pPr>
    </w:p>
    <w:tbl>
      <w:tblPr>
        <w:tblW w:w="5000" w:type="pct"/>
        <w:tblLayout w:type="fixed"/>
        <w:tblCellMar>
          <w:left w:w="70" w:type="dxa"/>
          <w:right w:w="70" w:type="dxa"/>
        </w:tblCellMar>
        <w:tblLook w:val="04A0" w:firstRow="1" w:lastRow="0" w:firstColumn="1" w:lastColumn="0" w:noHBand="0" w:noVBand="1"/>
      </w:tblPr>
      <w:tblGrid>
        <w:gridCol w:w="1259"/>
        <w:gridCol w:w="1259"/>
        <w:gridCol w:w="864"/>
        <w:gridCol w:w="1363"/>
        <w:gridCol w:w="1559"/>
        <w:gridCol w:w="1420"/>
        <w:gridCol w:w="1559"/>
        <w:gridCol w:w="1418"/>
        <w:gridCol w:w="511"/>
        <w:gridCol w:w="907"/>
        <w:gridCol w:w="299"/>
        <w:gridCol w:w="1160"/>
      </w:tblGrid>
      <w:tr w:rsidR="00BB70A9" w:rsidRPr="00BB70A9" w:rsidTr="00083185">
        <w:trPr>
          <w:trHeight w:val="20"/>
        </w:trPr>
        <w:tc>
          <w:tcPr>
            <w:tcW w:w="4129" w:type="pct"/>
            <w:gridSpan w:val="9"/>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b/>
                <w:bCs/>
                <w:color w:val="000000"/>
                <w:sz w:val="18"/>
                <w:szCs w:val="18"/>
                <w:lang w:val="es-ES"/>
              </w:rPr>
            </w:pPr>
            <w:r w:rsidRPr="00BB70A9">
              <w:rPr>
                <w:rFonts w:ascii="Lucida Bright" w:hAnsi="Lucida Bright" w:cs="Calibri"/>
                <w:b/>
                <w:bCs/>
                <w:color w:val="000000"/>
                <w:sz w:val="18"/>
                <w:szCs w:val="18"/>
                <w:lang w:val="es-ES"/>
              </w:rPr>
              <w:t>Ejercicio 2022. Conciliación resultado contable y base imponible fiscal.</w:t>
            </w:r>
          </w:p>
        </w:tc>
        <w:tc>
          <w:tcPr>
            <w:tcW w:w="444" w:type="pct"/>
            <w:gridSpan w:val="2"/>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6"/>
                <w:szCs w:val="16"/>
                <w:lang w:val="es-ES"/>
              </w:rPr>
            </w:pPr>
          </w:p>
        </w:tc>
        <w:tc>
          <w:tcPr>
            <w:tcW w:w="427" w:type="pct"/>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6"/>
                <w:szCs w:val="16"/>
                <w:lang w:val="es-ES"/>
              </w:rPr>
            </w:pPr>
          </w:p>
        </w:tc>
      </w:tr>
      <w:tr w:rsidR="00BB70A9" w:rsidRPr="00BB70A9" w:rsidTr="00083185">
        <w:trPr>
          <w:trHeight w:val="20"/>
        </w:trPr>
        <w:tc>
          <w:tcPr>
            <w:tcW w:w="464" w:type="pct"/>
            <w:tcBorders>
              <w:top w:val="single" w:sz="8" w:space="0" w:color="auto"/>
              <w:left w:val="single" w:sz="8" w:space="0" w:color="auto"/>
              <w:bottom w:val="nil"/>
              <w:right w:val="nil"/>
            </w:tcBorders>
            <w:shd w:val="clear" w:color="000000" w:fill="CCFFCC"/>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464" w:type="pct"/>
            <w:tcBorders>
              <w:top w:val="single" w:sz="8" w:space="0" w:color="auto"/>
              <w:left w:val="nil"/>
              <w:bottom w:val="nil"/>
              <w:right w:val="nil"/>
            </w:tcBorders>
            <w:shd w:val="clear" w:color="000000" w:fill="CCFFCC"/>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318" w:type="pct"/>
            <w:tcBorders>
              <w:top w:val="single" w:sz="8" w:space="0" w:color="auto"/>
              <w:left w:val="nil"/>
              <w:bottom w:val="nil"/>
              <w:right w:val="single" w:sz="8" w:space="0" w:color="auto"/>
            </w:tcBorders>
            <w:shd w:val="clear" w:color="000000" w:fill="CCFFCC"/>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3755" w:type="pct"/>
            <w:gridSpan w:val="9"/>
            <w:tcBorders>
              <w:top w:val="single" w:sz="8" w:space="0" w:color="auto"/>
              <w:left w:val="nil"/>
              <w:bottom w:val="single" w:sz="8" w:space="0" w:color="auto"/>
              <w:right w:val="single" w:sz="8" w:space="0" w:color="000000"/>
            </w:tcBorders>
            <w:shd w:val="clear" w:color="000000" w:fill="CCFFCC"/>
            <w:vAlign w:val="bottom"/>
            <w:hideMark/>
          </w:tcPr>
          <w:p w:rsidR="00BB70A9" w:rsidRPr="00BB70A9" w:rsidRDefault="00BB70A9" w:rsidP="00BB70A9">
            <w:pPr>
              <w:jc w:val="cente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Euros</w:t>
            </w:r>
          </w:p>
        </w:tc>
      </w:tr>
      <w:tr w:rsidR="00BB70A9" w:rsidRPr="00BB70A9" w:rsidTr="00083185">
        <w:trPr>
          <w:trHeight w:val="20"/>
        </w:trPr>
        <w:tc>
          <w:tcPr>
            <w:tcW w:w="464" w:type="pct"/>
            <w:tcBorders>
              <w:top w:val="nil"/>
              <w:left w:val="single" w:sz="8" w:space="0" w:color="auto"/>
              <w:bottom w:val="single" w:sz="8" w:space="0" w:color="auto"/>
              <w:right w:val="nil"/>
            </w:tcBorders>
            <w:shd w:val="clear" w:color="000000" w:fill="CCFFCC"/>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464" w:type="pct"/>
            <w:tcBorders>
              <w:top w:val="nil"/>
              <w:left w:val="nil"/>
              <w:bottom w:val="single" w:sz="8" w:space="0" w:color="auto"/>
              <w:right w:val="nil"/>
            </w:tcBorders>
            <w:shd w:val="clear" w:color="000000" w:fill="CCFFCC"/>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318" w:type="pct"/>
            <w:tcBorders>
              <w:top w:val="nil"/>
              <w:left w:val="nil"/>
              <w:bottom w:val="single" w:sz="8" w:space="0" w:color="auto"/>
              <w:right w:val="single" w:sz="8" w:space="0" w:color="auto"/>
            </w:tcBorders>
            <w:shd w:val="clear" w:color="000000" w:fill="CCFFCC"/>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1076" w:type="pct"/>
            <w:gridSpan w:val="2"/>
            <w:tcBorders>
              <w:top w:val="single" w:sz="8" w:space="0" w:color="auto"/>
              <w:left w:val="nil"/>
              <w:bottom w:val="single" w:sz="8" w:space="0" w:color="auto"/>
              <w:right w:val="single" w:sz="8" w:space="0" w:color="auto"/>
            </w:tcBorders>
            <w:shd w:val="clear" w:color="000000" w:fill="CCFFCC"/>
            <w:vAlign w:val="bottom"/>
            <w:hideMark/>
          </w:tcPr>
          <w:p w:rsidR="00BB70A9" w:rsidRPr="00BB70A9" w:rsidRDefault="00BB70A9" w:rsidP="00BB70A9">
            <w:pPr>
              <w:jc w:val="cente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Cuenta de Pérdidas y Ganancias</w:t>
            </w:r>
          </w:p>
        </w:tc>
        <w:tc>
          <w:tcPr>
            <w:tcW w:w="1097" w:type="pct"/>
            <w:gridSpan w:val="2"/>
            <w:tcBorders>
              <w:top w:val="single" w:sz="8" w:space="0" w:color="auto"/>
              <w:left w:val="nil"/>
              <w:bottom w:val="single" w:sz="8" w:space="0" w:color="auto"/>
              <w:right w:val="single" w:sz="8" w:space="0" w:color="auto"/>
            </w:tcBorders>
            <w:shd w:val="clear" w:color="000000" w:fill="CCFFCC"/>
            <w:vAlign w:val="bottom"/>
            <w:hideMark/>
          </w:tcPr>
          <w:p w:rsidR="00BB70A9" w:rsidRPr="00BB70A9" w:rsidRDefault="00BB70A9" w:rsidP="00BB70A9">
            <w:pPr>
              <w:jc w:val="cente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Ingresos y Gastos Directamente Imputados al Patrimonio</w:t>
            </w:r>
          </w:p>
        </w:tc>
        <w:tc>
          <w:tcPr>
            <w:tcW w:w="1044" w:type="pct"/>
            <w:gridSpan w:val="3"/>
            <w:tcBorders>
              <w:top w:val="single" w:sz="8" w:space="0" w:color="auto"/>
              <w:left w:val="nil"/>
              <w:bottom w:val="single" w:sz="8" w:space="0" w:color="auto"/>
              <w:right w:val="single" w:sz="8" w:space="0" w:color="auto"/>
            </w:tcBorders>
            <w:shd w:val="clear" w:color="000000" w:fill="CCFFCC"/>
            <w:vAlign w:val="bottom"/>
            <w:hideMark/>
          </w:tcPr>
          <w:p w:rsidR="00BB70A9" w:rsidRPr="00BB70A9" w:rsidRDefault="00BB70A9" w:rsidP="00BB70A9">
            <w:pPr>
              <w:jc w:val="cente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Reservas</w:t>
            </w:r>
          </w:p>
        </w:tc>
        <w:tc>
          <w:tcPr>
            <w:tcW w:w="537" w:type="pct"/>
            <w:gridSpan w:val="2"/>
            <w:tcBorders>
              <w:top w:val="nil"/>
              <w:left w:val="nil"/>
              <w:bottom w:val="single" w:sz="8" w:space="0" w:color="auto"/>
              <w:right w:val="single" w:sz="8" w:space="0" w:color="auto"/>
            </w:tcBorders>
            <w:shd w:val="clear" w:color="000000" w:fill="CCFFCC"/>
            <w:noWrap/>
            <w:vAlign w:val="bottom"/>
            <w:hideMark/>
          </w:tcPr>
          <w:p w:rsidR="00BB70A9" w:rsidRPr="00BB70A9" w:rsidRDefault="00BB70A9" w:rsidP="00BB70A9">
            <w:pPr>
              <w:jc w:val="cente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Total</w:t>
            </w:r>
          </w:p>
        </w:tc>
      </w:tr>
      <w:tr w:rsidR="00BB70A9" w:rsidRPr="00BB70A9" w:rsidTr="00083185">
        <w:trPr>
          <w:trHeight w:val="165"/>
        </w:trPr>
        <w:tc>
          <w:tcPr>
            <w:tcW w:w="1245"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B70A9" w:rsidRPr="00BB70A9" w:rsidRDefault="00BB70A9" w:rsidP="00BB70A9">
            <w:pPr>
              <w:jc w:val="cente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Resultado contable antes del Impuesto sobre Sociedades</w:t>
            </w:r>
          </w:p>
        </w:tc>
        <w:tc>
          <w:tcPr>
            <w:tcW w:w="1076"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B70A9" w:rsidRPr="00BB70A9" w:rsidRDefault="00BB70A9" w:rsidP="00BB70A9">
            <w:pPr>
              <w:jc w:val="cente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32.803.783,33</w:t>
            </w:r>
          </w:p>
        </w:tc>
        <w:tc>
          <w:tcPr>
            <w:tcW w:w="109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B70A9" w:rsidRPr="00BB70A9" w:rsidRDefault="00BB70A9" w:rsidP="00BB70A9">
            <w:pPr>
              <w:jc w:val="cente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535.092,25</w:t>
            </w:r>
          </w:p>
        </w:tc>
        <w:tc>
          <w:tcPr>
            <w:tcW w:w="1044"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B70A9" w:rsidRPr="00BB70A9" w:rsidRDefault="00BB70A9" w:rsidP="00BB70A9">
            <w:pPr>
              <w:jc w:val="cente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0,00</w:t>
            </w:r>
          </w:p>
        </w:tc>
        <w:tc>
          <w:tcPr>
            <w:tcW w:w="537"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BB70A9" w:rsidRPr="00BB70A9" w:rsidRDefault="00BB70A9" w:rsidP="00BB70A9">
            <w:pPr>
              <w:jc w:val="cente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33.338.875,58</w:t>
            </w:r>
          </w:p>
        </w:tc>
      </w:tr>
      <w:tr w:rsidR="00BB70A9" w:rsidRPr="00BB70A9" w:rsidTr="00083185">
        <w:trPr>
          <w:trHeight w:val="165"/>
        </w:trPr>
        <w:tc>
          <w:tcPr>
            <w:tcW w:w="1245" w:type="pct"/>
            <w:gridSpan w:val="3"/>
            <w:vMerge/>
            <w:tcBorders>
              <w:top w:val="single" w:sz="8" w:space="0" w:color="auto"/>
              <w:left w:val="single" w:sz="8" w:space="0" w:color="auto"/>
              <w:bottom w:val="single" w:sz="8" w:space="0" w:color="000000"/>
              <w:right w:val="single" w:sz="8" w:space="0" w:color="000000"/>
            </w:tcBorders>
            <w:vAlign w:val="center"/>
            <w:hideMark/>
          </w:tcPr>
          <w:p w:rsidR="00BB70A9" w:rsidRPr="00BB70A9" w:rsidRDefault="00BB70A9" w:rsidP="00BB70A9">
            <w:pPr>
              <w:rPr>
                <w:rFonts w:ascii="Lucida Bright" w:hAnsi="Lucida Bright" w:cs="Calibri"/>
                <w:color w:val="000000"/>
                <w:sz w:val="14"/>
                <w:szCs w:val="14"/>
                <w:lang w:val="es-ES"/>
              </w:rPr>
            </w:pPr>
          </w:p>
        </w:tc>
        <w:tc>
          <w:tcPr>
            <w:tcW w:w="1076" w:type="pct"/>
            <w:gridSpan w:val="2"/>
            <w:vMerge/>
            <w:tcBorders>
              <w:top w:val="single" w:sz="8" w:space="0" w:color="auto"/>
              <w:left w:val="single" w:sz="8" w:space="0" w:color="auto"/>
              <w:bottom w:val="single" w:sz="8" w:space="0" w:color="000000"/>
              <w:right w:val="single" w:sz="8" w:space="0" w:color="000000"/>
            </w:tcBorders>
            <w:vAlign w:val="center"/>
            <w:hideMark/>
          </w:tcPr>
          <w:p w:rsidR="00BB70A9" w:rsidRPr="00BB70A9" w:rsidRDefault="00BB70A9" w:rsidP="00BB70A9">
            <w:pPr>
              <w:rPr>
                <w:rFonts w:ascii="Lucida Bright" w:hAnsi="Lucida Bright" w:cs="Calibri"/>
                <w:color w:val="000000"/>
                <w:sz w:val="14"/>
                <w:szCs w:val="14"/>
                <w:lang w:val="es-ES"/>
              </w:rPr>
            </w:pPr>
          </w:p>
        </w:tc>
        <w:tc>
          <w:tcPr>
            <w:tcW w:w="1097" w:type="pct"/>
            <w:gridSpan w:val="2"/>
            <w:vMerge/>
            <w:tcBorders>
              <w:top w:val="single" w:sz="8" w:space="0" w:color="auto"/>
              <w:left w:val="single" w:sz="8" w:space="0" w:color="auto"/>
              <w:bottom w:val="single" w:sz="8" w:space="0" w:color="000000"/>
              <w:right w:val="single" w:sz="8" w:space="0" w:color="000000"/>
            </w:tcBorders>
            <w:vAlign w:val="center"/>
            <w:hideMark/>
          </w:tcPr>
          <w:p w:rsidR="00BB70A9" w:rsidRPr="00BB70A9" w:rsidRDefault="00BB70A9" w:rsidP="00BB70A9">
            <w:pPr>
              <w:rPr>
                <w:rFonts w:ascii="Lucida Bright" w:hAnsi="Lucida Bright" w:cs="Calibri"/>
                <w:color w:val="000000"/>
                <w:sz w:val="14"/>
                <w:szCs w:val="14"/>
                <w:lang w:val="es-ES"/>
              </w:rPr>
            </w:pPr>
          </w:p>
        </w:tc>
        <w:tc>
          <w:tcPr>
            <w:tcW w:w="1044" w:type="pct"/>
            <w:gridSpan w:val="3"/>
            <w:vMerge/>
            <w:tcBorders>
              <w:top w:val="single" w:sz="8" w:space="0" w:color="auto"/>
              <w:left w:val="single" w:sz="8" w:space="0" w:color="auto"/>
              <w:bottom w:val="single" w:sz="8" w:space="0" w:color="000000"/>
              <w:right w:val="single" w:sz="8" w:space="0" w:color="000000"/>
            </w:tcBorders>
            <w:vAlign w:val="center"/>
            <w:hideMark/>
          </w:tcPr>
          <w:p w:rsidR="00BB70A9" w:rsidRPr="00BB70A9" w:rsidRDefault="00BB70A9" w:rsidP="00BB70A9">
            <w:pPr>
              <w:rPr>
                <w:rFonts w:ascii="Lucida Bright" w:hAnsi="Lucida Bright" w:cs="Calibri"/>
                <w:color w:val="000000"/>
                <w:sz w:val="14"/>
                <w:szCs w:val="14"/>
                <w:lang w:val="es-ES"/>
              </w:rPr>
            </w:pPr>
          </w:p>
        </w:tc>
        <w:tc>
          <w:tcPr>
            <w:tcW w:w="537" w:type="pct"/>
            <w:gridSpan w:val="2"/>
            <w:vMerge/>
            <w:tcBorders>
              <w:top w:val="nil"/>
              <w:left w:val="single" w:sz="8" w:space="0" w:color="auto"/>
              <w:bottom w:val="single" w:sz="8" w:space="0" w:color="000000"/>
              <w:right w:val="single" w:sz="8" w:space="0" w:color="auto"/>
            </w:tcBorders>
            <w:vAlign w:val="center"/>
            <w:hideMark/>
          </w:tcPr>
          <w:p w:rsidR="00BB70A9" w:rsidRPr="00BB70A9" w:rsidRDefault="00BB70A9" w:rsidP="00BB70A9">
            <w:pPr>
              <w:rPr>
                <w:rFonts w:ascii="Lucida Bright" w:hAnsi="Lucida Bright" w:cs="Calibri"/>
                <w:color w:val="000000"/>
                <w:sz w:val="14"/>
                <w:szCs w:val="14"/>
                <w:lang w:val="es-ES"/>
              </w:rPr>
            </w:pPr>
          </w:p>
        </w:tc>
      </w:tr>
      <w:tr w:rsidR="00083185" w:rsidRPr="00BB70A9" w:rsidTr="00083185">
        <w:trPr>
          <w:trHeight w:val="20"/>
        </w:trPr>
        <w:tc>
          <w:tcPr>
            <w:tcW w:w="1245" w:type="pct"/>
            <w:gridSpan w:val="3"/>
            <w:vMerge/>
            <w:tcBorders>
              <w:top w:val="single" w:sz="8" w:space="0" w:color="auto"/>
              <w:left w:val="single" w:sz="8" w:space="0" w:color="auto"/>
              <w:bottom w:val="single" w:sz="8" w:space="0" w:color="000000"/>
              <w:right w:val="single" w:sz="8" w:space="0" w:color="000000"/>
            </w:tcBorders>
            <w:vAlign w:val="center"/>
            <w:hideMark/>
          </w:tcPr>
          <w:p w:rsidR="00BB70A9" w:rsidRPr="00BB70A9" w:rsidRDefault="00BB70A9" w:rsidP="00BB70A9">
            <w:pPr>
              <w:rPr>
                <w:rFonts w:ascii="Lucida Bright" w:hAnsi="Lucida Bright" w:cs="Calibri"/>
                <w:color w:val="000000"/>
                <w:sz w:val="14"/>
                <w:szCs w:val="14"/>
                <w:lang w:val="es-ES"/>
              </w:rPr>
            </w:pPr>
          </w:p>
        </w:tc>
        <w:tc>
          <w:tcPr>
            <w:tcW w:w="502"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xml:space="preserve">Aumentos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Disminuciones</w:t>
            </w:r>
          </w:p>
        </w:tc>
        <w:tc>
          <w:tcPr>
            <w:tcW w:w="523"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xml:space="preserve">Aumentos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Disminuciones</w:t>
            </w:r>
          </w:p>
        </w:tc>
        <w:tc>
          <w:tcPr>
            <w:tcW w:w="522" w:type="pct"/>
            <w:tcBorders>
              <w:top w:val="nil"/>
              <w:left w:val="nil"/>
              <w:bottom w:val="single" w:sz="8" w:space="0" w:color="auto"/>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xml:space="preserve">Aumentos </w:t>
            </w:r>
          </w:p>
        </w:tc>
        <w:tc>
          <w:tcPr>
            <w:tcW w:w="522" w:type="pct"/>
            <w:gridSpan w:val="2"/>
            <w:tcBorders>
              <w:top w:val="nil"/>
              <w:left w:val="nil"/>
              <w:bottom w:val="single" w:sz="8" w:space="0" w:color="auto"/>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Disminuciones</w:t>
            </w:r>
          </w:p>
        </w:tc>
        <w:tc>
          <w:tcPr>
            <w:tcW w:w="537" w:type="pct"/>
            <w:gridSpan w:val="2"/>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r>
      <w:tr w:rsidR="00083185" w:rsidRPr="00BB70A9" w:rsidTr="00083185">
        <w:trPr>
          <w:trHeight w:val="20"/>
        </w:trPr>
        <w:tc>
          <w:tcPr>
            <w:tcW w:w="464" w:type="pct"/>
            <w:tcBorders>
              <w:top w:val="nil"/>
              <w:left w:val="single" w:sz="8" w:space="0" w:color="auto"/>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464" w:type="pct"/>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318"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02" w:type="pct"/>
            <w:tcBorders>
              <w:top w:val="single" w:sz="8" w:space="0" w:color="auto"/>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single" w:sz="8" w:space="0" w:color="auto"/>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3" w:type="pct"/>
            <w:tcBorders>
              <w:top w:val="single" w:sz="8" w:space="0" w:color="auto"/>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single" w:sz="8" w:space="0" w:color="auto"/>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gridSpan w:val="2"/>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537" w:type="pct"/>
            <w:gridSpan w:val="2"/>
            <w:tcBorders>
              <w:top w:val="single" w:sz="8" w:space="0" w:color="auto"/>
              <w:left w:val="single" w:sz="8" w:space="0" w:color="auto"/>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r>
      <w:tr w:rsidR="00083185" w:rsidRPr="00BB70A9" w:rsidTr="00083185">
        <w:trPr>
          <w:trHeight w:val="20"/>
        </w:trPr>
        <w:tc>
          <w:tcPr>
            <w:tcW w:w="927" w:type="pct"/>
            <w:gridSpan w:val="2"/>
            <w:tcBorders>
              <w:top w:val="nil"/>
              <w:left w:val="single" w:sz="8" w:space="0" w:color="auto"/>
              <w:bottom w:val="nil"/>
              <w:right w:val="nil"/>
            </w:tcBorders>
            <w:shd w:val="clear" w:color="auto" w:fill="auto"/>
            <w:noWrap/>
            <w:vAlign w:val="center"/>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Diferencias permanentes:</w:t>
            </w:r>
          </w:p>
        </w:tc>
        <w:tc>
          <w:tcPr>
            <w:tcW w:w="318"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0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3"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gridSpan w:val="2"/>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537" w:type="pct"/>
            <w:gridSpan w:val="2"/>
            <w:tcBorders>
              <w:top w:val="nil"/>
              <w:left w:val="single" w:sz="8" w:space="0" w:color="auto"/>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r>
      <w:tr w:rsidR="00083185" w:rsidRPr="00BB70A9" w:rsidTr="00083185">
        <w:trPr>
          <w:trHeight w:val="20"/>
        </w:trPr>
        <w:tc>
          <w:tcPr>
            <w:tcW w:w="1245" w:type="pct"/>
            <w:gridSpan w:val="3"/>
            <w:tcBorders>
              <w:top w:val="nil"/>
              <w:left w:val="single" w:sz="8" w:space="0" w:color="auto"/>
              <w:bottom w:val="nil"/>
              <w:right w:val="single" w:sz="8" w:space="0" w:color="000000"/>
            </w:tcBorders>
            <w:shd w:val="clear" w:color="auto" w:fill="auto"/>
            <w:noWrap/>
            <w:vAlign w:val="center"/>
            <w:hideMark/>
          </w:tcPr>
          <w:p w:rsidR="00BB70A9" w:rsidRPr="00BB70A9" w:rsidRDefault="00BB70A9" w:rsidP="00BB70A9">
            <w:pPr>
              <w:rPr>
                <w:rFonts w:ascii="Lucida Bright" w:hAnsi="Lucida Bright" w:cs="Calibri"/>
                <w:i/>
                <w:iCs/>
                <w:color w:val="000000"/>
                <w:sz w:val="14"/>
                <w:szCs w:val="14"/>
                <w:lang w:val="es-ES"/>
              </w:rPr>
            </w:pPr>
            <w:r w:rsidRPr="00BB70A9">
              <w:rPr>
                <w:rFonts w:ascii="Lucida Bright" w:hAnsi="Lucida Bright" w:cs="Calibri"/>
                <w:i/>
                <w:iCs/>
                <w:color w:val="000000"/>
                <w:sz w:val="14"/>
                <w:szCs w:val="14"/>
                <w:lang w:val="es-ES"/>
              </w:rPr>
              <w:t xml:space="preserve">Dotación </w:t>
            </w:r>
            <w:proofErr w:type="spellStart"/>
            <w:r w:rsidRPr="00BB70A9">
              <w:rPr>
                <w:rFonts w:ascii="Lucida Bright" w:hAnsi="Lucida Bright" w:cs="Calibri"/>
                <w:i/>
                <w:iCs/>
                <w:color w:val="000000"/>
                <w:sz w:val="14"/>
                <w:szCs w:val="14"/>
                <w:lang w:val="es-ES"/>
              </w:rPr>
              <w:t>amort</w:t>
            </w:r>
            <w:proofErr w:type="spellEnd"/>
            <w:r w:rsidRPr="00BB70A9">
              <w:rPr>
                <w:rFonts w:ascii="Lucida Bright" w:hAnsi="Lucida Bright" w:cs="Calibri"/>
                <w:i/>
                <w:iCs/>
                <w:color w:val="000000"/>
                <w:sz w:val="14"/>
                <w:szCs w:val="14"/>
                <w:lang w:val="es-ES"/>
              </w:rPr>
              <w:t xml:space="preserve"> superior Plan Especial</w:t>
            </w:r>
          </w:p>
        </w:tc>
        <w:tc>
          <w:tcPr>
            <w:tcW w:w="502" w:type="pct"/>
            <w:tcBorders>
              <w:top w:val="nil"/>
              <w:left w:val="nil"/>
              <w:bottom w:val="nil"/>
              <w:right w:val="single" w:sz="4"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355.424,95</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3"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gridSpan w:val="2"/>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537" w:type="pct"/>
            <w:gridSpan w:val="2"/>
            <w:tcBorders>
              <w:top w:val="nil"/>
              <w:left w:val="single" w:sz="8" w:space="0" w:color="auto"/>
              <w:bottom w:val="nil"/>
              <w:right w:val="single" w:sz="8"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355.424,95</w:t>
            </w:r>
          </w:p>
        </w:tc>
      </w:tr>
      <w:tr w:rsidR="00083185" w:rsidRPr="00BB70A9" w:rsidTr="00083185">
        <w:trPr>
          <w:trHeight w:val="20"/>
        </w:trPr>
        <w:tc>
          <w:tcPr>
            <w:tcW w:w="1245" w:type="pct"/>
            <w:gridSpan w:val="3"/>
            <w:tcBorders>
              <w:top w:val="nil"/>
              <w:left w:val="single" w:sz="8" w:space="0" w:color="auto"/>
              <w:bottom w:val="nil"/>
              <w:right w:val="single" w:sz="8" w:space="0" w:color="000000"/>
            </w:tcBorders>
            <w:shd w:val="clear" w:color="auto" w:fill="auto"/>
            <w:noWrap/>
            <w:vAlign w:val="center"/>
            <w:hideMark/>
          </w:tcPr>
          <w:p w:rsidR="00BB70A9" w:rsidRPr="00BB70A9" w:rsidRDefault="00BB70A9" w:rsidP="00BB70A9">
            <w:pPr>
              <w:rPr>
                <w:rFonts w:ascii="Lucida Bright" w:hAnsi="Lucida Bright" w:cs="Calibri"/>
                <w:i/>
                <w:iCs/>
                <w:color w:val="000000"/>
                <w:sz w:val="14"/>
                <w:szCs w:val="14"/>
                <w:lang w:val="es-ES"/>
              </w:rPr>
            </w:pPr>
            <w:proofErr w:type="spellStart"/>
            <w:r w:rsidRPr="00BB70A9">
              <w:rPr>
                <w:rFonts w:ascii="Lucida Bright" w:hAnsi="Lucida Bright" w:cs="Calibri"/>
                <w:i/>
                <w:iCs/>
                <w:color w:val="000000"/>
                <w:sz w:val="14"/>
                <w:szCs w:val="14"/>
                <w:lang w:val="es-ES"/>
              </w:rPr>
              <w:t>Ing</w:t>
            </w:r>
            <w:proofErr w:type="spellEnd"/>
            <w:r w:rsidRPr="00BB70A9">
              <w:rPr>
                <w:rFonts w:ascii="Lucida Bright" w:hAnsi="Lucida Bright" w:cs="Calibri"/>
                <w:i/>
                <w:iCs/>
                <w:color w:val="000000"/>
                <w:sz w:val="14"/>
                <w:szCs w:val="14"/>
                <w:lang w:val="es-ES"/>
              </w:rPr>
              <w:t xml:space="preserve"> </w:t>
            </w:r>
            <w:proofErr w:type="spellStart"/>
            <w:r w:rsidRPr="00BB70A9">
              <w:rPr>
                <w:rFonts w:ascii="Lucida Bright" w:hAnsi="Lucida Bright" w:cs="Calibri"/>
                <w:i/>
                <w:iCs/>
                <w:color w:val="000000"/>
                <w:sz w:val="14"/>
                <w:szCs w:val="14"/>
                <w:lang w:val="es-ES"/>
              </w:rPr>
              <w:t>trasp</w:t>
            </w:r>
            <w:proofErr w:type="spellEnd"/>
            <w:r w:rsidRPr="00BB70A9">
              <w:rPr>
                <w:rFonts w:ascii="Lucida Bright" w:hAnsi="Lucida Bright" w:cs="Calibri"/>
                <w:i/>
                <w:iCs/>
                <w:color w:val="000000"/>
                <w:sz w:val="14"/>
                <w:szCs w:val="14"/>
                <w:lang w:val="es-ES"/>
              </w:rPr>
              <w:t xml:space="preserve"> </w:t>
            </w:r>
            <w:proofErr w:type="spellStart"/>
            <w:r w:rsidRPr="00BB70A9">
              <w:rPr>
                <w:rFonts w:ascii="Lucida Bright" w:hAnsi="Lucida Bright" w:cs="Calibri"/>
                <w:i/>
                <w:iCs/>
                <w:color w:val="000000"/>
                <w:sz w:val="14"/>
                <w:szCs w:val="14"/>
                <w:lang w:val="es-ES"/>
              </w:rPr>
              <w:t>rdo</w:t>
            </w:r>
            <w:proofErr w:type="spellEnd"/>
            <w:r w:rsidRPr="00BB70A9">
              <w:rPr>
                <w:rFonts w:ascii="Lucida Bright" w:hAnsi="Lucida Bright" w:cs="Calibri"/>
                <w:i/>
                <w:iCs/>
                <w:color w:val="000000"/>
                <w:sz w:val="14"/>
                <w:szCs w:val="14"/>
                <w:lang w:val="es-ES"/>
              </w:rPr>
              <w:t xml:space="preserve"> reversiones </w:t>
            </w:r>
            <w:proofErr w:type="spellStart"/>
            <w:r w:rsidRPr="00BB70A9">
              <w:rPr>
                <w:rFonts w:ascii="Lucida Bright" w:hAnsi="Lucida Bright" w:cs="Calibri"/>
                <w:i/>
                <w:iCs/>
                <w:color w:val="000000"/>
                <w:sz w:val="14"/>
                <w:szCs w:val="14"/>
                <w:lang w:val="es-ES"/>
              </w:rPr>
              <w:t>conc</w:t>
            </w:r>
            <w:proofErr w:type="spellEnd"/>
            <w:r w:rsidRPr="00BB70A9">
              <w:rPr>
                <w:rFonts w:ascii="Lucida Bright" w:hAnsi="Lucida Bright" w:cs="Calibri"/>
                <w:i/>
                <w:iCs/>
                <w:color w:val="000000"/>
                <w:sz w:val="14"/>
                <w:szCs w:val="14"/>
                <w:lang w:val="es-ES"/>
              </w:rPr>
              <w:t xml:space="preserve"> </w:t>
            </w:r>
            <w:proofErr w:type="spellStart"/>
            <w:r w:rsidRPr="00BB70A9">
              <w:rPr>
                <w:rFonts w:ascii="Lucida Bright" w:hAnsi="Lucida Bright" w:cs="Calibri"/>
                <w:i/>
                <w:iCs/>
                <w:color w:val="000000"/>
                <w:sz w:val="14"/>
                <w:szCs w:val="14"/>
                <w:lang w:val="es-ES"/>
              </w:rPr>
              <w:t>ej</w:t>
            </w:r>
            <w:proofErr w:type="spellEnd"/>
            <w:r w:rsidRPr="00BB70A9">
              <w:rPr>
                <w:rFonts w:ascii="Lucida Bright" w:hAnsi="Lucida Bright" w:cs="Calibri"/>
                <w:i/>
                <w:iCs/>
                <w:color w:val="000000"/>
                <w:sz w:val="14"/>
                <w:szCs w:val="14"/>
                <w:lang w:val="es-ES"/>
              </w:rPr>
              <w:t xml:space="preserve"> ante 2020</w:t>
            </w:r>
          </w:p>
        </w:tc>
        <w:tc>
          <w:tcPr>
            <w:tcW w:w="50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172.721,96</w:t>
            </w:r>
          </w:p>
        </w:tc>
        <w:tc>
          <w:tcPr>
            <w:tcW w:w="523"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gridSpan w:val="2"/>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537" w:type="pct"/>
            <w:gridSpan w:val="2"/>
            <w:tcBorders>
              <w:top w:val="nil"/>
              <w:left w:val="single" w:sz="8" w:space="0" w:color="auto"/>
              <w:bottom w:val="nil"/>
              <w:right w:val="single" w:sz="8"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(172.721,96)</w:t>
            </w:r>
          </w:p>
        </w:tc>
      </w:tr>
      <w:tr w:rsidR="00083185" w:rsidRPr="00BB70A9" w:rsidTr="00083185">
        <w:trPr>
          <w:trHeight w:val="20"/>
        </w:trPr>
        <w:tc>
          <w:tcPr>
            <w:tcW w:w="1245" w:type="pct"/>
            <w:gridSpan w:val="3"/>
            <w:tcBorders>
              <w:top w:val="nil"/>
              <w:left w:val="single" w:sz="8" w:space="0" w:color="auto"/>
              <w:bottom w:val="nil"/>
              <w:right w:val="single" w:sz="8" w:space="0" w:color="000000"/>
            </w:tcBorders>
            <w:shd w:val="clear" w:color="auto" w:fill="auto"/>
            <w:noWrap/>
            <w:vAlign w:val="center"/>
            <w:hideMark/>
          </w:tcPr>
          <w:p w:rsidR="00BB70A9" w:rsidRPr="00BB70A9" w:rsidRDefault="00BB70A9" w:rsidP="00BB70A9">
            <w:pPr>
              <w:rPr>
                <w:rFonts w:ascii="Lucida Bright" w:hAnsi="Lucida Bright" w:cs="Calibri"/>
                <w:i/>
                <w:iCs/>
                <w:color w:val="000000"/>
                <w:sz w:val="14"/>
                <w:szCs w:val="14"/>
                <w:lang w:val="es-ES"/>
              </w:rPr>
            </w:pPr>
            <w:r w:rsidRPr="00BB70A9">
              <w:rPr>
                <w:rFonts w:ascii="Lucida Bright" w:hAnsi="Lucida Bright" w:cs="Calibri"/>
                <w:i/>
                <w:iCs/>
                <w:color w:val="000000"/>
                <w:sz w:val="14"/>
                <w:szCs w:val="14"/>
                <w:lang w:val="es-ES"/>
              </w:rPr>
              <w:t xml:space="preserve">Dotación </w:t>
            </w:r>
            <w:proofErr w:type="spellStart"/>
            <w:r w:rsidRPr="00BB70A9">
              <w:rPr>
                <w:rFonts w:ascii="Lucida Bright" w:hAnsi="Lucida Bright" w:cs="Calibri"/>
                <w:i/>
                <w:iCs/>
                <w:color w:val="000000"/>
                <w:sz w:val="14"/>
                <w:szCs w:val="14"/>
                <w:lang w:val="es-ES"/>
              </w:rPr>
              <w:t>amort</w:t>
            </w:r>
            <w:proofErr w:type="spellEnd"/>
            <w:r w:rsidRPr="00BB70A9">
              <w:rPr>
                <w:rFonts w:ascii="Lucida Bright" w:hAnsi="Lucida Bright" w:cs="Calibri"/>
                <w:i/>
                <w:iCs/>
                <w:color w:val="000000"/>
                <w:sz w:val="14"/>
                <w:szCs w:val="14"/>
                <w:lang w:val="es-ES"/>
              </w:rPr>
              <w:t xml:space="preserve"> no deducible art 15 n LIS</w:t>
            </w:r>
          </w:p>
        </w:tc>
        <w:tc>
          <w:tcPr>
            <w:tcW w:w="502" w:type="pct"/>
            <w:tcBorders>
              <w:top w:val="nil"/>
              <w:left w:val="nil"/>
              <w:bottom w:val="nil"/>
              <w:right w:val="single" w:sz="4"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553.838,61</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3"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gridSpan w:val="2"/>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537" w:type="pct"/>
            <w:gridSpan w:val="2"/>
            <w:tcBorders>
              <w:top w:val="nil"/>
              <w:left w:val="single" w:sz="8" w:space="0" w:color="auto"/>
              <w:bottom w:val="nil"/>
              <w:right w:val="single" w:sz="8"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553.838,61</w:t>
            </w:r>
          </w:p>
        </w:tc>
      </w:tr>
      <w:tr w:rsidR="00083185" w:rsidRPr="00BB70A9" w:rsidTr="00083185">
        <w:trPr>
          <w:trHeight w:val="20"/>
        </w:trPr>
        <w:tc>
          <w:tcPr>
            <w:tcW w:w="927" w:type="pct"/>
            <w:gridSpan w:val="2"/>
            <w:tcBorders>
              <w:top w:val="nil"/>
              <w:left w:val="single" w:sz="8" w:space="0" w:color="auto"/>
              <w:bottom w:val="nil"/>
              <w:right w:val="nil"/>
            </w:tcBorders>
            <w:shd w:val="clear" w:color="auto" w:fill="auto"/>
            <w:noWrap/>
            <w:vAlign w:val="center"/>
            <w:hideMark/>
          </w:tcPr>
          <w:p w:rsidR="00BB70A9" w:rsidRPr="00BB70A9" w:rsidRDefault="00BB70A9" w:rsidP="00BB70A9">
            <w:pPr>
              <w:rPr>
                <w:rFonts w:ascii="Lucida Bright" w:hAnsi="Lucida Bright" w:cs="Calibri"/>
                <w:i/>
                <w:iCs/>
                <w:color w:val="000000"/>
                <w:sz w:val="14"/>
                <w:szCs w:val="14"/>
                <w:lang w:val="es-ES"/>
              </w:rPr>
            </w:pPr>
            <w:r w:rsidRPr="00BB70A9">
              <w:rPr>
                <w:rFonts w:ascii="Lucida Bright" w:hAnsi="Lucida Bright" w:cs="Calibri"/>
                <w:i/>
                <w:iCs/>
                <w:color w:val="000000"/>
                <w:sz w:val="14"/>
                <w:szCs w:val="14"/>
                <w:lang w:val="es-ES"/>
              </w:rPr>
              <w:t>Gastos no económicos del ejercicio</w:t>
            </w:r>
          </w:p>
        </w:tc>
        <w:tc>
          <w:tcPr>
            <w:tcW w:w="318"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02" w:type="pct"/>
            <w:tcBorders>
              <w:top w:val="nil"/>
              <w:left w:val="nil"/>
              <w:bottom w:val="nil"/>
              <w:right w:val="single" w:sz="4"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4.159.237,97</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3"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gridSpan w:val="2"/>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537" w:type="pct"/>
            <w:gridSpan w:val="2"/>
            <w:tcBorders>
              <w:top w:val="nil"/>
              <w:left w:val="single" w:sz="8" w:space="0" w:color="auto"/>
              <w:bottom w:val="nil"/>
              <w:right w:val="single" w:sz="8"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4.159.237,97</w:t>
            </w:r>
          </w:p>
        </w:tc>
      </w:tr>
      <w:tr w:rsidR="00083185" w:rsidRPr="00BB70A9" w:rsidTr="00083185">
        <w:trPr>
          <w:trHeight w:val="20"/>
        </w:trPr>
        <w:tc>
          <w:tcPr>
            <w:tcW w:w="927" w:type="pct"/>
            <w:gridSpan w:val="2"/>
            <w:tcBorders>
              <w:top w:val="nil"/>
              <w:left w:val="single" w:sz="8" w:space="0" w:color="auto"/>
              <w:bottom w:val="nil"/>
              <w:right w:val="nil"/>
            </w:tcBorders>
            <w:shd w:val="clear" w:color="auto" w:fill="auto"/>
            <w:noWrap/>
            <w:vAlign w:val="center"/>
            <w:hideMark/>
          </w:tcPr>
          <w:p w:rsidR="00BB70A9" w:rsidRPr="00BB70A9" w:rsidRDefault="00BB70A9" w:rsidP="00BB70A9">
            <w:pPr>
              <w:rPr>
                <w:rFonts w:ascii="Lucida Bright" w:hAnsi="Lucida Bright" w:cs="Calibri"/>
                <w:i/>
                <w:iCs/>
                <w:color w:val="000000"/>
                <w:sz w:val="14"/>
                <w:szCs w:val="14"/>
                <w:lang w:val="es-ES"/>
              </w:rPr>
            </w:pPr>
            <w:r w:rsidRPr="00BB70A9">
              <w:rPr>
                <w:rFonts w:ascii="Lucida Bright" w:hAnsi="Lucida Bright" w:cs="Calibri"/>
                <w:i/>
                <w:iCs/>
                <w:color w:val="000000"/>
                <w:sz w:val="14"/>
                <w:szCs w:val="14"/>
                <w:lang w:val="es-ES"/>
              </w:rPr>
              <w:t>Gastos no deducibles</w:t>
            </w:r>
          </w:p>
        </w:tc>
        <w:tc>
          <w:tcPr>
            <w:tcW w:w="318"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02" w:type="pct"/>
            <w:tcBorders>
              <w:top w:val="nil"/>
              <w:left w:val="nil"/>
              <w:bottom w:val="nil"/>
              <w:right w:val="single" w:sz="4"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7.203,02</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3"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gridSpan w:val="2"/>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537" w:type="pct"/>
            <w:gridSpan w:val="2"/>
            <w:tcBorders>
              <w:top w:val="nil"/>
              <w:left w:val="single" w:sz="8" w:space="0" w:color="auto"/>
              <w:bottom w:val="nil"/>
              <w:right w:val="single" w:sz="8"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7.203,02</w:t>
            </w:r>
          </w:p>
        </w:tc>
      </w:tr>
      <w:tr w:rsidR="00083185" w:rsidRPr="00BB70A9" w:rsidTr="00083185">
        <w:trPr>
          <w:trHeight w:val="20"/>
        </w:trPr>
        <w:tc>
          <w:tcPr>
            <w:tcW w:w="1245" w:type="pct"/>
            <w:gridSpan w:val="3"/>
            <w:tcBorders>
              <w:top w:val="nil"/>
              <w:left w:val="single" w:sz="8" w:space="0" w:color="auto"/>
              <w:bottom w:val="nil"/>
              <w:right w:val="single" w:sz="8" w:space="0" w:color="000000"/>
            </w:tcBorders>
            <w:shd w:val="clear" w:color="auto" w:fill="auto"/>
            <w:noWrap/>
            <w:vAlign w:val="center"/>
            <w:hideMark/>
          </w:tcPr>
          <w:p w:rsidR="00BB70A9" w:rsidRPr="00BB70A9" w:rsidRDefault="00BB70A9" w:rsidP="00BB70A9">
            <w:pPr>
              <w:rPr>
                <w:rFonts w:ascii="Lucida Bright" w:hAnsi="Lucida Bright" w:cs="Calibri"/>
                <w:i/>
                <w:iCs/>
                <w:color w:val="000000"/>
                <w:sz w:val="14"/>
                <w:szCs w:val="14"/>
                <w:lang w:val="es-ES"/>
              </w:rPr>
            </w:pPr>
            <w:r w:rsidRPr="00BB70A9">
              <w:rPr>
                <w:rFonts w:ascii="Lucida Bright" w:hAnsi="Lucida Bright" w:cs="Calibri"/>
                <w:i/>
                <w:iCs/>
                <w:color w:val="000000"/>
                <w:sz w:val="14"/>
                <w:szCs w:val="14"/>
                <w:lang w:val="es-ES"/>
              </w:rPr>
              <w:t>Imputación renta FFATP (modelo 184)</w:t>
            </w:r>
          </w:p>
        </w:tc>
        <w:tc>
          <w:tcPr>
            <w:tcW w:w="502" w:type="pct"/>
            <w:tcBorders>
              <w:top w:val="nil"/>
              <w:left w:val="nil"/>
              <w:bottom w:val="nil"/>
              <w:right w:val="single" w:sz="4"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386,71</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3"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gridSpan w:val="2"/>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537" w:type="pct"/>
            <w:gridSpan w:val="2"/>
            <w:tcBorders>
              <w:top w:val="nil"/>
              <w:left w:val="single" w:sz="8" w:space="0" w:color="auto"/>
              <w:bottom w:val="nil"/>
              <w:right w:val="single" w:sz="8"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386,71</w:t>
            </w:r>
          </w:p>
        </w:tc>
      </w:tr>
      <w:tr w:rsidR="00083185" w:rsidRPr="00BB70A9" w:rsidTr="00083185">
        <w:trPr>
          <w:trHeight w:val="20"/>
        </w:trPr>
        <w:tc>
          <w:tcPr>
            <w:tcW w:w="927" w:type="pct"/>
            <w:gridSpan w:val="2"/>
            <w:tcBorders>
              <w:top w:val="nil"/>
              <w:left w:val="single" w:sz="8" w:space="0" w:color="auto"/>
              <w:bottom w:val="nil"/>
              <w:right w:val="nil"/>
            </w:tcBorders>
            <w:shd w:val="clear" w:color="auto" w:fill="auto"/>
            <w:noWrap/>
            <w:vAlign w:val="center"/>
            <w:hideMark/>
          </w:tcPr>
          <w:p w:rsidR="00BB70A9" w:rsidRPr="00BB70A9" w:rsidRDefault="00BB70A9" w:rsidP="00BB70A9">
            <w:pPr>
              <w:rPr>
                <w:rFonts w:ascii="Lucida Bright" w:hAnsi="Lucida Bright" w:cs="Calibri"/>
                <w:i/>
                <w:iCs/>
                <w:color w:val="000000"/>
                <w:sz w:val="14"/>
                <w:szCs w:val="14"/>
                <w:lang w:val="es-ES"/>
              </w:rPr>
            </w:pPr>
            <w:r w:rsidRPr="00BB70A9">
              <w:rPr>
                <w:rFonts w:ascii="Lucida Bright" w:hAnsi="Lucida Bright" w:cs="Calibri"/>
                <w:i/>
                <w:iCs/>
                <w:color w:val="000000"/>
                <w:sz w:val="14"/>
                <w:szCs w:val="14"/>
                <w:lang w:val="es-ES"/>
              </w:rPr>
              <w:t>Reserva de capitalización 2022</w:t>
            </w:r>
          </w:p>
        </w:tc>
        <w:tc>
          <w:tcPr>
            <w:tcW w:w="318"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0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3.018.862,61</w:t>
            </w:r>
          </w:p>
        </w:tc>
        <w:tc>
          <w:tcPr>
            <w:tcW w:w="523"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gridSpan w:val="2"/>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537" w:type="pct"/>
            <w:gridSpan w:val="2"/>
            <w:tcBorders>
              <w:top w:val="nil"/>
              <w:left w:val="single" w:sz="8" w:space="0" w:color="auto"/>
              <w:bottom w:val="nil"/>
              <w:right w:val="single" w:sz="8"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(3.018.862,61)</w:t>
            </w:r>
          </w:p>
        </w:tc>
      </w:tr>
      <w:tr w:rsidR="00083185" w:rsidRPr="00BB70A9" w:rsidTr="00083185">
        <w:trPr>
          <w:trHeight w:val="20"/>
        </w:trPr>
        <w:tc>
          <w:tcPr>
            <w:tcW w:w="927" w:type="pct"/>
            <w:gridSpan w:val="2"/>
            <w:tcBorders>
              <w:top w:val="nil"/>
              <w:left w:val="single" w:sz="8" w:space="0" w:color="auto"/>
              <w:bottom w:val="nil"/>
              <w:right w:val="nil"/>
            </w:tcBorders>
            <w:shd w:val="clear" w:color="auto" w:fill="auto"/>
            <w:noWrap/>
            <w:vAlign w:val="bottom"/>
            <w:hideMark/>
          </w:tcPr>
          <w:p w:rsidR="00BB70A9" w:rsidRPr="00BB70A9" w:rsidRDefault="00BB70A9" w:rsidP="00BB70A9">
            <w:pPr>
              <w:rPr>
                <w:rFonts w:ascii="Lucida Bright" w:hAnsi="Lucida Bright" w:cs="Calibri"/>
                <w:i/>
                <w:iCs/>
                <w:color w:val="000000"/>
                <w:sz w:val="14"/>
                <w:szCs w:val="14"/>
                <w:lang w:val="es-ES"/>
              </w:rPr>
            </w:pPr>
            <w:r w:rsidRPr="00BB70A9">
              <w:rPr>
                <w:rFonts w:ascii="Lucida Bright" w:hAnsi="Lucida Bright" w:cs="Calibri"/>
                <w:i/>
                <w:iCs/>
                <w:color w:val="000000"/>
                <w:sz w:val="14"/>
                <w:szCs w:val="14"/>
                <w:lang w:val="es-ES"/>
              </w:rPr>
              <w:t>Adquisiciones lucrativas</w:t>
            </w:r>
          </w:p>
        </w:tc>
        <w:tc>
          <w:tcPr>
            <w:tcW w:w="318"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0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3"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535.092,25</w:t>
            </w:r>
          </w:p>
        </w:tc>
        <w:tc>
          <w:tcPr>
            <w:tcW w:w="52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gridSpan w:val="2"/>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537" w:type="pct"/>
            <w:gridSpan w:val="2"/>
            <w:tcBorders>
              <w:top w:val="nil"/>
              <w:left w:val="single" w:sz="8" w:space="0" w:color="auto"/>
              <w:bottom w:val="nil"/>
              <w:right w:val="single" w:sz="8"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(535.092,25)</w:t>
            </w:r>
          </w:p>
        </w:tc>
      </w:tr>
      <w:tr w:rsidR="00083185" w:rsidRPr="00BB70A9" w:rsidTr="00083185">
        <w:trPr>
          <w:trHeight w:val="20"/>
        </w:trPr>
        <w:tc>
          <w:tcPr>
            <w:tcW w:w="464" w:type="pct"/>
            <w:tcBorders>
              <w:top w:val="nil"/>
              <w:left w:val="single" w:sz="8" w:space="0" w:color="auto"/>
              <w:bottom w:val="nil"/>
              <w:right w:val="nil"/>
            </w:tcBorders>
            <w:shd w:val="clear" w:color="auto" w:fill="auto"/>
            <w:noWrap/>
            <w:vAlign w:val="bottom"/>
            <w:hideMark/>
          </w:tcPr>
          <w:p w:rsidR="00BB70A9" w:rsidRPr="00BB70A9" w:rsidRDefault="00BB70A9" w:rsidP="00BB70A9">
            <w:pPr>
              <w:rPr>
                <w:rFonts w:ascii="Lucida Bright" w:hAnsi="Lucida Bright" w:cs="Calibri"/>
                <w:i/>
                <w:iCs/>
                <w:color w:val="000000"/>
                <w:sz w:val="14"/>
                <w:szCs w:val="14"/>
                <w:lang w:val="es-ES"/>
              </w:rPr>
            </w:pPr>
            <w:r w:rsidRPr="00BB70A9">
              <w:rPr>
                <w:rFonts w:ascii="Lucida Bright" w:hAnsi="Lucida Bright" w:cs="Calibri"/>
                <w:i/>
                <w:iCs/>
                <w:color w:val="000000"/>
                <w:sz w:val="14"/>
                <w:szCs w:val="14"/>
                <w:lang w:val="es-ES"/>
              </w:rPr>
              <w:t> </w:t>
            </w:r>
          </w:p>
        </w:tc>
        <w:tc>
          <w:tcPr>
            <w:tcW w:w="464" w:type="pct"/>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318"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0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3"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gridSpan w:val="2"/>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537" w:type="pct"/>
            <w:gridSpan w:val="2"/>
            <w:tcBorders>
              <w:top w:val="nil"/>
              <w:left w:val="single" w:sz="8" w:space="0" w:color="auto"/>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r>
      <w:tr w:rsidR="00083185" w:rsidRPr="00BB70A9" w:rsidTr="00083185">
        <w:trPr>
          <w:trHeight w:val="20"/>
        </w:trPr>
        <w:tc>
          <w:tcPr>
            <w:tcW w:w="927" w:type="pct"/>
            <w:gridSpan w:val="2"/>
            <w:tcBorders>
              <w:top w:val="nil"/>
              <w:left w:val="single" w:sz="8" w:space="0" w:color="auto"/>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Diferencias temporales:</w:t>
            </w:r>
          </w:p>
        </w:tc>
        <w:tc>
          <w:tcPr>
            <w:tcW w:w="318"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0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3"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gridSpan w:val="2"/>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537" w:type="pct"/>
            <w:gridSpan w:val="2"/>
            <w:tcBorders>
              <w:top w:val="nil"/>
              <w:left w:val="single" w:sz="8" w:space="0" w:color="auto"/>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r>
      <w:tr w:rsidR="00083185" w:rsidRPr="00BB70A9" w:rsidTr="00083185">
        <w:trPr>
          <w:trHeight w:val="20"/>
        </w:trPr>
        <w:tc>
          <w:tcPr>
            <w:tcW w:w="927" w:type="pct"/>
            <w:gridSpan w:val="2"/>
            <w:tcBorders>
              <w:top w:val="nil"/>
              <w:left w:val="single" w:sz="8" w:space="0" w:color="auto"/>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Con origen en el ejercicio</w:t>
            </w:r>
          </w:p>
        </w:tc>
        <w:tc>
          <w:tcPr>
            <w:tcW w:w="318"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0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3"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gridSpan w:val="2"/>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537" w:type="pct"/>
            <w:gridSpan w:val="2"/>
            <w:tcBorders>
              <w:top w:val="nil"/>
              <w:left w:val="single" w:sz="8" w:space="0" w:color="auto"/>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r>
      <w:tr w:rsidR="00083185" w:rsidRPr="00BB70A9" w:rsidTr="00083185">
        <w:trPr>
          <w:trHeight w:val="20"/>
        </w:trPr>
        <w:tc>
          <w:tcPr>
            <w:tcW w:w="1245" w:type="pct"/>
            <w:gridSpan w:val="3"/>
            <w:tcBorders>
              <w:top w:val="nil"/>
              <w:left w:val="single" w:sz="8" w:space="0" w:color="auto"/>
              <w:bottom w:val="nil"/>
              <w:right w:val="single" w:sz="8" w:space="0" w:color="000000"/>
            </w:tcBorders>
            <w:shd w:val="clear" w:color="auto" w:fill="auto"/>
            <w:noWrap/>
            <w:vAlign w:val="bottom"/>
            <w:hideMark/>
          </w:tcPr>
          <w:p w:rsidR="00BB70A9" w:rsidRPr="00BB70A9" w:rsidRDefault="00BB70A9" w:rsidP="00BB70A9">
            <w:pPr>
              <w:rPr>
                <w:rFonts w:ascii="Lucida Bright" w:hAnsi="Lucida Bright" w:cs="Calibri"/>
                <w:i/>
                <w:iCs/>
                <w:color w:val="000000"/>
                <w:sz w:val="14"/>
                <w:szCs w:val="14"/>
                <w:lang w:val="es-ES"/>
              </w:rPr>
            </w:pPr>
            <w:r w:rsidRPr="00BB70A9">
              <w:rPr>
                <w:rFonts w:ascii="Lucida Bright" w:hAnsi="Lucida Bright" w:cs="Calibri"/>
                <w:i/>
                <w:iCs/>
                <w:color w:val="000000"/>
                <w:sz w:val="14"/>
                <w:szCs w:val="14"/>
                <w:lang w:val="es-ES"/>
              </w:rPr>
              <w:t xml:space="preserve">Diferencias </w:t>
            </w:r>
            <w:proofErr w:type="spellStart"/>
            <w:r w:rsidRPr="00BB70A9">
              <w:rPr>
                <w:rFonts w:ascii="Lucida Bright" w:hAnsi="Lucida Bright" w:cs="Calibri"/>
                <w:i/>
                <w:iCs/>
                <w:color w:val="000000"/>
                <w:sz w:val="14"/>
                <w:szCs w:val="14"/>
                <w:lang w:val="es-ES"/>
              </w:rPr>
              <w:t>anortización</w:t>
            </w:r>
            <w:proofErr w:type="spellEnd"/>
            <w:r w:rsidRPr="00BB70A9">
              <w:rPr>
                <w:rFonts w:ascii="Lucida Bright" w:hAnsi="Lucida Bright" w:cs="Calibri"/>
                <w:i/>
                <w:iCs/>
                <w:color w:val="000000"/>
                <w:sz w:val="14"/>
                <w:szCs w:val="14"/>
                <w:lang w:val="es-ES"/>
              </w:rPr>
              <w:t xml:space="preserve"> contable y fiscal</w:t>
            </w:r>
          </w:p>
        </w:tc>
        <w:tc>
          <w:tcPr>
            <w:tcW w:w="502" w:type="pct"/>
            <w:tcBorders>
              <w:top w:val="nil"/>
              <w:left w:val="nil"/>
              <w:bottom w:val="nil"/>
              <w:right w:val="single" w:sz="4"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283,35</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476,71</w:t>
            </w:r>
          </w:p>
        </w:tc>
        <w:tc>
          <w:tcPr>
            <w:tcW w:w="523"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gridSpan w:val="2"/>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537" w:type="pct"/>
            <w:gridSpan w:val="2"/>
            <w:tcBorders>
              <w:top w:val="nil"/>
              <w:left w:val="single" w:sz="8" w:space="0" w:color="auto"/>
              <w:bottom w:val="nil"/>
              <w:right w:val="single" w:sz="8"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(193,36)</w:t>
            </w:r>
          </w:p>
        </w:tc>
      </w:tr>
      <w:tr w:rsidR="00083185" w:rsidRPr="00BB70A9" w:rsidTr="00083185">
        <w:trPr>
          <w:trHeight w:val="20"/>
        </w:trPr>
        <w:tc>
          <w:tcPr>
            <w:tcW w:w="1245" w:type="pct"/>
            <w:gridSpan w:val="3"/>
            <w:tcBorders>
              <w:top w:val="nil"/>
              <w:left w:val="single" w:sz="8" w:space="0" w:color="auto"/>
              <w:bottom w:val="nil"/>
              <w:right w:val="single" w:sz="8" w:space="0" w:color="000000"/>
            </w:tcBorders>
            <w:shd w:val="clear" w:color="auto" w:fill="auto"/>
            <w:noWrap/>
            <w:vAlign w:val="bottom"/>
            <w:hideMark/>
          </w:tcPr>
          <w:p w:rsidR="00BB70A9" w:rsidRPr="00BB70A9" w:rsidRDefault="00BB70A9" w:rsidP="00BB70A9">
            <w:pPr>
              <w:rPr>
                <w:rFonts w:ascii="Lucida Bright" w:hAnsi="Lucida Bright" w:cs="Calibri"/>
                <w:i/>
                <w:iCs/>
                <w:color w:val="000000"/>
                <w:sz w:val="14"/>
                <w:szCs w:val="14"/>
                <w:lang w:val="es-ES"/>
              </w:rPr>
            </w:pPr>
            <w:r w:rsidRPr="00BB70A9">
              <w:rPr>
                <w:rFonts w:ascii="Lucida Bright" w:hAnsi="Lucida Bright" w:cs="Calibri"/>
                <w:i/>
                <w:iCs/>
                <w:color w:val="000000"/>
                <w:sz w:val="14"/>
                <w:szCs w:val="14"/>
                <w:lang w:val="es-ES"/>
              </w:rPr>
              <w:t xml:space="preserve">Actualización finan provisiones no </w:t>
            </w:r>
            <w:proofErr w:type="spellStart"/>
            <w:r w:rsidRPr="00BB70A9">
              <w:rPr>
                <w:rFonts w:ascii="Lucida Bright" w:hAnsi="Lucida Bright" w:cs="Calibri"/>
                <w:i/>
                <w:iCs/>
                <w:color w:val="000000"/>
                <w:sz w:val="14"/>
                <w:szCs w:val="14"/>
                <w:lang w:val="es-ES"/>
              </w:rPr>
              <w:t>deduc</w:t>
            </w:r>
            <w:proofErr w:type="spellEnd"/>
          </w:p>
        </w:tc>
        <w:tc>
          <w:tcPr>
            <w:tcW w:w="502" w:type="pct"/>
            <w:tcBorders>
              <w:top w:val="nil"/>
              <w:left w:val="nil"/>
              <w:bottom w:val="nil"/>
              <w:right w:val="single" w:sz="4"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57.278,86</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3"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gridSpan w:val="2"/>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537" w:type="pct"/>
            <w:gridSpan w:val="2"/>
            <w:tcBorders>
              <w:top w:val="nil"/>
              <w:left w:val="single" w:sz="8" w:space="0" w:color="auto"/>
              <w:bottom w:val="nil"/>
              <w:right w:val="single" w:sz="8"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57.278,86</w:t>
            </w:r>
          </w:p>
        </w:tc>
      </w:tr>
      <w:tr w:rsidR="00083185" w:rsidRPr="00BB70A9" w:rsidTr="00083185">
        <w:trPr>
          <w:trHeight w:val="20"/>
        </w:trPr>
        <w:tc>
          <w:tcPr>
            <w:tcW w:w="927" w:type="pct"/>
            <w:gridSpan w:val="2"/>
            <w:tcBorders>
              <w:top w:val="nil"/>
              <w:left w:val="single" w:sz="8" w:space="0" w:color="auto"/>
              <w:bottom w:val="nil"/>
              <w:right w:val="nil"/>
            </w:tcBorders>
            <w:shd w:val="clear" w:color="auto" w:fill="auto"/>
            <w:noWrap/>
            <w:vAlign w:val="bottom"/>
            <w:hideMark/>
          </w:tcPr>
          <w:p w:rsidR="00BB70A9" w:rsidRPr="00BB70A9" w:rsidRDefault="00BB70A9" w:rsidP="00BB70A9">
            <w:pPr>
              <w:rPr>
                <w:rFonts w:ascii="Lucida Bright" w:hAnsi="Lucida Bright" w:cs="Calibri"/>
                <w:i/>
                <w:iCs/>
                <w:color w:val="000000"/>
                <w:sz w:val="14"/>
                <w:szCs w:val="14"/>
                <w:lang w:val="es-ES"/>
              </w:rPr>
            </w:pPr>
            <w:r w:rsidRPr="00BB70A9">
              <w:rPr>
                <w:rFonts w:ascii="Lucida Bright" w:hAnsi="Lucida Bright" w:cs="Calibri"/>
                <w:i/>
                <w:iCs/>
                <w:color w:val="000000"/>
                <w:sz w:val="14"/>
                <w:szCs w:val="14"/>
                <w:lang w:val="es-ES"/>
              </w:rPr>
              <w:t>Subvenciones recibidas</w:t>
            </w:r>
          </w:p>
        </w:tc>
        <w:tc>
          <w:tcPr>
            <w:tcW w:w="318"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0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3"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gridSpan w:val="2"/>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537" w:type="pct"/>
            <w:gridSpan w:val="2"/>
            <w:tcBorders>
              <w:top w:val="nil"/>
              <w:left w:val="single" w:sz="8" w:space="0" w:color="auto"/>
              <w:bottom w:val="nil"/>
              <w:right w:val="single" w:sz="8"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w:t>
            </w:r>
          </w:p>
        </w:tc>
      </w:tr>
      <w:tr w:rsidR="00083185" w:rsidRPr="00BB70A9" w:rsidTr="00083185">
        <w:trPr>
          <w:trHeight w:val="20"/>
        </w:trPr>
        <w:tc>
          <w:tcPr>
            <w:tcW w:w="927" w:type="pct"/>
            <w:gridSpan w:val="2"/>
            <w:tcBorders>
              <w:top w:val="nil"/>
              <w:left w:val="single" w:sz="8" w:space="0" w:color="auto"/>
              <w:bottom w:val="nil"/>
              <w:right w:val="nil"/>
            </w:tcBorders>
            <w:shd w:val="clear" w:color="auto" w:fill="auto"/>
            <w:noWrap/>
            <w:vAlign w:val="bottom"/>
            <w:hideMark/>
          </w:tcPr>
          <w:p w:rsidR="00BB70A9" w:rsidRPr="00BB70A9" w:rsidRDefault="00BB70A9" w:rsidP="00BB70A9">
            <w:pPr>
              <w:rPr>
                <w:rFonts w:ascii="Lucida Bright" w:hAnsi="Lucida Bright" w:cs="Calibri"/>
                <w:i/>
                <w:iCs/>
                <w:color w:val="000000"/>
                <w:sz w:val="14"/>
                <w:szCs w:val="14"/>
                <w:lang w:val="es-ES"/>
              </w:rPr>
            </w:pPr>
            <w:r w:rsidRPr="00BB70A9">
              <w:rPr>
                <w:rFonts w:ascii="Lucida Bright" w:hAnsi="Lucida Bright" w:cs="Calibri"/>
                <w:i/>
                <w:iCs/>
                <w:color w:val="000000"/>
                <w:sz w:val="14"/>
                <w:szCs w:val="14"/>
                <w:lang w:val="es-ES"/>
              </w:rPr>
              <w:t>Adquisiciones lucrativas</w:t>
            </w:r>
          </w:p>
        </w:tc>
        <w:tc>
          <w:tcPr>
            <w:tcW w:w="318"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02" w:type="pct"/>
            <w:tcBorders>
              <w:top w:val="nil"/>
              <w:left w:val="nil"/>
              <w:bottom w:val="nil"/>
              <w:right w:val="single" w:sz="4"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535.092,25</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13.786,00</w:t>
            </w:r>
          </w:p>
        </w:tc>
        <w:tc>
          <w:tcPr>
            <w:tcW w:w="523"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gridSpan w:val="2"/>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537" w:type="pct"/>
            <w:gridSpan w:val="2"/>
            <w:tcBorders>
              <w:top w:val="nil"/>
              <w:left w:val="single" w:sz="8" w:space="0" w:color="auto"/>
              <w:bottom w:val="nil"/>
              <w:right w:val="single" w:sz="8"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521.306,25</w:t>
            </w:r>
          </w:p>
        </w:tc>
      </w:tr>
      <w:tr w:rsidR="00083185" w:rsidRPr="00BB70A9" w:rsidTr="00083185">
        <w:trPr>
          <w:trHeight w:val="20"/>
        </w:trPr>
        <w:tc>
          <w:tcPr>
            <w:tcW w:w="464" w:type="pct"/>
            <w:tcBorders>
              <w:top w:val="nil"/>
              <w:left w:val="single" w:sz="8" w:space="0" w:color="auto"/>
              <w:bottom w:val="nil"/>
              <w:right w:val="nil"/>
            </w:tcBorders>
            <w:shd w:val="clear" w:color="auto" w:fill="auto"/>
            <w:noWrap/>
            <w:vAlign w:val="bottom"/>
            <w:hideMark/>
          </w:tcPr>
          <w:p w:rsidR="00BB70A9" w:rsidRPr="00BB70A9" w:rsidRDefault="00BB70A9" w:rsidP="00BB70A9">
            <w:pPr>
              <w:rPr>
                <w:rFonts w:ascii="Lucida Bright" w:hAnsi="Lucida Bright" w:cs="Calibri"/>
                <w:i/>
                <w:iCs/>
                <w:color w:val="000000"/>
                <w:sz w:val="14"/>
                <w:szCs w:val="14"/>
                <w:lang w:val="es-ES"/>
              </w:rPr>
            </w:pPr>
            <w:r w:rsidRPr="00BB70A9">
              <w:rPr>
                <w:rFonts w:ascii="Lucida Bright" w:hAnsi="Lucida Bright" w:cs="Calibri"/>
                <w:i/>
                <w:iCs/>
                <w:color w:val="000000"/>
                <w:sz w:val="14"/>
                <w:szCs w:val="14"/>
                <w:lang w:val="es-ES"/>
              </w:rPr>
              <w:t> </w:t>
            </w:r>
          </w:p>
        </w:tc>
        <w:tc>
          <w:tcPr>
            <w:tcW w:w="464" w:type="pct"/>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318"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0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3"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gridSpan w:val="2"/>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537" w:type="pct"/>
            <w:gridSpan w:val="2"/>
            <w:tcBorders>
              <w:top w:val="nil"/>
              <w:left w:val="single" w:sz="8" w:space="0" w:color="auto"/>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r>
      <w:tr w:rsidR="00083185" w:rsidRPr="00BB70A9" w:rsidTr="00083185">
        <w:trPr>
          <w:trHeight w:val="20"/>
        </w:trPr>
        <w:tc>
          <w:tcPr>
            <w:tcW w:w="927" w:type="pct"/>
            <w:gridSpan w:val="2"/>
            <w:tcBorders>
              <w:top w:val="nil"/>
              <w:left w:val="single" w:sz="8" w:space="0" w:color="auto"/>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Con origen en ejercicios anteriores</w:t>
            </w:r>
          </w:p>
        </w:tc>
        <w:tc>
          <w:tcPr>
            <w:tcW w:w="318"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0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3"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gridSpan w:val="2"/>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537" w:type="pct"/>
            <w:gridSpan w:val="2"/>
            <w:tcBorders>
              <w:top w:val="nil"/>
              <w:left w:val="single" w:sz="8" w:space="0" w:color="auto"/>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r>
      <w:tr w:rsidR="00083185" w:rsidRPr="00BB70A9" w:rsidTr="00083185">
        <w:trPr>
          <w:trHeight w:val="20"/>
        </w:trPr>
        <w:tc>
          <w:tcPr>
            <w:tcW w:w="1245" w:type="pct"/>
            <w:gridSpan w:val="3"/>
            <w:tcBorders>
              <w:top w:val="nil"/>
              <w:left w:val="single" w:sz="8" w:space="0" w:color="auto"/>
              <w:bottom w:val="nil"/>
              <w:right w:val="single" w:sz="8" w:space="0" w:color="000000"/>
            </w:tcBorders>
            <w:shd w:val="clear" w:color="auto" w:fill="auto"/>
            <w:noWrap/>
            <w:vAlign w:val="bottom"/>
            <w:hideMark/>
          </w:tcPr>
          <w:p w:rsidR="00BB70A9" w:rsidRPr="00BB70A9" w:rsidRDefault="00BB70A9" w:rsidP="00BB70A9">
            <w:pPr>
              <w:rPr>
                <w:rFonts w:ascii="Lucida Bright" w:hAnsi="Lucida Bright" w:cs="Calibri"/>
                <w:i/>
                <w:iCs/>
                <w:color w:val="000000"/>
                <w:sz w:val="14"/>
                <w:szCs w:val="14"/>
                <w:lang w:val="es-ES"/>
              </w:rPr>
            </w:pPr>
            <w:proofErr w:type="spellStart"/>
            <w:r w:rsidRPr="00BB70A9">
              <w:rPr>
                <w:rFonts w:ascii="Lucida Bright" w:hAnsi="Lucida Bright" w:cs="Calibri"/>
                <w:i/>
                <w:iCs/>
                <w:color w:val="000000"/>
                <w:sz w:val="14"/>
                <w:szCs w:val="14"/>
                <w:lang w:val="es-ES"/>
              </w:rPr>
              <w:t>Deducc</w:t>
            </w:r>
            <w:proofErr w:type="spellEnd"/>
            <w:r w:rsidRPr="00BB70A9">
              <w:rPr>
                <w:rFonts w:ascii="Lucida Bright" w:hAnsi="Lucida Bright" w:cs="Calibri"/>
                <w:i/>
                <w:iCs/>
                <w:color w:val="000000"/>
                <w:sz w:val="14"/>
                <w:szCs w:val="14"/>
                <w:lang w:val="es-ES"/>
              </w:rPr>
              <w:t xml:space="preserve"> 30% gastos </w:t>
            </w:r>
            <w:proofErr w:type="spellStart"/>
            <w:r w:rsidRPr="00BB70A9">
              <w:rPr>
                <w:rFonts w:ascii="Lucida Bright" w:hAnsi="Lucida Bright" w:cs="Calibri"/>
                <w:i/>
                <w:iCs/>
                <w:color w:val="000000"/>
                <w:sz w:val="14"/>
                <w:szCs w:val="14"/>
                <w:lang w:val="es-ES"/>
              </w:rPr>
              <w:t>amortiz</w:t>
            </w:r>
            <w:proofErr w:type="spellEnd"/>
            <w:r w:rsidRPr="00BB70A9">
              <w:rPr>
                <w:rFonts w:ascii="Lucida Bright" w:hAnsi="Lucida Bright" w:cs="Calibri"/>
                <w:i/>
                <w:iCs/>
                <w:color w:val="000000"/>
                <w:sz w:val="14"/>
                <w:szCs w:val="14"/>
                <w:lang w:val="es-ES"/>
              </w:rPr>
              <w:t xml:space="preserve"> Art 7 L16/2012</w:t>
            </w:r>
          </w:p>
        </w:tc>
        <w:tc>
          <w:tcPr>
            <w:tcW w:w="50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44.452,51</w:t>
            </w:r>
          </w:p>
        </w:tc>
        <w:tc>
          <w:tcPr>
            <w:tcW w:w="523"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gridSpan w:val="2"/>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537" w:type="pct"/>
            <w:gridSpan w:val="2"/>
            <w:tcBorders>
              <w:top w:val="nil"/>
              <w:left w:val="single" w:sz="8" w:space="0" w:color="auto"/>
              <w:bottom w:val="nil"/>
              <w:right w:val="single" w:sz="8"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(44.452,51)</w:t>
            </w:r>
          </w:p>
        </w:tc>
      </w:tr>
      <w:tr w:rsidR="00083185" w:rsidRPr="00BB70A9" w:rsidTr="00083185">
        <w:trPr>
          <w:trHeight w:val="20"/>
        </w:trPr>
        <w:tc>
          <w:tcPr>
            <w:tcW w:w="1245" w:type="pct"/>
            <w:gridSpan w:val="3"/>
            <w:tcBorders>
              <w:top w:val="nil"/>
              <w:left w:val="single" w:sz="8" w:space="0" w:color="auto"/>
              <w:bottom w:val="nil"/>
              <w:right w:val="single" w:sz="8" w:space="0" w:color="000000"/>
            </w:tcBorders>
            <w:shd w:val="clear" w:color="auto" w:fill="auto"/>
            <w:noWrap/>
            <w:vAlign w:val="bottom"/>
            <w:hideMark/>
          </w:tcPr>
          <w:p w:rsidR="00BB70A9" w:rsidRPr="00BB70A9" w:rsidRDefault="00BB70A9" w:rsidP="00BB70A9">
            <w:pPr>
              <w:rPr>
                <w:rFonts w:ascii="Lucida Bright" w:hAnsi="Lucida Bright" w:cs="Calibri"/>
                <w:i/>
                <w:iCs/>
                <w:color w:val="000000"/>
                <w:sz w:val="14"/>
                <w:szCs w:val="14"/>
                <w:lang w:val="es-ES"/>
              </w:rPr>
            </w:pPr>
            <w:r w:rsidRPr="00BB70A9">
              <w:rPr>
                <w:rFonts w:ascii="Lucida Bright" w:hAnsi="Lucida Bright" w:cs="Calibri"/>
                <w:i/>
                <w:iCs/>
                <w:color w:val="000000"/>
                <w:sz w:val="14"/>
                <w:szCs w:val="14"/>
                <w:lang w:val="es-ES"/>
              </w:rPr>
              <w:t xml:space="preserve">Diferencias </w:t>
            </w:r>
            <w:proofErr w:type="spellStart"/>
            <w:r w:rsidRPr="00BB70A9">
              <w:rPr>
                <w:rFonts w:ascii="Lucida Bright" w:hAnsi="Lucida Bright" w:cs="Calibri"/>
                <w:i/>
                <w:iCs/>
                <w:color w:val="000000"/>
                <w:sz w:val="14"/>
                <w:szCs w:val="14"/>
                <w:lang w:val="es-ES"/>
              </w:rPr>
              <w:t>anortización</w:t>
            </w:r>
            <w:proofErr w:type="spellEnd"/>
            <w:r w:rsidRPr="00BB70A9">
              <w:rPr>
                <w:rFonts w:ascii="Lucida Bright" w:hAnsi="Lucida Bright" w:cs="Calibri"/>
                <w:i/>
                <w:iCs/>
                <w:color w:val="000000"/>
                <w:sz w:val="14"/>
                <w:szCs w:val="14"/>
                <w:lang w:val="es-ES"/>
              </w:rPr>
              <w:t xml:space="preserve"> contable y fiscal</w:t>
            </w:r>
          </w:p>
        </w:tc>
        <w:tc>
          <w:tcPr>
            <w:tcW w:w="502" w:type="pct"/>
            <w:tcBorders>
              <w:top w:val="nil"/>
              <w:left w:val="nil"/>
              <w:bottom w:val="nil"/>
              <w:right w:val="single" w:sz="4"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190,98</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87,19</w:t>
            </w:r>
          </w:p>
        </w:tc>
        <w:tc>
          <w:tcPr>
            <w:tcW w:w="523"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gridSpan w:val="2"/>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537" w:type="pct"/>
            <w:gridSpan w:val="2"/>
            <w:tcBorders>
              <w:top w:val="nil"/>
              <w:left w:val="single" w:sz="8" w:space="0" w:color="auto"/>
              <w:bottom w:val="nil"/>
              <w:right w:val="single" w:sz="8" w:space="0" w:color="auto"/>
            </w:tcBorders>
            <w:shd w:val="clear" w:color="auto" w:fill="auto"/>
            <w:noWrap/>
            <w:vAlign w:val="bottom"/>
            <w:hideMark/>
          </w:tcPr>
          <w:p w:rsidR="00BB70A9" w:rsidRPr="00BB70A9" w:rsidRDefault="00BB70A9" w:rsidP="00BB70A9">
            <w:pPr>
              <w:jc w:val="right"/>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103,79</w:t>
            </w:r>
          </w:p>
        </w:tc>
      </w:tr>
      <w:tr w:rsidR="00083185" w:rsidRPr="00BB70A9" w:rsidTr="00083185">
        <w:trPr>
          <w:trHeight w:val="20"/>
        </w:trPr>
        <w:tc>
          <w:tcPr>
            <w:tcW w:w="464" w:type="pct"/>
            <w:tcBorders>
              <w:top w:val="nil"/>
              <w:left w:val="single" w:sz="8" w:space="0" w:color="auto"/>
              <w:bottom w:val="nil"/>
              <w:right w:val="nil"/>
            </w:tcBorders>
            <w:shd w:val="clear" w:color="auto" w:fill="auto"/>
            <w:noWrap/>
            <w:vAlign w:val="bottom"/>
            <w:hideMark/>
          </w:tcPr>
          <w:p w:rsidR="00BB70A9" w:rsidRPr="00BB70A9" w:rsidRDefault="00BB70A9" w:rsidP="00BB70A9">
            <w:pPr>
              <w:rPr>
                <w:rFonts w:ascii="Lucida Bright" w:hAnsi="Lucida Bright" w:cs="Calibri"/>
                <w:i/>
                <w:iCs/>
                <w:color w:val="000000"/>
                <w:sz w:val="14"/>
                <w:szCs w:val="14"/>
                <w:lang w:val="es-ES"/>
              </w:rPr>
            </w:pPr>
            <w:r w:rsidRPr="00BB70A9">
              <w:rPr>
                <w:rFonts w:ascii="Lucida Bright" w:hAnsi="Lucida Bright" w:cs="Calibri"/>
                <w:i/>
                <w:iCs/>
                <w:color w:val="000000"/>
                <w:sz w:val="14"/>
                <w:szCs w:val="14"/>
                <w:lang w:val="es-ES"/>
              </w:rPr>
              <w:t> </w:t>
            </w:r>
          </w:p>
        </w:tc>
        <w:tc>
          <w:tcPr>
            <w:tcW w:w="464" w:type="pct"/>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318"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0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3"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tcBorders>
              <w:top w:val="nil"/>
              <w:left w:val="nil"/>
              <w:bottom w:val="nil"/>
              <w:right w:val="single" w:sz="4"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gridSpan w:val="2"/>
            <w:tcBorders>
              <w:top w:val="nil"/>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p>
        </w:tc>
        <w:tc>
          <w:tcPr>
            <w:tcW w:w="537" w:type="pct"/>
            <w:gridSpan w:val="2"/>
            <w:tcBorders>
              <w:top w:val="nil"/>
              <w:left w:val="single" w:sz="8" w:space="0" w:color="auto"/>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r>
      <w:tr w:rsidR="00083185" w:rsidRPr="00BB70A9" w:rsidTr="00083185">
        <w:trPr>
          <w:trHeight w:val="20"/>
        </w:trPr>
        <w:tc>
          <w:tcPr>
            <w:tcW w:w="1245" w:type="pct"/>
            <w:gridSpan w:val="3"/>
            <w:vMerge w:val="restart"/>
            <w:tcBorders>
              <w:top w:val="nil"/>
              <w:left w:val="single" w:sz="8" w:space="0" w:color="auto"/>
              <w:bottom w:val="single" w:sz="8" w:space="0" w:color="000000"/>
              <w:right w:val="single" w:sz="8" w:space="0" w:color="000000"/>
            </w:tcBorders>
            <w:shd w:val="clear" w:color="auto" w:fill="auto"/>
            <w:vAlign w:val="center"/>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Compensación de bases imponibles negativas de ejercicios anteriores</w:t>
            </w:r>
          </w:p>
        </w:tc>
        <w:tc>
          <w:tcPr>
            <w:tcW w:w="502" w:type="pct"/>
            <w:tcBorders>
              <w:top w:val="single" w:sz="8" w:space="0" w:color="auto"/>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single" w:sz="8" w:space="0" w:color="auto"/>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3" w:type="pct"/>
            <w:tcBorders>
              <w:top w:val="single" w:sz="8" w:space="0" w:color="auto"/>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single" w:sz="8" w:space="0" w:color="auto"/>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tcBorders>
              <w:top w:val="single" w:sz="8" w:space="0" w:color="auto"/>
              <w:left w:val="nil"/>
              <w:bottom w:val="nil"/>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gridSpan w:val="2"/>
            <w:tcBorders>
              <w:top w:val="single" w:sz="8" w:space="0" w:color="auto"/>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37" w:type="pct"/>
            <w:gridSpan w:val="2"/>
            <w:tcBorders>
              <w:top w:val="single" w:sz="8" w:space="0" w:color="auto"/>
              <w:left w:val="nil"/>
              <w:bottom w:val="nil"/>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r>
      <w:tr w:rsidR="00083185" w:rsidRPr="00BB70A9" w:rsidTr="00083185">
        <w:trPr>
          <w:trHeight w:val="20"/>
        </w:trPr>
        <w:tc>
          <w:tcPr>
            <w:tcW w:w="1245" w:type="pct"/>
            <w:gridSpan w:val="3"/>
            <w:vMerge/>
            <w:tcBorders>
              <w:top w:val="nil"/>
              <w:left w:val="single" w:sz="8" w:space="0" w:color="auto"/>
              <w:bottom w:val="single" w:sz="8" w:space="0" w:color="000000"/>
              <w:right w:val="single" w:sz="8" w:space="0" w:color="000000"/>
            </w:tcBorders>
            <w:vAlign w:val="center"/>
            <w:hideMark/>
          </w:tcPr>
          <w:p w:rsidR="00BB70A9" w:rsidRPr="00BB70A9" w:rsidRDefault="00BB70A9" w:rsidP="00BB70A9">
            <w:pPr>
              <w:rPr>
                <w:rFonts w:ascii="Lucida Bright" w:hAnsi="Lucida Bright" w:cs="Calibri"/>
                <w:color w:val="000000"/>
                <w:sz w:val="14"/>
                <w:szCs w:val="14"/>
                <w:lang w:val="es-ES"/>
              </w:rPr>
            </w:pPr>
          </w:p>
        </w:tc>
        <w:tc>
          <w:tcPr>
            <w:tcW w:w="502" w:type="pct"/>
            <w:tcBorders>
              <w:top w:val="nil"/>
              <w:left w:val="nil"/>
              <w:bottom w:val="single" w:sz="8" w:space="0" w:color="auto"/>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single" w:sz="8" w:space="0" w:color="auto"/>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3" w:type="pct"/>
            <w:tcBorders>
              <w:top w:val="nil"/>
              <w:left w:val="nil"/>
              <w:bottom w:val="single" w:sz="8" w:space="0" w:color="auto"/>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74" w:type="pct"/>
            <w:tcBorders>
              <w:top w:val="nil"/>
              <w:left w:val="nil"/>
              <w:bottom w:val="single" w:sz="8" w:space="0" w:color="auto"/>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tcBorders>
              <w:top w:val="nil"/>
              <w:left w:val="nil"/>
              <w:bottom w:val="single" w:sz="8" w:space="0" w:color="auto"/>
              <w:right w:val="nil"/>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22" w:type="pct"/>
            <w:gridSpan w:val="2"/>
            <w:tcBorders>
              <w:top w:val="nil"/>
              <w:left w:val="nil"/>
              <w:bottom w:val="single" w:sz="8" w:space="0" w:color="auto"/>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c>
          <w:tcPr>
            <w:tcW w:w="537" w:type="pct"/>
            <w:gridSpan w:val="2"/>
            <w:tcBorders>
              <w:top w:val="nil"/>
              <w:left w:val="nil"/>
              <w:bottom w:val="single" w:sz="8" w:space="0" w:color="auto"/>
              <w:right w:val="single" w:sz="8" w:space="0" w:color="auto"/>
            </w:tcBorders>
            <w:shd w:val="clear" w:color="auto" w:fill="auto"/>
            <w:noWrap/>
            <w:vAlign w:val="bottom"/>
            <w:hideMark/>
          </w:tcPr>
          <w:p w:rsidR="00BB70A9" w:rsidRPr="00BB70A9" w:rsidRDefault="00BB70A9" w:rsidP="00BB70A9">
            <w:pP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 </w:t>
            </w:r>
          </w:p>
        </w:tc>
      </w:tr>
      <w:tr w:rsidR="00BB70A9" w:rsidRPr="00BB70A9" w:rsidTr="00083185">
        <w:trPr>
          <w:trHeight w:val="165"/>
        </w:trPr>
        <w:tc>
          <w:tcPr>
            <w:tcW w:w="1245"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B70A9" w:rsidRPr="00BB70A9" w:rsidRDefault="00BB70A9" w:rsidP="00BB70A9">
            <w:pPr>
              <w:rPr>
                <w:rFonts w:ascii="Lucida Bright" w:hAnsi="Lucida Bright" w:cs="Calibri"/>
                <w:b/>
                <w:bCs/>
                <w:color w:val="000000"/>
                <w:sz w:val="14"/>
                <w:szCs w:val="14"/>
                <w:lang w:val="es-ES"/>
              </w:rPr>
            </w:pPr>
            <w:r w:rsidRPr="00BB70A9">
              <w:rPr>
                <w:rFonts w:ascii="Lucida Bright" w:hAnsi="Lucida Bright" w:cs="Calibri"/>
                <w:b/>
                <w:bCs/>
                <w:color w:val="000000"/>
                <w:sz w:val="14"/>
                <w:szCs w:val="14"/>
                <w:lang w:val="es-ES"/>
              </w:rPr>
              <w:t>Base Imponible fiscal</w:t>
            </w:r>
          </w:p>
        </w:tc>
        <w:tc>
          <w:tcPr>
            <w:tcW w:w="1076" w:type="pct"/>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B70A9" w:rsidRPr="00BB70A9" w:rsidRDefault="00BB70A9" w:rsidP="00BB70A9">
            <w:pPr>
              <w:jc w:val="cente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35.222.333,05</w:t>
            </w:r>
          </w:p>
        </w:tc>
        <w:tc>
          <w:tcPr>
            <w:tcW w:w="1097" w:type="pct"/>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B70A9" w:rsidRPr="00BB70A9" w:rsidRDefault="00BB70A9" w:rsidP="00BB70A9">
            <w:pPr>
              <w:jc w:val="cente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0,00</w:t>
            </w:r>
          </w:p>
        </w:tc>
        <w:tc>
          <w:tcPr>
            <w:tcW w:w="1044" w:type="pct"/>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B70A9" w:rsidRPr="00BB70A9" w:rsidRDefault="00BB70A9" w:rsidP="00BB70A9">
            <w:pPr>
              <w:jc w:val="cente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0,00</w:t>
            </w:r>
          </w:p>
        </w:tc>
        <w:tc>
          <w:tcPr>
            <w:tcW w:w="537" w:type="pct"/>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rsidR="00BB70A9" w:rsidRPr="00BB70A9" w:rsidRDefault="00BB70A9" w:rsidP="00BB70A9">
            <w:pPr>
              <w:jc w:val="center"/>
              <w:rPr>
                <w:rFonts w:ascii="Lucida Bright" w:hAnsi="Lucida Bright" w:cs="Calibri"/>
                <w:color w:val="000000"/>
                <w:sz w:val="14"/>
                <w:szCs w:val="14"/>
                <w:lang w:val="es-ES"/>
              </w:rPr>
            </w:pPr>
            <w:r w:rsidRPr="00BB70A9">
              <w:rPr>
                <w:rFonts w:ascii="Lucida Bright" w:hAnsi="Lucida Bright" w:cs="Calibri"/>
                <w:color w:val="000000"/>
                <w:sz w:val="14"/>
                <w:szCs w:val="14"/>
                <w:lang w:val="es-ES"/>
              </w:rPr>
              <w:t>35.222.333,05</w:t>
            </w:r>
          </w:p>
        </w:tc>
      </w:tr>
      <w:tr w:rsidR="00BB70A9" w:rsidRPr="00BB70A9" w:rsidTr="00083185">
        <w:trPr>
          <w:trHeight w:val="165"/>
        </w:trPr>
        <w:tc>
          <w:tcPr>
            <w:tcW w:w="1245" w:type="pct"/>
            <w:gridSpan w:val="3"/>
            <w:vMerge/>
            <w:tcBorders>
              <w:top w:val="single" w:sz="8" w:space="0" w:color="auto"/>
              <w:left w:val="single" w:sz="8" w:space="0" w:color="auto"/>
              <w:bottom w:val="single" w:sz="8" w:space="0" w:color="000000"/>
              <w:right w:val="single" w:sz="8" w:space="0" w:color="000000"/>
            </w:tcBorders>
            <w:vAlign w:val="center"/>
            <w:hideMark/>
          </w:tcPr>
          <w:p w:rsidR="00BB70A9" w:rsidRPr="00BB70A9" w:rsidRDefault="00BB70A9" w:rsidP="00BB70A9">
            <w:pPr>
              <w:rPr>
                <w:rFonts w:ascii="Lucida Bright" w:hAnsi="Lucida Bright" w:cs="Calibri"/>
                <w:b/>
                <w:bCs/>
                <w:color w:val="000000"/>
                <w:sz w:val="14"/>
                <w:szCs w:val="14"/>
                <w:lang w:val="es-ES"/>
              </w:rPr>
            </w:pPr>
          </w:p>
        </w:tc>
        <w:tc>
          <w:tcPr>
            <w:tcW w:w="1076" w:type="pct"/>
            <w:gridSpan w:val="2"/>
            <w:vMerge/>
            <w:tcBorders>
              <w:top w:val="single" w:sz="8" w:space="0" w:color="auto"/>
              <w:left w:val="single" w:sz="8" w:space="0" w:color="auto"/>
              <w:bottom w:val="single" w:sz="8" w:space="0" w:color="000000"/>
              <w:right w:val="single" w:sz="8" w:space="0" w:color="auto"/>
            </w:tcBorders>
            <w:vAlign w:val="center"/>
            <w:hideMark/>
          </w:tcPr>
          <w:p w:rsidR="00BB70A9" w:rsidRPr="00BB70A9" w:rsidRDefault="00BB70A9" w:rsidP="00BB70A9">
            <w:pPr>
              <w:rPr>
                <w:rFonts w:ascii="Lucida Bright" w:hAnsi="Lucida Bright" w:cs="Calibri"/>
                <w:color w:val="000000"/>
                <w:sz w:val="14"/>
                <w:szCs w:val="14"/>
                <w:lang w:val="es-ES"/>
              </w:rPr>
            </w:pPr>
          </w:p>
        </w:tc>
        <w:tc>
          <w:tcPr>
            <w:tcW w:w="1097" w:type="pct"/>
            <w:gridSpan w:val="2"/>
            <w:vMerge/>
            <w:tcBorders>
              <w:top w:val="single" w:sz="8" w:space="0" w:color="auto"/>
              <w:left w:val="single" w:sz="8" w:space="0" w:color="auto"/>
              <w:bottom w:val="single" w:sz="8" w:space="0" w:color="000000"/>
              <w:right w:val="single" w:sz="8" w:space="0" w:color="auto"/>
            </w:tcBorders>
            <w:vAlign w:val="center"/>
            <w:hideMark/>
          </w:tcPr>
          <w:p w:rsidR="00BB70A9" w:rsidRPr="00BB70A9" w:rsidRDefault="00BB70A9" w:rsidP="00BB70A9">
            <w:pPr>
              <w:rPr>
                <w:rFonts w:ascii="Lucida Bright" w:hAnsi="Lucida Bright" w:cs="Calibri"/>
                <w:color w:val="000000"/>
                <w:sz w:val="14"/>
                <w:szCs w:val="14"/>
                <w:lang w:val="es-ES"/>
              </w:rPr>
            </w:pPr>
          </w:p>
        </w:tc>
        <w:tc>
          <w:tcPr>
            <w:tcW w:w="1044" w:type="pct"/>
            <w:gridSpan w:val="3"/>
            <w:vMerge/>
            <w:tcBorders>
              <w:top w:val="single" w:sz="8" w:space="0" w:color="auto"/>
              <w:left w:val="single" w:sz="8" w:space="0" w:color="auto"/>
              <w:bottom w:val="single" w:sz="8" w:space="0" w:color="000000"/>
              <w:right w:val="single" w:sz="8" w:space="0" w:color="auto"/>
            </w:tcBorders>
            <w:vAlign w:val="center"/>
            <w:hideMark/>
          </w:tcPr>
          <w:p w:rsidR="00BB70A9" w:rsidRPr="00BB70A9" w:rsidRDefault="00BB70A9" w:rsidP="00BB70A9">
            <w:pPr>
              <w:rPr>
                <w:rFonts w:ascii="Lucida Bright" w:hAnsi="Lucida Bright" w:cs="Calibri"/>
                <w:color w:val="000000"/>
                <w:sz w:val="14"/>
                <w:szCs w:val="14"/>
                <w:lang w:val="es-ES"/>
              </w:rPr>
            </w:pPr>
          </w:p>
        </w:tc>
        <w:tc>
          <w:tcPr>
            <w:tcW w:w="537" w:type="pct"/>
            <w:gridSpan w:val="2"/>
            <w:vMerge/>
            <w:tcBorders>
              <w:top w:val="nil"/>
              <w:left w:val="single" w:sz="8" w:space="0" w:color="auto"/>
              <w:bottom w:val="single" w:sz="8" w:space="0" w:color="000000"/>
              <w:right w:val="single" w:sz="8" w:space="0" w:color="auto"/>
            </w:tcBorders>
            <w:vAlign w:val="center"/>
            <w:hideMark/>
          </w:tcPr>
          <w:p w:rsidR="00BB70A9" w:rsidRPr="00BB70A9" w:rsidRDefault="00BB70A9" w:rsidP="00BB70A9">
            <w:pPr>
              <w:rPr>
                <w:rFonts w:ascii="Lucida Bright" w:hAnsi="Lucida Bright" w:cs="Calibri"/>
                <w:color w:val="000000"/>
                <w:sz w:val="14"/>
                <w:szCs w:val="14"/>
                <w:lang w:val="es-ES"/>
              </w:rPr>
            </w:pPr>
          </w:p>
        </w:tc>
      </w:tr>
    </w:tbl>
    <w:p w:rsidR="00BB70A9" w:rsidRDefault="00BB70A9">
      <w:pPr>
        <w:tabs>
          <w:tab w:val="right" w:pos="8364"/>
        </w:tabs>
        <w:ind w:firstLine="540"/>
        <w:jc w:val="both"/>
        <w:rPr>
          <w:rFonts w:ascii="NewBaskerville" w:hAnsi="NewBaskerville"/>
          <w:bCs/>
          <w:u w:val="single"/>
        </w:rPr>
      </w:pPr>
    </w:p>
    <w:p w:rsidR="00BB70A9" w:rsidRDefault="00BB70A9">
      <w:pPr>
        <w:tabs>
          <w:tab w:val="right" w:pos="8364"/>
        </w:tabs>
        <w:ind w:firstLine="540"/>
        <w:jc w:val="both"/>
        <w:rPr>
          <w:rFonts w:ascii="NewBaskerville" w:hAnsi="NewBaskerville"/>
          <w:bCs/>
          <w:u w:val="single"/>
        </w:rPr>
      </w:pPr>
    </w:p>
    <w:p w:rsidR="00BB70A9" w:rsidRDefault="00BB70A9">
      <w:pPr>
        <w:tabs>
          <w:tab w:val="right" w:pos="8364"/>
        </w:tabs>
        <w:ind w:firstLine="540"/>
        <w:jc w:val="both"/>
        <w:rPr>
          <w:rFonts w:ascii="NewBaskerville" w:hAnsi="NewBaskerville"/>
          <w:bCs/>
          <w:u w:val="single"/>
        </w:rPr>
      </w:pPr>
    </w:p>
    <w:p w:rsidR="00BB70A9" w:rsidRDefault="00BB70A9">
      <w:pPr>
        <w:tabs>
          <w:tab w:val="right" w:pos="8364"/>
        </w:tabs>
        <w:ind w:firstLine="540"/>
        <w:jc w:val="both"/>
        <w:rPr>
          <w:rFonts w:ascii="NewBaskerville" w:hAnsi="NewBaskerville"/>
          <w:bCs/>
          <w:u w:val="single"/>
        </w:rPr>
      </w:pPr>
    </w:p>
    <w:p w:rsidR="00BB70A9" w:rsidRDefault="00BB70A9">
      <w:pPr>
        <w:tabs>
          <w:tab w:val="right" w:pos="8364"/>
        </w:tabs>
        <w:ind w:firstLine="540"/>
        <w:jc w:val="both"/>
        <w:rPr>
          <w:rFonts w:ascii="NewBaskerville" w:hAnsi="NewBaskerville"/>
          <w:bCs/>
          <w:u w:val="single"/>
        </w:rPr>
        <w:sectPr w:rsidR="00BB70A9" w:rsidSect="00BB70A9">
          <w:pgSz w:w="16840" w:h="11907" w:orient="landscape" w:code="9"/>
          <w:pgMar w:top="1985" w:right="1701" w:bottom="1418" w:left="1701" w:header="567" w:footer="720" w:gutter="0"/>
          <w:cols w:space="720"/>
          <w:docGrid w:linePitch="272"/>
        </w:sectPr>
      </w:pPr>
    </w:p>
    <w:p w:rsidR="00BB70A9" w:rsidRDefault="00BB70A9">
      <w:pPr>
        <w:tabs>
          <w:tab w:val="right" w:pos="8364"/>
        </w:tabs>
        <w:ind w:firstLine="540"/>
        <w:jc w:val="both"/>
        <w:rPr>
          <w:rFonts w:ascii="NewBaskerville" w:hAnsi="NewBaskerville"/>
          <w:bCs/>
          <w:u w:val="single"/>
        </w:rPr>
      </w:pPr>
    </w:p>
    <w:p w:rsidR="0087318F" w:rsidRPr="00B450EE" w:rsidRDefault="00BB70A9">
      <w:pPr>
        <w:tabs>
          <w:tab w:val="right" w:pos="8364"/>
        </w:tabs>
        <w:ind w:firstLine="540"/>
        <w:jc w:val="both"/>
        <w:rPr>
          <w:rFonts w:ascii="NewBaskerville" w:hAnsi="NewBaskerville"/>
          <w:bCs/>
          <w:u w:val="single"/>
        </w:rPr>
      </w:pPr>
      <w:r>
        <w:rPr>
          <w:rFonts w:ascii="NewBaskerville" w:hAnsi="NewBaskerville"/>
          <w:bCs/>
          <w:u w:val="single"/>
        </w:rPr>
        <w:t>Im</w:t>
      </w:r>
      <w:r w:rsidR="0087318F" w:rsidRPr="00B450EE">
        <w:rPr>
          <w:rFonts w:ascii="NewBaskerville" w:hAnsi="NewBaskerville"/>
          <w:bCs/>
          <w:u w:val="single"/>
        </w:rPr>
        <w:t>puestos reconocidos en el patrimonio neto.</w:t>
      </w:r>
    </w:p>
    <w:p w:rsidR="0010198F" w:rsidRPr="00B450EE" w:rsidRDefault="0010198F">
      <w:pPr>
        <w:tabs>
          <w:tab w:val="right" w:pos="8364"/>
        </w:tabs>
        <w:ind w:firstLine="540"/>
        <w:jc w:val="both"/>
        <w:rPr>
          <w:rFonts w:ascii="NewBaskerville" w:hAnsi="NewBaskerville"/>
          <w:bCs/>
        </w:rPr>
      </w:pPr>
    </w:p>
    <w:p w:rsidR="0087318F" w:rsidRPr="00B450EE" w:rsidRDefault="0087318F">
      <w:pPr>
        <w:tabs>
          <w:tab w:val="right" w:pos="8364"/>
        </w:tabs>
        <w:ind w:firstLine="540"/>
        <w:jc w:val="both"/>
        <w:rPr>
          <w:rFonts w:ascii="NewBaskerville" w:hAnsi="NewBaskerville"/>
          <w:bCs/>
        </w:rPr>
      </w:pPr>
      <w:r w:rsidRPr="00B450EE">
        <w:rPr>
          <w:rFonts w:ascii="NewBaskerville" w:hAnsi="NewBaskerville"/>
          <w:bCs/>
        </w:rPr>
        <w:t xml:space="preserve">Detalle </w:t>
      </w:r>
      <w:r w:rsidR="003F24D6" w:rsidRPr="00B450EE">
        <w:rPr>
          <w:rFonts w:ascii="NewBaskerville" w:hAnsi="NewBaskerville"/>
          <w:bCs/>
        </w:rPr>
        <w:t>de los impuestos reconocidos</w:t>
      </w:r>
      <w:r w:rsidRPr="00B450EE">
        <w:rPr>
          <w:rFonts w:ascii="NewBaskerville" w:hAnsi="NewBaskerville"/>
          <w:bCs/>
        </w:rPr>
        <w:t xml:space="preserve"> directamente en el patrimonio neto.</w:t>
      </w:r>
    </w:p>
    <w:p w:rsidR="00E0015A" w:rsidRDefault="00E0015A">
      <w:pPr>
        <w:tabs>
          <w:tab w:val="right" w:pos="8364"/>
        </w:tabs>
        <w:ind w:firstLine="540"/>
        <w:jc w:val="both"/>
        <w:rPr>
          <w:bCs/>
        </w:rPr>
      </w:pPr>
    </w:p>
    <w:p w:rsidR="00B450EE" w:rsidRDefault="00B450EE">
      <w:pPr>
        <w:tabs>
          <w:tab w:val="right" w:pos="8364"/>
        </w:tabs>
        <w:ind w:firstLine="540"/>
        <w:jc w:val="both"/>
        <w:rPr>
          <w:bCs/>
        </w:rPr>
      </w:pPr>
    </w:p>
    <w:tbl>
      <w:tblPr>
        <w:tblW w:w="5124" w:type="pct"/>
        <w:tblLayout w:type="fixed"/>
        <w:tblCellMar>
          <w:left w:w="70" w:type="dxa"/>
          <w:right w:w="70" w:type="dxa"/>
        </w:tblCellMar>
        <w:tblLook w:val="04A0" w:firstRow="1" w:lastRow="0" w:firstColumn="1" w:lastColumn="0" w:noHBand="0" w:noVBand="1"/>
      </w:tblPr>
      <w:tblGrid>
        <w:gridCol w:w="1186"/>
        <w:gridCol w:w="1184"/>
        <w:gridCol w:w="1183"/>
        <w:gridCol w:w="1222"/>
        <w:gridCol w:w="1534"/>
        <w:gridCol w:w="1387"/>
        <w:gridCol w:w="1162"/>
      </w:tblGrid>
      <w:tr w:rsidR="009E72CE" w:rsidRPr="009E72CE" w:rsidTr="00533ECB">
        <w:trPr>
          <w:trHeight w:val="240"/>
        </w:trPr>
        <w:tc>
          <w:tcPr>
            <w:tcW w:w="3560" w:type="pct"/>
            <w:gridSpan w:val="5"/>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b/>
                <w:bCs/>
                <w:color w:val="000000"/>
                <w:sz w:val="16"/>
                <w:szCs w:val="16"/>
                <w:lang w:val="es-ES"/>
              </w:rPr>
            </w:pPr>
            <w:r w:rsidRPr="009E72CE">
              <w:rPr>
                <w:rFonts w:ascii="Lucida Bright" w:hAnsi="Lucida Bright" w:cs="Calibri"/>
                <w:b/>
                <w:bCs/>
                <w:color w:val="000000"/>
                <w:sz w:val="16"/>
                <w:szCs w:val="16"/>
                <w:lang w:val="es-ES"/>
              </w:rPr>
              <w:t>Ejercicio 2023. Impuestos reconocidos en el patrimonio neto.</w:t>
            </w:r>
          </w:p>
        </w:tc>
        <w:tc>
          <w:tcPr>
            <w:tcW w:w="783" w:type="pct"/>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6"/>
                <w:szCs w:val="16"/>
                <w:lang w:val="es-ES"/>
              </w:rPr>
            </w:pPr>
          </w:p>
        </w:tc>
        <w:tc>
          <w:tcPr>
            <w:tcW w:w="656" w:type="pct"/>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6"/>
                <w:szCs w:val="16"/>
                <w:lang w:val="es-ES"/>
              </w:rPr>
            </w:pPr>
          </w:p>
        </w:tc>
      </w:tr>
      <w:tr w:rsidR="009E72CE" w:rsidRPr="009E72CE" w:rsidTr="00533ECB">
        <w:trPr>
          <w:trHeight w:val="240"/>
        </w:trPr>
        <w:tc>
          <w:tcPr>
            <w:tcW w:w="669" w:type="pct"/>
            <w:tcBorders>
              <w:top w:val="single" w:sz="8" w:space="0" w:color="auto"/>
              <w:left w:val="single" w:sz="8" w:space="0" w:color="auto"/>
              <w:bottom w:val="nil"/>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68" w:type="pct"/>
            <w:tcBorders>
              <w:top w:val="single" w:sz="8" w:space="0" w:color="auto"/>
              <w:left w:val="nil"/>
              <w:bottom w:val="nil"/>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67" w:type="pct"/>
            <w:tcBorders>
              <w:top w:val="single" w:sz="8" w:space="0" w:color="auto"/>
              <w:left w:val="nil"/>
              <w:bottom w:val="nil"/>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90" w:type="pct"/>
            <w:tcBorders>
              <w:top w:val="single" w:sz="8" w:space="0" w:color="auto"/>
              <w:left w:val="nil"/>
              <w:bottom w:val="nil"/>
              <w:right w:val="single" w:sz="8" w:space="0" w:color="auto"/>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866" w:type="pct"/>
            <w:tcBorders>
              <w:top w:val="single" w:sz="8" w:space="0" w:color="auto"/>
              <w:left w:val="nil"/>
              <w:bottom w:val="single" w:sz="8" w:space="0" w:color="auto"/>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3" w:type="pct"/>
            <w:tcBorders>
              <w:top w:val="single" w:sz="8" w:space="0" w:color="auto"/>
              <w:left w:val="nil"/>
              <w:bottom w:val="single" w:sz="8" w:space="0" w:color="auto"/>
              <w:right w:val="nil"/>
            </w:tcBorders>
            <w:shd w:val="clear" w:color="000000" w:fill="CCFFCC"/>
            <w:noWrap/>
            <w:vAlign w:val="bottom"/>
            <w:hideMark/>
          </w:tcPr>
          <w:p w:rsidR="009E72CE" w:rsidRPr="009E72CE" w:rsidRDefault="009E72CE" w:rsidP="009E72CE">
            <w:pPr>
              <w:jc w:val="cente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Euros</w:t>
            </w:r>
          </w:p>
        </w:tc>
        <w:tc>
          <w:tcPr>
            <w:tcW w:w="656" w:type="pct"/>
            <w:tcBorders>
              <w:top w:val="single" w:sz="8" w:space="0" w:color="auto"/>
              <w:left w:val="nil"/>
              <w:bottom w:val="single" w:sz="8" w:space="0" w:color="auto"/>
              <w:right w:val="single" w:sz="8" w:space="0" w:color="auto"/>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33ECB">
        <w:trPr>
          <w:trHeight w:val="270"/>
        </w:trPr>
        <w:tc>
          <w:tcPr>
            <w:tcW w:w="669" w:type="pct"/>
            <w:tcBorders>
              <w:top w:val="nil"/>
              <w:left w:val="single" w:sz="8" w:space="0" w:color="auto"/>
              <w:bottom w:val="single" w:sz="8" w:space="0" w:color="auto"/>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68" w:type="pct"/>
            <w:tcBorders>
              <w:top w:val="nil"/>
              <w:left w:val="nil"/>
              <w:bottom w:val="single" w:sz="8" w:space="0" w:color="auto"/>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67" w:type="pct"/>
            <w:tcBorders>
              <w:top w:val="nil"/>
              <w:left w:val="nil"/>
              <w:bottom w:val="single" w:sz="8" w:space="0" w:color="auto"/>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90" w:type="pct"/>
            <w:tcBorders>
              <w:top w:val="nil"/>
              <w:left w:val="nil"/>
              <w:bottom w:val="single" w:sz="8" w:space="0" w:color="auto"/>
              <w:right w:val="single" w:sz="8" w:space="0" w:color="auto"/>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866" w:type="pct"/>
            <w:tcBorders>
              <w:top w:val="nil"/>
              <w:left w:val="nil"/>
              <w:bottom w:val="single" w:sz="8" w:space="0" w:color="auto"/>
              <w:right w:val="single" w:sz="8" w:space="0" w:color="auto"/>
            </w:tcBorders>
            <w:shd w:val="clear" w:color="000000" w:fill="CCFFCC"/>
            <w:vAlign w:val="bottom"/>
            <w:hideMark/>
          </w:tcPr>
          <w:p w:rsidR="009E72CE" w:rsidRPr="009E72CE" w:rsidRDefault="009E72CE" w:rsidP="009E72CE">
            <w:pPr>
              <w:jc w:val="cente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Aumentos</w:t>
            </w:r>
          </w:p>
        </w:tc>
        <w:tc>
          <w:tcPr>
            <w:tcW w:w="783" w:type="pct"/>
            <w:tcBorders>
              <w:top w:val="nil"/>
              <w:left w:val="nil"/>
              <w:bottom w:val="single" w:sz="8" w:space="0" w:color="auto"/>
              <w:right w:val="single" w:sz="8" w:space="0" w:color="auto"/>
            </w:tcBorders>
            <w:shd w:val="clear" w:color="000000" w:fill="CCFFCC"/>
            <w:vAlign w:val="bottom"/>
            <w:hideMark/>
          </w:tcPr>
          <w:p w:rsidR="009E72CE" w:rsidRPr="009E72CE" w:rsidRDefault="009E72CE" w:rsidP="009E72CE">
            <w:pPr>
              <w:jc w:val="cente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Disminuciones</w:t>
            </w:r>
          </w:p>
        </w:tc>
        <w:tc>
          <w:tcPr>
            <w:tcW w:w="656" w:type="pct"/>
            <w:tcBorders>
              <w:top w:val="nil"/>
              <w:left w:val="nil"/>
              <w:bottom w:val="single" w:sz="8" w:space="0" w:color="auto"/>
              <w:right w:val="single" w:sz="8" w:space="0" w:color="auto"/>
            </w:tcBorders>
            <w:shd w:val="clear" w:color="000000" w:fill="CCFFCC"/>
            <w:vAlign w:val="bottom"/>
            <w:hideMark/>
          </w:tcPr>
          <w:p w:rsidR="009E72CE" w:rsidRPr="009E72CE" w:rsidRDefault="009E72CE" w:rsidP="009E72CE">
            <w:pPr>
              <w:jc w:val="cente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Total</w:t>
            </w:r>
          </w:p>
        </w:tc>
      </w:tr>
      <w:tr w:rsidR="009E72CE" w:rsidRPr="009E72CE" w:rsidTr="00533ECB">
        <w:trPr>
          <w:trHeight w:val="225"/>
        </w:trPr>
        <w:tc>
          <w:tcPr>
            <w:tcW w:w="669" w:type="pct"/>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68" w:type="pct"/>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67" w:type="pct"/>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90"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866"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3"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33ECB">
        <w:trPr>
          <w:trHeight w:val="225"/>
        </w:trPr>
        <w:tc>
          <w:tcPr>
            <w:tcW w:w="2694" w:type="pct"/>
            <w:gridSpan w:val="4"/>
            <w:tcBorders>
              <w:top w:val="nil"/>
              <w:left w:val="single" w:sz="8" w:space="0" w:color="auto"/>
              <w:bottom w:val="nil"/>
              <w:right w:val="single" w:sz="8" w:space="0" w:color="000000"/>
            </w:tcBorders>
            <w:shd w:val="clear" w:color="auto" w:fill="auto"/>
            <w:vAlign w:val="center"/>
            <w:hideMark/>
          </w:tcPr>
          <w:p w:rsidR="009E72CE" w:rsidRPr="009E72CE" w:rsidRDefault="009E72CE" w:rsidP="009E72CE">
            <w:pPr>
              <w:rPr>
                <w:rFonts w:ascii="Lucida Bright" w:hAnsi="Lucida Bright" w:cs="Calibri"/>
                <w:b/>
                <w:bCs/>
                <w:color w:val="000000"/>
                <w:sz w:val="14"/>
                <w:szCs w:val="14"/>
                <w:lang w:val="es-ES"/>
              </w:rPr>
            </w:pPr>
            <w:r w:rsidRPr="009E72CE">
              <w:rPr>
                <w:rFonts w:ascii="Lucida Bright" w:hAnsi="Lucida Bright" w:cs="Calibri"/>
                <w:b/>
                <w:bCs/>
                <w:color w:val="000000"/>
                <w:sz w:val="14"/>
                <w:szCs w:val="14"/>
                <w:lang w:val="es-ES"/>
              </w:rPr>
              <w:t>Por impuesto corriente:</w:t>
            </w:r>
          </w:p>
        </w:tc>
        <w:tc>
          <w:tcPr>
            <w:tcW w:w="866"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3"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33ECB">
        <w:trPr>
          <w:trHeight w:val="240"/>
        </w:trPr>
        <w:tc>
          <w:tcPr>
            <w:tcW w:w="669" w:type="pct"/>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i/>
                <w:iCs/>
                <w:color w:val="000000"/>
                <w:sz w:val="14"/>
                <w:szCs w:val="14"/>
                <w:lang w:val="es-ES"/>
              </w:rPr>
            </w:pPr>
            <w:r w:rsidRPr="009E72CE">
              <w:rPr>
                <w:rFonts w:ascii="Lucida Bright" w:hAnsi="Lucida Bright" w:cs="Calibri"/>
                <w:i/>
                <w:iCs/>
                <w:color w:val="000000"/>
                <w:sz w:val="14"/>
                <w:szCs w:val="14"/>
                <w:lang w:val="es-ES"/>
              </w:rPr>
              <w:t> </w:t>
            </w:r>
          </w:p>
        </w:tc>
        <w:tc>
          <w:tcPr>
            <w:tcW w:w="668" w:type="pct"/>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p>
        </w:tc>
        <w:tc>
          <w:tcPr>
            <w:tcW w:w="667" w:type="pct"/>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p>
        </w:tc>
        <w:tc>
          <w:tcPr>
            <w:tcW w:w="690"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866" w:type="pct"/>
            <w:tcBorders>
              <w:top w:val="nil"/>
              <w:left w:val="nil"/>
              <w:bottom w:val="single" w:sz="8" w:space="0" w:color="auto"/>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3" w:type="pct"/>
            <w:tcBorders>
              <w:top w:val="nil"/>
              <w:left w:val="nil"/>
              <w:bottom w:val="single" w:sz="8" w:space="0" w:color="auto"/>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33ECB">
        <w:trPr>
          <w:trHeight w:val="240"/>
        </w:trPr>
        <w:tc>
          <w:tcPr>
            <w:tcW w:w="2694" w:type="pct"/>
            <w:gridSpan w:val="4"/>
            <w:tcBorders>
              <w:top w:val="nil"/>
              <w:left w:val="single" w:sz="8" w:space="0" w:color="auto"/>
              <w:bottom w:val="nil"/>
              <w:right w:val="single" w:sz="8" w:space="0" w:color="000000"/>
            </w:tcBorders>
            <w:shd w:val="clear" w:color="auto" w:fill="auto"/>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Total impuesto corriente</w:t>
            </w:r>
          </w:p>
        </w:tc>
        <w:tc>
          <w:tcPr>
            <w:tcW w:w="866" w:type="pct"/>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3" w:type="pct"/>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single" w:sz="8" w:space="0" w:color="auto"/>
              <w:left w:val="nil"/>
              <w:bottom w:val="single" w:sz="8" w:space="0" w:color="auto"/>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33ECB">
        <w:trPr>
          <w:trHeight w:val="225"/>
        </w:trPr>
        <w:tc>
          <w:tcPr>
            <w:tcW w:w="669" w:type="pct"/>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68" w:type="pct"/>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p>
        </w:tc>
        <w:tc>
          <w:tcPr>
            <w:tcW w:w="667" w:type="pct"/>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p>
        </w:tc>
        <w:tc>
          <w:tcPr>
            <w:tcW w:w="690"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866"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3"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33ECB">
        <w:trPr>
          <w:trHeight w:val="225"/>
        </w:trPr>
        <w:tc>
          <w:tcPr>
            <w:tcW w:w="2694" w:type="pct"/>
            <w:gridSpan w:val="4"/>
            <w:tcBorders>
              <w:top w:val="nil"/>
              <w:left w:val="single" w:sz="8" w:space="0" w:color="auto"/>
              <w:bottom w:val="nil"/>
              <w:right w:val="single" w:sz="8" w:space="0" w:color="000000"/>
            </w:tcBorders>
            <w:shd w:val="clear" w:color="auto" w:fill="auto"/>
            <w:vAlign w:val="bottom"/>
            <w:hideMark/>
          </w:tcPr>
          <w:p w:rsidR="009E72CE" w:rsidRPr="009E72CE" w:rsidRDefault="009E72CE" w:rsidP="009E72CE">
            <w:pPr>
              <w:rPr>
                <w:rFonts w:ascii="Lucida Bright" w:hAnsi="Lucida Bright" w:cs="Calibri"/>
                <w:b/>
                <w:bCs/>
                <w:color w:val="000000"/>
                <w:sz w:val="14"/>
                <w:szCs w:val="14"/>
                <w:lang w:val="es-ES"/>
              </w:rPr>
            </w:pPr>
            <w:r w:rsidRPr="009E72CE">
              <w:rPr>
                <w:rFonts w:ascii="Lucida Bright" w:hAnsi="Lucida Bright" w:cs="Calibri"/>
                <w:b/>
                <w:bCs/>
                <w:color w:val="000000"/>
                <w:sz w:val="14"/>
                <w:szCs w:val="14"/>
                <w:lang w:val="es-ES"/>
              </w:rPr>
              <w:t>Por impuesto diferido:</w:t>
            </w:r>
          </w:p>
        </w:tc>
        <w:tc>
          <w:tcPr>
            <w:tcW w:w="866"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3"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33ECB">
        <w:trPr>
          <w:trHeight w:val="225"/>
        </w:trPr>
        <w:tc>
          <w:tcPr>
            <w:tcW w:w="2694" w:type="pct"/>
            <w:gridSpan w:val="4"/>
            <w:tcBorders>
              <w:top w:val="nil"/>
              <w:left w:val="single" w:sz="8" w:space="0" w:color="auto"/>
              <w:bottom w:val="nil"/>
              <w:right w:val="single" w:sz="8" w:space="0" w:color="000000"/>
            </w:tcBorders>
            <w:shd w:val="clear" w:color="auto" w:fill="auto"/>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Con origen en el ejercicio</w:t>
            </w:r>
          </w:p>
        </w:tc>
        <w:tc>
          <w:tcPr>
            <w:tcW w:w="866"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3"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33ECB">
        <w:trPr>
          <w:trHeight w:val="255"/>
        </w:trPr>
        <w:tc>
          <w:tcPr>
            <w:tcW w:w="2004" w:type="pct"/>
            <w:gridSpan w:val="3"/>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i/>
                <w:iCs/>
                <w:color w:val="000000"/>
                <w:sz w:val="14"/>
                <w:szCs w:val="14"/>
                <w:lang w:val="es-ES"/>
              </w:rPr>
            </w:pPr>
            <w:r w:rsidRPr="009E72CE">
              <w:rPr>
                <w:rFonts w:ascii="Lucida Bright" w:hAnsi="Lucida Bright" w:cs="Calibri"/>
                <w:i/>
                <w:iCs/>
                <w:color w:val="000000"/>
                <w:sz w:val="14"/>
                <w:szCs w:val="14"/>
                <w:lang w:val="es-ES"/>
              </w:rPr>
              <w:t xml:space="preserve">Efecto fiscal subvenciones devengadas </w:t>
            </w:r>
          </w:p>
        </w:tc>
        <w:tc>
          <w:tcPr>
            <w:tcW w:w="690" w:type="pct"/>
            <w:tcBorders>
              <w:top w:val="nil"/>
              <w:left w:val="nil"/>
              <w:bottom w:val="nil"/>
              <w:right w:val="single" w:sz="8" w:space="0" w:color="auto"/>
            </w:tcBorders>
            <w:shd w:val="clear" w:color="auto" w:fill="auto"/>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866" w:type="pct"/>
            <w:tcBorders>
              <w:top w:val="nil"/>
              <w:left w:val="nil"/>
              <w:bottom w:val="nil"/>
              <w:right w:val="single" w:sz="4"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299.040,13</w:t>
            </w:r>
          </w:p>
        </w:tc>
        <w:tc>
          <w:tcPr>
            <w:tcW w:w="783"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299.040,13</w:t>
            </w:r>
          </w:p>
        </w:tc>
      </w:tr>
      <w:tr w:rsidR="009E72CE" w:rsidRPr="009E72CE" w:rsidTr="00533ECB">
        <w:trPr>
          <w:trHeight w:val="225"/>
        </w:trPr>
        <w:tc>
          <w:tcPr>
            <w:tcW w:w="2694" w:type="pct"/>
            <w:gridSpan w:val="4"/>
            <w:tcBorders>
              <w:top w:val="nil"/>
              <w:left w:val="single" w:sz="8" w:space="0" w:color="auto"/>
              <w:bottom w:val="nil"/>
              <w:right w:val="single" w:sz="8" w:space="0" w:color="000000"/>
            </w:tcBorders>
            <w:shd w:val="clear" w:color="auto" w:fill="auto"/>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Con origen en ejercicios anteriores</w:t>
            </w:r>
          </w:p>
        </w:tc>
        <w:tc>
          <w:tcPr>
            <w:tcW w:w="866"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3"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33ECB">
        <w:trPr>
          <w:trHeight w:val="240"/>
        </w:trPr>
        <w:tc>
          <w:tcPr>
            <w:tcW w:w="2004" w:type="pct"/>
            <w:gridSpan w:val="3"/>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i/>
                <w:iCs/>
                <w:color w:val="000000"/>
                <w:sz w:val="14"/>
                <w:szCs w:val="14"/>
                <w:lang w:val="es-ES"/>
              </w:rPr>
            </w:pPr>
            <w:r w:rsidRPr="009E72CE">
              <w:rPr>
                <w:rFonts w:ascii="Lucida Bright" w:hAnsi="Lucida Bright" w:cs="Calibri"/>
                <w:i/>
                <w:iCs/>
                <w:color w:val="000000"/>
                <w:sz w:val="14"/>
                <w:szCs w:val="14"/>
                <w:lang w:val="es-ES"/>
              </w:rPr>
              <w:t>Efecto fiscal subvenciones traspasadas al resultado</w:t>
            </w:r>
          </w:p>
        </w:tc>
        <w:tc>
          <w:tcPr>
            <w:tcW w:w="690"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866" w:type="pct"/>
            <w:tcBorders>
              <w:top w:val="nil"/>
              <w:left w:val="nil"/>
              <w:bottom w:val="single" w:sz="8" w:space="0" w:color="auto"/>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3" w:type="pct"/>
            <w:tcBorders>
              <w:top w:val="nil"/>
              <w:left w:val="nil"/>
              <w:bottom w:val="single" w:sz="8" w:space="0" w:color="auto"/>
              <w:right w:val="single" w:sz="4"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199.714,44</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(199.714,44)</w:t>
            </w:r>
          </w:p>
        </w:tc>
      </w:tr>
      <w:tr w:rsidR="009E72CE" w:rsidRPr="009E72CE" w:rsidTr="00533ECB">
        <w:trPr>
          <w:trHeight w:val="240"/>
        </w:trPr>
        <w:tc>
          <w:tcPr>
            <w:tcW w:w="2694" w:type="pct"/>
            <w:gridSpan w:val="4"/>
            <w:tcBorders>
              <w:top w:val="nil"/>
              <w:left w:val="single" w:sz="8" w:space="0" w:color="auto"/>
              <w:bottom w:val="nil"/>
              <w:right w:val="single" w:sz="8" w:space="0" w:color="000000"/>
            </w:tcBorders>
            <w:shd w:val="clear" w:color="auto" w:fill="auto"/>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Total impuesto diferido</w:t>
            </w:r>
          </w:p>
        </w:tc>
        <w:tc>
          <w:tcPr>
            <w:tcW w:w="866" w:type="pct"/>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299.040,13</w:t>
            </w:r>
          </w:p>
        </w:tc>
        <w:tc>
          <w:tcPr>
            <w:tcW w:w="783" w:type="pct"/>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199.714,44</w:t>
            </w:r>
          </w:p>
        </w:tc>
        <w:tc>
          <w:tcPr>
            <w:tcW w:w="656" w:type="pct"/>
            <w:tcBorders>
              <w:top w:val="single" w:sz="8" w:space="0" w:color="auto"/>
              <w:left w:val="nil"/>
              <w:bottom w:val="single" w:sz="8" w:space="0" w:color="auto"/>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99.325,69</w:t>
            </w:r>
          </w:p>
        </w:tc>
      </w:tr>
      <w:tr w:rsidR="009E72CE" w:rsidRPr="009E72CE" w:rsidTr="00533ECB">
        <w:trPr>
          <w:trHeight w:val="240"/>
        </w:trPr>
        <w:tc>
          <w:tcPr>
            <w:tcW w:w="2694" w:type="pct"/>
            <w:gridSpan w:val="4"/>
            <w:tcBorders>
              <w:top w:val="nil"/>
              <w:left w:val="single" w:sz="8" w:space="0" w:color="auto"/>
              <w:bottom w:val="single" w:sz="8" w:space="0" w:color="auto"/>
              <w:right w:val="single" w:sz="8" w:space="0" w:color="000000"/>
            </w:tcBorders>
            <w:shd w:val="clear" w:color="auto" w:fill="auto"/>
            <w:vAlign w:val="bottom"/>
            <w:hideMark/>
          </w:tcPr>
          <w:p w:rsidR="009E72CE" w:rsidRPr="009E72CE" w:rsidRDefault="009E72CE" w:rsidP="009E72CE">
            <w:pPr>
              <w:rPr>
                <w:rFonts w:ascii="Lucida Bright" w:hAnsi="Lucida Bright" w:cs="Calibri"/>
                <w:b/>
                <w:bCs/>
                <w:color w:val="000000"/>
                <w:sz w:val="14"/>
                <w:szCs w:val="14"/>
                <w:lang w:val="es-ES"/>
              </w:rPr>
            </w:pPr>
            <w:r w:rsidRPr="009E72CE">
              <w:rPr>
                <w:rFonts w:ascii="Lucida Bright" w:hAnsi="Lucida Bright" w:cs="Calibri"/>
                <w:b/>
                <w:bCs/>
                <w:color w:val="000000"/>
                <w:sz w:val="14"/>
                <w:szCs w:val="14"/>
                <w:lang w:val="es-ES"/>
              </w:rPr>
              <w:t>Total impuesto reconocido directamente en el patrimonio</w:t>
            </w:r>
          </w:p>
        </w:tc>
        <w:tc>
          <w:tcPr>
            <w:tcW w:w="866" w:type="pct"/>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299.040,13</w:t>
            </w:r>
          </w:p>
        </w:tc>
        <w:tc>
          <w:tcPr>
            <w:tcW w:w="783" w:type="pct"/>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199.714,44</w:t>
            </w:r>
          </w:p>
        </w:tc>
        <w:tc>
          <w:tcPr>
            <w:tcW w:w="656" w:type="pct"/>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99.325,69</w:t>
            </w:r>
          </w:p>
        </w:tc>
      </w:tr>
    </w:tbl>
    <w:p w:rsidR="00B450EE" w:rsidRDefault="00B450EE">
      <w:pPr>
        <w:tabs>
          <w:tab w:val="right" w:pos="8364"/>
        </w:tabs>
        <w:ind w:firstLine="540"/>
        <w:jc w:val="both"/>
        <w:rPr>
          <w:bCs/>
        </w:rPr>
      </w:pPr>
    </w:p>
    <w:p w:rsidR="006C0EE0" w:rsidRDefault="006C0EE0" w:rsidP="006C0EE0">
      <w:pPr>
        <w:tabs>
          <w:tab w:val="right" w:pos="8364"/>
        </w:tabs>
        <w:jc w:val="both"/>
        <w:rPr>
          <w:bCs/>
        </w:rPr>
      </w:pPr>
    </w:p>
    <w:tbl>
      <w:tblPr>
        <w:tblW w:w="5124" w:type="pct"/>
        <w:tblLayout w:type="fixed"/>
        <w:tblCellMar>
          <w:left w:w="70" w:type="dxa"/>
          <w:right w:w="70" w:type="dxa"/>
        </w:tblCellMar>
        <w:tblLook w:val="04A0" w:firstRow="1" w:lastRow="0" w:firstColumn="1" w:lastColumn="0" w:noHBand="0" w:noVBand="1"/>
      </w:tblPr>
      <w:tblGrid>
        <w:gridCol w:w="1189"/>
        <w:gridCol w:w="1182"/>
        <w:gridCol w:w="1180"/>
        <w:gridCol w:w="1245"/>
        <w:gridCol w:w="1511"/>
        <w:gridCol w:w="1389"/>
        <w:gridCol w:w="1162"/>
      </w:tblGrid>
      <w:tr w:rsidR="009E72CE" w:rsidRPr="009E72CE" w:rsidTr="00533ECB">
        <w:trPr>
          <w:trHeight w:val="240"/>
        </w:trPr>
        <w:tc>
          <w:tcPr>
            <w:tcW w:w="3560" w:type="pct"/>
            <w:gridSpan w:val="5"/>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b/>
                <w:bCs/>
                <w:color w:val="000000"/>
                <w:sz w:val="16"/>
                <w:szCs w:val="16"/>
                <w:lang w:val="es-ES"/>
              </w:rPr>
            </w:pPr>
            <w:r w:rsidRPr="009E72CE">
              <w:rPr>
                <w:rFonts w:ascii="Lucida Bright" w:hAnsi="Lucida Bright" w:cs="Calibri"/>
                <w:b/>
                <w:bCs/>
                <w:color w:val="000000"/>
                <w:sz w:val="16"/>
                <w:szCs w:val="16"/>
                <w:lang w:val="es-ES"/>
              </w:rPr>
              <w:t>Ejercicio 2022. Impuestos reconocidos en el patrimonio neto.</w:t>
            </w:r>
          </w:p>
        </w:tc>
        <w:tc>
          <w:tcPr>
            <w:tcW w:w="784" w:type="pct"/>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6"/>
                <w:szCs w:val="16"/>
                <w:lang w:val="es-ES"/>
              </w:rPr>
            </w:pPr>
          </w:p>
        </w:tc>
        <w:tc>
          <w:tcPr>
            <w:tcW w:w="656" w:type="pct"/>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6"/>
                <w:szCs w:val="16"/>
                <w:lang w:val="es-ES"/>
              </w:rPr>
            </w:pPr>
          </w:p>
        </w:tc>
      </w:tr>
      <w:tr w:rsidR="009E72CE" w:rsidRPr="009E72CE" w:rsidTr="00533ECB">
        <w:trPr>
          <w:trHeight w:val="240"/>
        </w:trPr>
        <w:tc>
          <w:tcPr>
            <w:tcW w:w="671" w:type="pct"/>
            <w:tcBorders>
              <w:top w:val="single" w:sz="8" w:space="0" w:color="auto"/>
              <w:left w:val="single" w:sz="8" w:space="0" w:color="auto"/>
              <w:bottom w:val="nil"/>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67" w:type="pct"/>
            <w:tcBorders>
              <w:top w:val="single" w:sz="8" w:space="0" w:color="auto"/>
              <w:left w:val="nil"/>
              <w:bottom w:val="nil"/>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66" w:type="pct"/>
            <w:tcBorders>
              <w:top w:val="single" w:sz="8" w:space="0" w:color="auto"/>
              <w:left w:val="nil"/>
              <w:bottom w:val="nil"/>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03" w:type="pct"/>
            <w:tcBorders>
              <w:top w:val="single" w:sz="8" w:space="0" w:color="auto"/>
              <w:left w:val="nil"/>
              <w:bottom w:val="nil"/>
              <w:right w:val="single" w:sz="8" w:space="0" w:color="auto"/>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853" w:type="pct"/>
            <w:tcBorders>
              <w:top w:val="single" w:sz="8" w:space="0" w:color="auto"/>
              <w:left w:val="nil"/>
              <w:bottom w:val="single" w:sz="8" w:space="0" w:color="auto"/>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4" w:type="pct"/>
            <w:tcBorders>
              <w:top w:val="single" w:sz="8" w:space="0" w:color="auto"/>
              <w:left w:val="nil"/>
              <w:bottom w:val="single" w:sz="8" w:space="0" w:color="auto"/>
              <w:right w:val="nil"/>
            </w:tcBorders>
            <w:shd w:val="clear" w:color="000000" w:fill="CCFFCC"/>
            <w:noWrap/>
            <w:vAlign w:val="bottom"/>
            <w:hideMark/>
          </w:tcPr>
          <w:p w:rsidR="009E72CE" w:rsidRPr="009E72CE" w:rsidRDefault="009E72CE" w:rsidP="009E72CE">
            <w:pPr>
              <w:jc w:val="cente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Euros</w:t>
            </w:r>
          </w:p>
        </w:tc>
        <w:tc>
          <w:tcPr>
            <w:tcW w:w="656" w:type="pct"/>
            <w:tcBorders>
              <w:top w:val="single" w:sz="8" w:space="0" w:color="auto"/>
              <w:left w:val="nil"/>
              <w:bottom w:val="single" w:sz="8" w:space="0" w:color="auto"/>
              <w:right w:val="single" w:sz="8" w:space="0" w:color="auto"/>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33ECB">
        <w:trPr>
          <w:trHeight w:val="270"/>
        </w:trPr>
        <w:tc>
          <w:tcPr>
            <w:tcW w:w="671" w:type="pct"/>
            <w:tcBorders>
              <w:top w:val="nil"/>
              <w:left w:val="single" w:sz="8" w:space="0" w:color="auto"/>
              <w:bottom w:val="single" w:sz="8" w:space="0" w:color="auto"/>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67" w:type="pct"/>
            <w:tcBorders>
              <w:top w:val="nil"/>
              <w:left w:val="nil"/>
              <w:bottom w:val="single" w:sz="8" w:space="0" w:color="auto"/>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66" w:type="pct"/>
            <w:tcBorders>
              <w:top w:val="nil"/>
              <w:left w:val="nil"/>
              <w:bottom w:val="single" w:sz="8" w:space="0" w:color="auto"/>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03" w:type="pct"/>
            <w:tcBorders>
              <w:top w:val="nil"/>
              <w:left w:val="nil"/>
              <w:bottom w:val="single" w:sz="8" w:space="0" w:color="auto"/>
              <w:right w:val="single" w:sz="8" w:space="0" w:color="auto"/>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853" w:type="pct"/>
            <w:tcBorders>
              <w:top w:val="nil"/>
              <w:left w:val="nil"/>
              <w:bottom w:val="single" w:sz="8" w:space="0" w:color="auto"/>
              <w:right w:val="single" w:sz="8" w:space="0" w:color="auto"/>
            </w:tcBorders>
            <w:shd w:val="clear" w:color="000000" w:fill="CCFFCC"/>
            <w:vAlign w:val="bottom"/>
            <w:hideMark/>
          </w:tcPr>
          <w:p w:rsidR="009E72CE" w:rsidRPr="009E72CE" w:rsidRDefault="009E72CE" w:rsidP="009E72CE">
            <w:pPr>
              <w:jc w:val="cente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Aumentos</w:t>
            </w:r>
          </w:p>
        </w:tc>
        <w:tc>
          <w:tcPr>
            <w:tcW w:w="784" w:type="pct"/>
            <w:tcBorders>
              <w:top w:val="nil"/>
              <w:left w:val="nil"/>
              <w:bottom w:val="single" w:sz="8" w:space="0" w:color="auto"/>
              <w:right w:val="single" w:sz="8" w:space="0" w:color="auto"/>
            </w:tcBorders>
            <w:shd w:val="clear" w:color="000000" w:fill="CCFFCC"/>
            <w:vAlign w:val="bottom"/>
            <w:hideMark/>
          </w:tcPr>
          <w:p w:rsidR="009E72CE" w:rsidRPr="009E72CE" w:rsidRDefault="009E72CE" w:rsidP="009E72CE">
            <w:pPr>
              <w:jc w:val="cente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Disminuciones</w:t>
            </w:r>
          </w:p>
        </w:tc>
        <w:tc>
          <w:tcPr>
            <w:tcW w:w="656" w:type="pct"/>
            <w:tcBorders>
              <w:top w:val="nil"/>
              <w:left w:val="nil"/>
              <w:bottom w:val="single" w:sz="8" w:space="0" w:color="auto"/>
              <w:right w:val="single" w:sz="8" w:space="0" w:color="auto"/>
            </w:tcBorders>
            <w:shd w:val="clear" w:color="000000" w:fill="CCFFCC"/>
            <w:vAlign w:val="bottom"/>
            <w:hideMark/>
          </w:tcPr>
          <w:p w:rsidR="009E72CE" w:rsidRPr="009E72CE" w:rsidRDefault="009E72CE" w:rsidP="009E72CE">
            <w:pPr>
              <w:jc w:val="cente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Total</w:t>
            </w:r>
          </w:p>
        </w:tc>
      </w:tr>
      <w:tr w:rsidR="009E72CE" w:rsidRPr="009E72CE" w:rsidTr="00533ECB">
        <w:trPr>
          <w:trHeight w:val="225"/>
        </w:trPr>
        <w:tc>
          <w:tcPr>
            <w:tcW w:w="671" w:type="pct"/>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67" w:type="pct"/>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66" w:type="pct"/>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03"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853"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4"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33ECB">
        <w:trPr>
          <w:trHeight w:val="225"/>
        </w:trPr>
        <w:tc>
          <w:tcPr>
            <w:tcW w:w="2707" w:type="pct"/>
            <w:gridSpan w:val="4"/>
            <w:tcBorders>
              <w:top w:val="nil"/>
              <w:left w:val="single" w:sz="8" w:space="0" w:color="auto"/>
              <w:bottom w:val="nil"/>
              <w:right w:val="single" w:sz="8" w:space="0" w:color="000000"/>
            </w:tcBorders>
            <w:shd w:val="clear" w:color="auto" w:fill="auto"/>
            <w:vAlign w:val="center"/>
            <w:hideMark/>
          </w:tcPr>
          <w:p w:rsidR="009E72CE" w:rsidRPr="009E72CE" w:rsidRDefault="009E72CE" w:rsidP="009E72CE">
            <w:pPr>
              <w:rPr>
                <w:rFonts w:ascii="Lucida Bright" w:hAnsi="Lucida Bright" w:cs="Calibri"/>
                <w:b/>
                <w:bCs/>
                <w:color w:val="000000"/>
                <w:sz w:val="14"/>
                <w:szCs w:val="14"/>
                <w:lang w:val="es-ES"/>
              </w:rPr>
            </w:pPr>
            <w:r w:rsidRPr="009E72CE">
              <w:rPr>
                <w:rFonts w:ascii="Lucida Bright" w:hAnsi="Lucida Bright" w:cs="Calibri"/>
                <w:b/>
                <w:bCs/>
                <w:color w:val="000000"/>
                <w:sz w:val="14"/>
                <w:szCs w:val="14"/>
                <w:lang w:val="es-ES"/>
              </w:rPr>
              <w:t>Por impuesto corriente:</w:t>
            </w:r>
          </w:p>
        </w:tc>
        <w:tc>
          <w:tcPr>
            <w:tcW w:w="853"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4"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33ECB">
        <w:trPr>
          <w:trHeight w:val="240"/>
        </w:trPr>
        <w:tc>
          <w:tcPr>
            <w:tcW w:w="671" w:type="pct"/>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i/>
                <w:iCs/>
                <w:color w:val="000000"/>
                <w:sz w:val="14"/>
                <w:szCs w:val="14"/>
                <w:lang w:val="es-ES"/>
              </w:rPr>
            </w:pPr>
            <w:r w:rsidRPr="009E72CE">
              <w:rPr>
                <w:rFonts w:ascii="Lucida Bright" w:hAnsi="Lucida Bright" w:cs="Calibri"/>
                <w:i/>
                <w:iCs/>
                <w:color w:val="000000"/>
                <w:sz w:val="14"/>
                <w:szCs w:val="14"/>
                <w:lang w:val="es-ES"/>
              </w:rPr>
              <w:t> </w:t>
            </w:r>
          </w:p>
        </w:tc>
        <w:tc>
          <w:tcPr>
            <w:tcW w:w="667" w:type="pct"/>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p>
        </w:tc>
        <w:tc>
          <w:tcPr>
            <w:tcW w:w="666" w:type="pct"/>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p>
        </w:tc>
        <w:tc>
          <w:tcPr>
            <w:tcW w:w="703"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853" w:type="pct"/>
            <w:tcBorders>
              <w:top w:val="nil"/>
              <w:left w:val="nil"/>
              <w:bottom w:val="single" w:sz="8" w:space="0" w:color="auto"/>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4" w:type="pct"/>
            <w:tcBorders>
              <w:top w:val="nil"/>
              <w:left w:val="nil"/>
              <w:bottom w:val="single" w:sz="8" w:space="0" w:color="auto"/>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33ECB">
        <w:trPr>
          <w:trHeight w:val="240"/>
        </w:trPr>
        <w:tc>
          <w:tcPr>
            <w:tcW w:w="2707" w:type="pct"/>
            <w:gridSpan w:val="4"/>
            <w:tcBorders>
              <w:top w:val="nil"/>
              <w:left w:val="single" w:sz="8" w:space="0" w:color="auto"/>
              <w:bottom w:val="nil"/>
              <w:right w:val="single" w:sz="8" w:space="0" w:color="000000"/>
            </w:tcBorders>
            <w:shd w:val="clear" w:color="auto" w:fill="auto"/>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Total impuesto corriente</w:t>
            </w:r>
          </w:p>
        </w:tc>
        <w:tc>
          <w:tcPr>
            <w:tcW w:w="853" w:type="pct"/>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4" w:type="pct"/>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single" w:sz="8" w:space="0" w:color="auto"/>
              <w:left w:val="nil"/>
              <w:bottom w:val="single" w:sz="8" w:space="0" w:color="auto"/>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33ECB">
        <w:trPr>
          <w:trHeight w:val="225"/>
        </w:trPr>
        <w:tc>
          <w:tcPr>
            <w:tcW w:w="671" w:type="pct"/>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67" w:type="pct"/>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p>
        </w:tc>
        <w:tc>
          <w:tcPr>
            <w:tcW w:w="666" w:type="pct"/>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p>
        </w:tc>
        <w:tc>
          <w:tcPr>
            <w:tcW w:w="703"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853"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4"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33ECB">
        <w:trPr>
          <w:trHeight w:val="225"/>
        </w:trPr>
        <w:tc>
          <w:tcPr>
            <w:tcW w:w="2707" w:type="pct"/>
            <w:gridSpan w:val="4"/>
            <w:tcBorders>
              <w:top w:val="nil"/>
              <w:left w:val="single" w:sz="8" w:space="0" w:color="auto"/>
              <w:bottom w:val="nil"/>
              <w:right w:val="single" w:sz="8" w:space="0" w:color="000000"/>
            </w:tcBorders>
            <w:shd w:val="clear" w:color="auto" w:fill="auto"/>
            <w:vAlign w:val="bottom"/>
            <w:hideMark/>
          </w:tcPr>
          <w:p w:rsidR="009E72CE" w:rsidRPr="009E72CE" w:rsidRDefault="009E72CE" w:rsidP="009E72CE">
            <w:pPr>
              <w:rPr>
                <w:rFonts w:ascii="Lucida Bright" w:hAnsi="Lucida Bright" w:cs="Calibri"/>
                <w:b/>
                <w:bCs/>
                <w:color w:val="000000"/>
                <w:sz w:val="14"/>
                <w:szCs w:val="14"/>
                <w:lang w:val="es-ES"/>
              </w:rPr>
            </w:pPr>
            <w:r w:rsidRPr="009E72CE">
              <w:rPr>
                <w:rFonts w:ascii="Lucida Bright" w:hAnsi="Lucida Bright" w:cs="Calibri"/>
                <w:b/>
                <w:bCs/>
                <w:color w:val="000000"/>
                <w:sz w:val="14"/>
                <w:szCs w:val="14"/>
                <w:lang w:val="es-ES"/>
              </w:rPr>
              <w:t>Por impuesto diferido:</w:t>
            </w:r>
          </w:p>
        </w:tc>
        <w:tc>
          <w:tcPr>
            <w:tcW w:w="853"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4"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33ECB">
        <w:trPr>
          <w:trHeight w:val="225"/>
        </w:trPr>
        <w:tc>
          <w:tcPr>
            <w:tcW w:w="2707" w:type="pct"/>
            <w:gridSpan w:val="4"/>
            <w:tcBorders>
              <w:top w:val="nil"/>
              <w:left w:val="single" w:sz="8" w:space="0" w:color="auto"/>
              <w:bottom w:val="nil"/>
              <w:right w:val="single" w:sz="8" w:space="0" w:color="000000"/>
            </w:tcBorders>
            <w:shd w:val="clear" w:color="auto" w:fill="auto"/>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Con origen en el ejercicio</w:t>
            </w:r>
          </w:p>
        </w:tc>
        <w:tc>
          <w:tcPr>
            <w:tcW w:w="853"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4"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33ECB">
        <w:trPr>
          <w:trHeight w:val="225"/>
        </w:trPr>
        <w:tc>
          <w:tcPr>
            <w:tcW w:w="2004" w:type="pct"/>
            <w:gridSpan w:val="3"/>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i/>
                <w:iCs/>
                <w:color w:val="000000"/>
                <w:sz w:val="14"/>
                <w:szCs w:val="14"/>
                <w:lang w:val="es-ES"/>
              </w:rPr>
            </w:pPr>
            <w:r w:rsidRPr="009E72CE">
              <w:rPr>
                <w:rFonts w:ascii="Lucida Bright" w:hAnsi="Lucida Bright" w:cs="Calibri"/>
                <w:i/>
                <w:iCs/>
                <w:color w:val="000000"/>
                <w:sz w:val="14"/>
                <w:szCs w:val="14"/>
                <w:lang w:val="es-ES"/>
              </w:rPr>
              <w:t xml:space="preserve">Efecto fiscal subvenciones devengadas </w:t>
            </w:r>
          </w:p>
        </w:tc>
        <w:tc>
          <w:tcPr>
            <w:tcW w:w="703" w:type="pct"/>
            <w:tcBorders>
              <w:top w:val="nil"/>
              <w:left w:val="nil"/>
              <w:bottom w:val="nil"/>
              <w:right w:val="single" w:sz="8" w:space="0" w:color="auto"/>
            </w:tcBorders>
            <w:shd w:val="clear" w:color="auto" w:fill="auto"/>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853"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4"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33ECB">
        <w:trPr>
          <w:trHeight w:val="225"/>
        </w:trPr>
        <w:tc>
          <w:tcPr>
            <w:tcW w:w="2707" w:type="pct"/>
            <w:gridSpan w:val="4"/>
            <w:tcBorders>
              <w:top w:val="nil"/>
              <w:left w:val="single" w:sz="8" w:space="0" w:color="auto"/>
              <w:bottom w:val="nil"/>
              <w:right w:val="single" w:sz="8" w:space="0" w:color="000000"/>
            </w:tcBorders>
            <w:shd w:val="clear" w:color="auto" w:fill="auto"/>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Con origen en ejercicios anteriores</w:t>
            </w:r>
          </w:p>
        </w:tc>
        <w:tc>
          <w:tcPr>
            <w:tcW w:w="853"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4" w:type="pct"/>
            <w:tcBorders>
              <w:top w:val="nil"/>
              <w:left w:val="nil"/>
              <w:bottom w:val="nil"/>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33ECB">
        <w:trPr>
          <w:trHeight w:val="240"/>
        </w:trPr>
        <w:tc>
          <w:tcPr>
            <w:tcW w:w="2004" w:type="pct"/>
            <w:gridSpan w:val="3"/>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i/>
                <w:iCs/>
                <w:color w:val="000000"/>
                <w:sz w:val="14"/>
                <w:szCs w:val="14"/>
                <w:lang w:val="es-ES"/>
              </w:rPr>
            </w:pPr>
            <w:r w:rsidRPr="009E72CE">
              <w:rPr>
                <w:rFonts w:ascii="Lucida Bright" w:hAnsi="Lucida Bright" w:cs="Calibri"/>
                <w:i/>
                <w:iCs/>
                <w:color w:val="000000"/>
                <w:sz w:val="14"/>
                <w:szCs w:val="14"/>
                <w:lang w:val="es-ES"/>
              </w:rPr>
              <w:t>Efecto fiscal subvenciones traspasadas al resultado</w:t>
            </w:r>
          </w:p>
        </w:tc>
        <w:tc>
          <w:tcPr>
            <w:tcW w:w="703" w:type="pct"/>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853" w:type="pct"/>
            <w:tcBorders>
              <w:top w:val="nil"/>
              <w:left w:val="nil"/>
              <w:bottom w:val="single" w:sz="8" w:space="0" w:color="auto"/>
              <w:right w:val="single" w:sz="4"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784" w:type="pct"/>
            <w:tcBorders>
              <w:top w:val="nil"/>
              <w:left w:val="nil"/>
              <w:bottom w:val="single" w:sz="8" w:space="0" w:color="auto"/>
              <w:right w:val="single" w:sz="4"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232.136,58</w:t>
            </w:r>
          </w:p>
        </w:tc>
        <w:tc>
          <w:tcPr>
            <w:tcW w:w="656" w:type="pct"/>
            <w:tcBorders>
              <w:top w:val="nil"/>
              <w:left w:val="nil"/>
              <w:bottom w:val="nil"/>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(232.136,58)</w:t>
            </w:r>
          </w:p>
        </w:tc>
      </w:tr>
      <w:tr w:rsidR="009E72CE" w:rsidRPr="009E72CE" w:rsidTr="00533ECB">
        <w:trPr>
          <w:trHeight w:val="240"/>
        </w:trPr>
        <w:tc>
          <w:tcPr>
            <w:tcW w:w="2707" w:type="pct"/>
            <w:gridSpan w:val="4"/>
            <w:tcBorders>
              <w:top w:val="nil"/>
              <w:left w:val="single" w:sz="8" w:space="0" w:color="auto"/>
              <w:bottom w:val="nil"/>
              <w:right w:val="single" w:sz="8" w:space="0" w:color="000000"/>
            </w:tcBorders>
            <w:shd w:val="clear" w:color="auto" w:fill="auto"/>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Total impuesto diferido</w:t>
            </w:r>
          </w:p>
        </w:tc>
        <w:tc>
          <w:tcPr>
            <w:tcW w:w="853" w:type="pct"/>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0,00</w:t>
            </w:r>
          </w:p>
        </w:tc>
        <w:tc>
          <w:tcPr>
            <w:tcW w:w="784" w:type="pct"/>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232.136,58</w:t>
            </w:r>
          </w:p>
        </w:tc>
        <w:tc>
          <w:tcPr>
            <w:tcW w:w="656" w:type="pct"/>
            <w:tcBorders>
              <w:top w:val="single" w:sz="8" w:space="0" w:color="auto"/>
              <w:left w:val="nil"/>
              <w:bottom w:val="single" w:sz="8" w:space="0" w:color="auto"/>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(232.136,58)</w:t>
            </w:r>
          </w:p>
        </w:tc>
      </w:tr>
      <w:tr w:rsidR="009E72CE" w:rsidRPr="009E72CE" w:rsidTr="00533ECB">
        <w:trPr>
          <w:trHeight w:val="240"/>
        </w:trPr>
        <w:tc>
          <w:tcPr>
            <w:tcW w:w="2707" w:type="pct"/>
            <w:gridSpan w:val="4"/>
            <w:tcBorders>
              <w:top w:val="nil"/>
              <w:left w:val="single" w:sz="8" w:space="0" w:color="auto"/>
              <w:bottom w:val="single" w:sz="8" w:space="0" w:color="auto"/>
              <w:right w:val="single" w:sz="8" w:space="0" w:color="000000"/>
            </w:tcBorders>
            <w:shd w:val="clear" w:color="auto" w:fill="auto"/>
            <w:vAlign w:val="bottom"/>
            <w:hideMark/>
          </w:tcPr>
          <w:p w:rsidR="009E72CE" w:rsidRPr="009E72CE" w:rsidRDefault="009E72CE" w:rsidP="009E72CE">
            <w:pPr>
              <w:rPr>
                <w:rFonts w:ascii="Lucida Bright" w:hAnsi="Lucida Bright" w:cs="Calibri"/>
                <w:b/>
                <w:bCs/>
                <w:color w:val="000000"/>
                <w:sz w:val="14"/>
                <w:szCs w:val="14"/>
                <w:lang w:val="es-ES"/>
              </w:rPr>
            </w:pPr>
            <w:r w:rsidRPr="009E72CE">
              <w:rPr>
                <w:rFonts w:ascii="Lucida Bright" w:hAnsi="Lucida Bright" w:cs="Calibri"/>
                <w:b/>
                <w:bCs/>
                <w:color w:val="000000"/>
                <w:sz w:val="14"/>
                <w:szCs w:val="14"/>
                <w:lang w:val="es-ES"/>
              </w:rPr>
              <w:t>Total impuesto reconocido directamente en el patrimonio</w:t>
            </w:r>
          </w:p>
        </w:tc>
        <w:tc>
          <w:tcPr>
            <w:tcW w:w="853" w:type="pct"/>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0,00</w:t>
            </w:r>
          </w:p>
        </w:tc>
        <w:tc>
          <w:tcPr>
            <w:tcW w:w="784" w:type="pct"/>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232.136,58</w:t>
            </w:r>
          </w:p>
        </w:tc>
        <w:tc>
          <w:tcPr>
            <w:tcW w:w="656" w:type="pct"/>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(232.136,58)</w:t>
            </w:r>
          </w:p>
        </w:tc>
      </w:tr>
    </w:tbl>
    <w:p w:rsidR="00B450EE" w:rsidRDefault="00B450EE" w:rsidP="006C0EE0">
      <w:pPr>
        <w:tabs>
          <w:tab w:val="right" w:pos="8364"/>
        </w:tabs>
        <w:jc w:val="both"/>
        <w:rPr>
          <w:bCs/>
        </w:rPr>
      </w:pPr>
    </w:p>
    <w:p w:rsidR="00B450EE" w:rsidRDefault="00B450EE" w:rsidP="006C0EE0">
      <w:pPr>
        <w:tabs>
          <w:tab w:val="right" w:pos="8364"/>
        </w:tabs>
        <w:jc w:val="both"/>
        <w:rPr>
          <w:bCs/>
        </w:rPr>
      </w:pPr>
    </w:p>
    <w:p w:rsidR="00E0015A" w:rsidRDefault="00E0015A">
      <w:pPr>
        <w:tabs>
          <w:tab w:val="right" w:pos="8364"/>
        </w:tabs>
        <w:ind w:firstLine="540"/>
        <w:jc w:val="both"/>
        <w:rPr>
          <w:bCs/>
        </w:rPr>
      </w:pPr>
    </w:p>
    <w:p w:rsidR="00B450EE" w:rsidRDefault="00B450EE">
      <w:pPr>
        <w:tabs>
          <w:tab w:val="right" w:pos="8364"/>
        </w:tabs>
        <w:ind w:firstLine="540"/>
        <w:jc w:val="both"/>
        <w:rPr>
          <w:bCs/>
        </w:rPr>
      </w:pPr>
    </w:p>
    <w:p w:rsidR="00B450EE" w:rsidRDefault="00B450EE">
      <w:pPr>
        <w:tabs>
          <w:tab w:val="right" w:pos="8364"/>
        </w:tabs>
        <w:ind w:firstLine="540"/>
        <w:jc w:val="both"/>
        <w:rPr>
          <w:bCs/>
        </w:rPr>
      </w:pPr>
    </w:p>
    <w:p w:rsidR="00B450EE" w:rsidRDefault="00B450EE">
      <w:pPr>
        <w:tabs>
          <w:tab w:val="right" w:pos="8364"/>
        </w:tabs>
        <w:ind w:firstLine="540"/>
        <w:jc w:val="both"/>
        <w:rPr>
          <w:bCs/>
        </w:rPr>
      </w:pPr>
    </w:p>
    <w:p w:rsidR="009E72CE" w:rsidRDefault="009E72CE">
      <w:pPr>
        <w:tabs>
          <w:tab w:val="right" w:pos="8364"/>
        </w:tabs>
        <w:ind w:firstLine="540"/>
        <w:jc w:val="both"/>
        <w:rPr>
          <w:rFonts w:ascii="NewBaskerville" w:hAnsi="NewBaskerville"/>
          <w:bCs/>
          <w:u w:val="single"/>
        </w:rPr>
      </w:pPr>
    </w:p>
    <w:p w:rsidR="009E72CE" w:rsidRDefault="009E72CE">
      <w:pPr>
        <w:tabs>
          <w:tab w:val="right" w:pos="8364"/>
        </w:tabs>
        <w:ind w:firstLine="540"/>
        <w:jc w:val="both"/>
        <w:rPr>
          <w:rFonts w:ascii="NewBaskerville" w:hAnsi="NewBaskerville"/>
          <w:bCs/>
          <w:u w:val="single"/>
        </w:rPr>
      </w:pPr>
    </w:p>
    <w:p w:rsidR="009E72CE" w:rsidRDefault="009E72CE">
      <w:pPr>
        <w:tabs>
          <w:tab w:val="right" w:pos="8364"/>
        </w:tabs>
        <w:ind w:firstLine="540"/>
        <w:jc w:val="both"/>
        <w:rPr>
          <w:rFonts w:ascii="NewBaskerville" w:hAnsi="NewBaskerville"/>
          <w:bCs/>
          <w:u w:val="single"/>
        </w:rPr>
      </w:pPr>
    </w:p>
    <w:p w:rsidR="009E72CE" w:rsidRDefault="009E72CE">
      <w:pPr>
        <w:tabs>
          <w:tab w:val="right" w:pos="8364"/>
        </w:tabs>
        <w:ind w:firstLine="540"/>
        <w:jc w:val="both"/>
        <w:rPr>
          <w:rFonts w:ascii="NewBaskerville" w:hAnsi="NewBaskerville"/>
          <w:bCs/>
          <w:u w:val="single"/>
        </w:rPr>
      </w:pPr>
    </w:p>
    <w:p w:rsidR="009E72CE" w:rsidRDefault="009E72CE">
      <w:pPr>
        <w:tabs>
          <w:tab w:val="right" w:pos="8364"/>
        </w:tabs>
        <w:ind w:firstLine="540"/>
        <w:jc w:val="both"/>
        <w:rPr>
          <w:rFonts w:ascii="NewBaskerville" w:hAnsi="NewBaskerville"/>
          <w:bCs/>
          <w:u w:val="single"/>
        </w:rPr>
      </w:pPr>
    </w:p>
    <w:p w:rsidR="009E72CE" w:rsidRDefault="009E72CE">
      <w:pPr>
        <w:tabs>
          <w:tab w:val="right" w:pos="8364"/>
        </w:tabs>
        <w:ind w:firstLine="540"/>
        <w:jc w:val="both"/>
        <w:rPr>
          <w:rFonts w:ascii="NewBaskerville" w:hAnsi="NewBaskerville"/>
          <w:bCs/>
          <w:u w:val="single"/>
        </w:rPr>
      </w:pPr>
    </w:p>
    <w:p w:rsidR="009E72CE" w:rsidRDefault="009E72CE">
      <w:pPr>
        <w:tabs>
          <w:tab w:val="right" w:pos="8364"/>
        </w:tabs>
        <w:ind w:firstLine="540"/>
        <w:jc w:val="both"/>
        <w:rPr>
          <w:rFonts w:ascii="NewBaskerville" w:hAnsi="NewBaskerville"/>
          <w:bCs/>
          <w:u w:val="single"/>
        </w:rPr>
      </w:pPr>
    </w:p>
    <w:p w:rsidR="009E72CE" w:rsidRDefault="009E72CE">
      <w:pPr>
        <w:tabs>
          <w:tab w:val="right" w:pos="8364"/>
        </w:tabs>
        <w:ind w:firstLine="540"/>
        <w:jc w:val="both"/>
        <w:rPr>
          <w:rFonts w:ascii="NewBaskerville" w:hAnsi="NewBaskerville"/>
          <w:bCs/>
          <w:u w:val="single"/>
        </w:rPr>
      </w:pPr>
    </w:p>
    <w:p w:rsidR="009E72CE" w:rsidRDefault="009E72CE">
      <w:pPr>
        <w:tabs>
          <w:tab w:val="right" w:pos="8364"/>
        </w:tabs>
        <w:ind w:firstLine="540"/>
        <w:jc w:val="both"/>
        <w:rPr>
          <w:rFonts w:ascii="NewBaskerville" w:hAnsi="NewBaskerville"/>
          <w:bCs/>
          <w:u w:val="single"/>
        </w:rPr>
      </w:pPr>
    </w:p>
    <w:p w:rsidR="0087318F" w:rsidRPr="00B450EE" w:rsidRDefault="00964DBB">
      <w:pPr>
        <w:tabs>
          <w:tab w:val="right" w:pos="8364"/>
        </w:tabs>
        <w:ind w:firstLine="540"/>
        <w:jc w:val="both"/>
        <w:rPr>
          <w:rFonts w:ascii="NewBaskerville" w:hAnsi="NewBaskerville"/>
          <w:bCs/>
        </w:rPr>
      </w:pPr>
      <w:r w:rsidRPr="00B450EE">
        <w:rPr>
          <w:rFonts w:ascii="NewBaskerville" w:hAnsi="NewBaskerville"/>
          <w:bCs/>
          <w:u w:val="single"/>
        </w:rPr>
        <w:lastRenderedPageBreak/>
        <w:t>Conciliación entre el resultado contable y el gasto por Impuesto de Sociedades.</w:t>
      </w:r>
    </w:p>
    <w:p w:rsidR="0010198F" w:rsidRPr="00B450EE" w:rsidRDefault="0010198F">
      <w:pPr>
        <w:tabs>
          <w:tab w:val="right" w:pos="8364"/>
        </w:tabs>
        <w:ind w:firstLine="540"/>
        <w:jc w:val="both"/>
        <w:rPr>
          <w:rFonts w:ascii="NewBaskerville" w:hAnsi="NewBaskerville"/>
          <w:bCs/>
        </w:rPr>
      </w:pPr>
    </w:p>
    <w:p w:rsidR="0010198F" w:rsidRDefault="0010198F">
      <w:pPr>
        <w:tabs>
          <w:tab w:val="right" w:pos="8364"/>
        </w:tabs>
        <w:ind w:firstLine="540"/>
        <w:jc w:val="both"/>
        <w:rPr>
          <w:rFonts w:ascii="NewBaskerville" w:hAnsi="NewBaskerville"/>
          <w:bCs/>
        </w:rPr>
      </w:pPr>
      <w:r w:rsidRPr="00B450EE">
        <w:rPr>
          <w:rFonts w:ascii="NewBaskerville" w:hAnsi="NewBaskerville"/>
          <w:bCs/>
        </w:rPr>
        <w:t>La conciliación entre el resultado contable y el gasto por Impuesto sobre Sociedades es la siguiente:</w:t>
      </w:r>
    </w:p>
    <w:p w:rsidR="009E72CE" w:rsidRDefault="009E72CE">
      <w:pPr>
        <w:tabs>
          <w:tab w:val="right" w:pos="8364"/>
        </w:tabs>
        <w:ind w:firstLine="540"/>
        <w:jc w:val="both"/>
        <w:rPr>
          <w:rFonts w:ascii="NewBaskerville" w:hAnsi="NewBaskerville"/>
          <w:bCs/>
        </w:rPr>
      </w:pPr>
    </w:p>
    <w:tbl>
      <w:tblPr>
        <w:tblW w:w="7268" w:type="dxa"/>
        <w:tblInd w:w="55" w:type="dxa"/>
        <w:tblCellMar>
          <w:left w:w="70" w:type="dxa"/>
          <w:right w:w="70" w:type="dxa"/>
        </w:tblCellMar>
        <w:tblLook w:val="04A0" w:firstRow="1" w:lastRow="0" w:firstColumn="1" w:lastColumn="0" w:noHBand="0" w:noVBand="1"/>
      </w:tblPr>
      <w:tblGrid>
        <w:gridCol w:w="2534"/>
        <w:gridCol w:w="198"/>
        <w:gridCol w:w="198"/>
        <w:gridCol w:w="2169"/>
        <w:gridCol w:w="2169"/>
      </w:tblGrid>
      <w:tr w:rsidR="009E72CE" w:rsidRPr="009E72CE" w:rsidTr="009E72CE">
        <w:trPr>
          <w:trHeight w:val="240"/>
        </w:trPr>
        <w:tc>
          <w:tcPr>
            <w:tcW w:w="7268" w:type="dxa"/>
            <w:gridSpan w:val="5"/>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b/>
                <w:bCs/>
                <w:color w:val="000000"/>
                <w:sz w:val="16"/>
                <w:szCs w:val="16"/>
                <w:lang w:val="es-ES"/>
              </w:rPr>
            </w:pPr>
            <w:r w:rsidRPr="009E72CE">
              <w:rPr>
                <w:rFonts w:ascii="Lucida Bright" w:hAnsi="Lucida Bright" w:cs="Calibri"/>
                <w:b/>
                <w:bCs/>
                <w:color w:val="000000"/>
                <w:sz w:val="16"/>
                <w:szCs w:val="16"/>
                <w:lang w:val="es-ES"/>
              </w:rPr>
              <w:t>Conciliación entre el resultado contable y gasto por Impuesto sobre Sociedades</w:t>
            </w:r>
          </w:p>
        </w:tc>
      </w:tr>
      <w:tr w:rsidR="009E72CE" w:rsidRPr="009E72CE" w:rsidTr="009E72CE">
        <w:trPr>
          <w:trHeight w:val="240"/>
        </w:trPr>
        <w:tc>
          <w:tcPr>
            <w:tcW w:w="2534" w:type="dxa"/>
            <w:tcBorders>
              <w:top w:val="single" w:sz="8" w:space="0" w:color="auto"/>
              <w:left w:val="single" w:sz="8" w:space="0" w:color="auto"/>
              <w:bottom w:val="nil"/>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198" w:type="dxa"/>
            <w:tcBorders>
              <w:top w:val="single" w:sz="8" w:space="0" w:color="auto"/>
              <w:left w:val="nil"/>
              <w:bottom w:val="nil"/>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198" w:type="dxa"/>
            <w:tcBorders>
              <w:top w:val="single" w:sz="8" w:space="0" w:color="auto"/>
              <w:left w:val="nil"/>
              <w:bottom w:val="nil"/>
              <w:right w:val="single" w:sz="8" w:space="0" w:color="auto"/>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4338" w:type="dxa"/>
            <w:gridSpan w:val="2"/>
            <w:tcBorders>
              <w:top w:val="single" w:sz="8" w:space="0" w:color="auto"/>
              <w:left w:val="nil"/>
              <w:bottom w:val="single" w:sz="8" w:space="0" w:color="auto"/>
              <w:right w:val="single" w:sz="8" w:space="0" w:color="000000"/>
            </w:tcBorders>
            <w:shd w:val="clear" w:color="000000" w:fill="CCFFCC"/>
            <w:noWrap/>
            <w:vAlign w:val="center"/>
            <w:hideMark/>
          </w:tcPr>
          <w:p w:rsidR="009E72CE" w:rsidRPr="009E72CE" w:rsidRDefault="009E72CE" w:rsidP="009E72CE">
            <w:pPr>
              <w:jc w:val="cente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Euros</w:t>
            </w:r>
          </w:p>
        </w:tc>
      </w:tr>
      <w:tr w:rsidR="009E72CE" w:rsidRPr="009E72CE" w:rsidTr="009E72CE">
        <w:trPr>
          <w:trHeight w:val="240"/>
        </w:trPr>
        <w:tc>
          <w:tcPr>
            <w:tcW w:w="2534" w:type="dxa"/>
            <w:tcBorders>
              <w:top w:val="nil"/>
              <w:left w:val="single" w:sz="8" w:space="0" w:color="auto"/>
              <w:bottom w:val="single" w:sz="8" w:space="0" w:color="auto"/>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198" w:type="dxa"/>
            <w:tcBorders>
              <w:top w:val="nil"/>
              <w:left w:val="nil"/>
              <w:bottom w:val="single" w:sz="8" w:space="0" w:color="auto"/>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198" w:type="dxa"/>
            <w:tcBorders>
              <w:top w:val="nil"/>
              <w:left w:val="nil"/>
              <w:bottom w:val="single" w:sz="8" w:space="0" w:color="auto"/>
              <w:right w:val="single" w:sz="8" w:space="0" w:color="auto"/>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2169" w:type="dxa"/>
            <w:tcBorders>
              <w:top w:val="nil"/>
              <w:left w:val="nil"/>
              <w:bottom w:val="single" w:sz="8" w:space="0" w:color="auto"/>
              <w:right w:val="single" w:sz="8" w:space="0" w:color="auto"/>
            </w:tcBorders>
            <w:shd w:val="clear" w:color="000000" w:fill="CCFFCC"/>
            <w:noWrap/>
            <w:vAlign w:val="bottom"/>
            <w:hideMark/>
          </w:tcPr>
          <w:p w:rsidR="009E72CE" w:rsidRPr="009E72CE" w:rsidRDefault="009E72CE" w:rsidP="009E72CE">
            <w:pPr>
              <w:jc w:val="cente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2023</w:t>
            </w:r>
          </w:p>
        </w:tc>
        <w:tc>
          <w:tcPr>
            <w:tcW w:w="2169" w:type="dxa"/>
            <w:tcBorders>
              <w:top w:val="nil"/>
              <w:left w:val="nil"/>
              <w:bottom w:val="single" w:sz="8" w:space="0" w:color="auto"/>
              <w:right w:val="single" w:sz="8" w:space="0" w:color="auto"/>
            </w:tcBorders>
            <w:shd w:val="clear" w:color="000000" w:fill="CCFFCC"/>
            <w:noWrap/>
            <w:vAlign w:val="bottom"/>
            <w:hideMark/>
          </w:tcPr>
          <w:p w:rsidR="009E72CE" w:rsidRPr="009E72CE" w:rsidRDefault="009E72CE" w:rsidP="009E72CE">
            <w:pPr>
              <w:jc w:val="cente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2022</w:t>
            </w:r>
          </w:p>
        </w:tc>
      </w:tr>
      <w:tr w:rsidR="009E72CE" w:rsidRPr="009E72CE" w:rsidTr="009E72CE">
        <w:trPr>
          <w:trHeight w:val="225"/>
        </w:trPr>
        <w:tc>
          <w:tcPr>
            <w:tcW w:w="2930" w:type="dxa"/>
            <w:gridSpan w:val="3"/>
            <w:tcBorders>
              <w:top w:val="single" w:sz="8" w:space="0" w:color="auto"/>
              <w:left w:val="single" w:sz="8" w:space="0" w:color="auto"/>
              <w:bottom w:val="nil"/>
              <w:right w:val="single" w:sz="8" w:space="0" w:color="000000"/>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Resultado contable antes de impuestos</w:t>
            </w:r>
          </w:p>
        </w:tc>
        <w:tc>
          <w:tcPr>
            <w:tcW w:w="2169" w:type="dxa"/>
            <w:tcBorders>
              <w:top w:val="nil"/>
              <w:left w:val="nil"/>
              <w:bottom w:val="nil"/>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47.050.375,18</w:t>
            </w:r>
          </w:p>
        </w:tc>
        <w:tc>
          <w:tcPr>
            <w:tcW w:w="2169" w:type="dxa"/>
            <w:tcBorders>
              <w:top w:val="nil"/>
              <w:left w:val="nil"/>
              <w:bottom w:val="nil"/>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32.803.783,33</w:t>
            </w:r>
          </w:p>
        </w:tc>
      </w:tr>
      <w:tr w:rsidR="009E72CE" w:rsidRPr="009E72CE" w:rsidTr="009E72CE">
        <w:trPr>
          <w:trHeight w:val="225"/>
        </w:trPr>
        <w:tc>
          <w:tcPr>
            <w:tcW w:w="2732" w:type="dxa"/>
            <w:gridSpan w:val="2"/>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Diferencias permanentes</w:t>
            </w:r>
          </w:p>
        </w:tc>
        <w:tc>
          <w:tcPr>
            <w:tcW w:w="198"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2169" w:type="dxa"/>
            <w:tcBorders>
              <w:top w:val="nil"/>
              <w:left w:val="nil"/>
              <w:bottom w:val="single" w:sz="4" w:space="0" w:color="auto"/>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3.336.093,02</w:t>
            </w:r>
          </w:p>
        </w:tc>
        <w:tc>
          <w:tcPr>
            <w:tcW w:w="2169" w:type="dxa"/>
            <w:tcBorders>
              <w:top w:val="nil"/>
              <w:left w:val="nil"/>
              <w:bottom w:val="single" w:sz="4" w:space="0" w:color="auto"/>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1.884.506,69</w:t>
            </w:r>
          </w:p>
        </w:tc>
      </w:tr>
      <w:tr w:rsidR="009E72CE" w:rsidRPr="009E72CE" w:rsidTr="009E72CE">
        <w:trPr>
          <w:trHeight w:val="225"/>
        </w:trPr>
        <w:tc>
          <w:tcPr>
            <w:tcW w:w="2534" w:type="dxa"/>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Subtotal</w:t>
            </w:r>
          </w:p>
        </w:tc>
        <w:tc>
          <w:tcPr>
            <w:tcW w:w="198" w:type="dxa"/>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p>
        </w:tc>
        <w:tc>
          <w:tcPr>
            <w:tcW w:w="198"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2169" w:type="dxa"/>
            <w:tcBorders>
              <w:top w:val="nil"/>
              <w:left w:val="nil"/>
              <w:bottom w:val="nil"/>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50.386.468,20</w:t>
            </w:r>
          </w:p>
        </w:tc>
        <w:tc>
          <w:tcPr>
            <w:tcW w:w="2169" w:type="dxa"/>
            <w:tcBorders>
              <w:top w:val="nil"/>
              <w:left w:val="nil"/>
              <w:bottom w:val="nil"/>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34.688.290,02</w:t>
            </w:r>
          </w:p>
        </w:tc>
      </w:tr>
      <w:tr w:rsidR="009E72CE" w:rsidRPr="009E72CE" w:rsidTr="009E72CE">
        <w:trPr>
          <w:trHeight w:val="225"/>
        </w:trPr>
        <w:tc>
          <w:tcPr>
            <w:tcW w:w="2534" w:type="dxa"/>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Cuota al 25%</w:t>
            </w:r>
          </w:p>
        </w:tc>
        <w:tc>
          <w:tcPr>
            <w:tcW w:w="198" w:type="dxa"/>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p>
        </w:tc>
        <w:tc>
          <w:tcPr>
            <w:tcW w:w="198"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2169" w:type="dxa"/>
            <w:tcBorders>
              <w:top w:val="nil"/>
              <w:left w:val="nil"/>
              <w:bottom w:val="nil"/>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12.596.617,05</w:t>
            </w:r>
          </w:p>
        </w:tc>
        <w:tc>
          <w:tcPr>
            <w:tcW w:w="2169" w:type="dxa"/>
            <w:tcBorders>
              <w:top w:val="nil"/>
              <w:left w:val="nil"/>
              <w:bottom w:val="nil"/>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8.672.072,51</w:t>
            </w:r>
          </w:p>
        </w:tc>
      </w:tr>
      <w:tr w:rsidR="009E72CE" w:rsidRPr="009E72CE" w:rsidTr="009E72CE">
        <w:trPr>
          <w:trHeight w:val="225"/>
        </w:trPr>
        <w:tc>
          <w:tcPr>
            <w:tcW w:w="2732" w:type="dxa"/>
            <w:gridSpan w:val="2"/>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Impacto diferencias temporarias</w:t>
            </w:r>
          </w:p>
        </w:tc>
        <w:tc>
          <w:tcPr>
            <w:tcW w:w="198"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2169"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2169"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9E72CE">
        <w:trPr>
          <w:trHeight w:val="225"/>
        </w:trPr>
        <w:tc>
          <w:tcPr>
            <w:tcW w:w="2534" w:type="dxa"/>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Deducciones:</w:t>
            </w:r>
          </w:p>
        </w:tc>
        <w:tc>
          <w:tcPr>
            <w:tcW w:w="198" w:type="dxa"/>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p>
        </w:tc>
        <w:tc>
          <w:tcPr>
            <w:tcW w:w="198"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2169"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2169"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9E72CE">
        <w:trPr>
          <w:trHeight w:val="225"/>
        </w:trPr>
        <w:tc>
          <w:tcPr>
            <w:tcW w:w="2732" w:type="dxa"/>
            <w:gridSpan w:val="2"/>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Por gastos no económicos</w:t>
            </w:r>
          </w:p>
        </w:tc>
        <w:tc>
          <w:tcPr>
            <w:tcW w:w="198"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2169" w:type="dxa"/>
            <w:tcBorders>
              <w:top w:val="nil"/>
              <w:left w:val="nil"/>
              <w:bottom w:val="nil"/>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(4.394.710,22)</w:t>
            </w:r>
          </w:p>
        </w:tc>
        <w:tc>
          <w:tcPr>
            <w:tcW w:w="2169" w:type="dxa"/>
            <w:tcBorders>
              <w:top w:val="nil"/>
              <w:left w:val="nil"/>
              <w:bottom w:val="nil"/>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(4.159.237,97)</w:t>
            </w:r>
          </w:p>
        </w:tc>
      </w:tr>
      <w:tr w:rsidR="009E72CE" w:rsidRPr="009E72CE" w:rsidTr="009E72CE">
        <w:trPr>
          <w:trHeight w:val="225"/>
        </w:trPr>
        <w:tc>
          <w:tcPr>
            <w:tcW w:w="2732" w:type="dxa"/>
            <w:gridSpan w:val="2"/>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xml:space="preserve">Por inversiones no </w:t>
            </w:r>
            <w:r w:rsidR="00DD448C" w:rsidRPr="009E72CE">
              <w:rPr>
                <w:rFonts w:ascii="Lucida Bright" w:hAnsi="Lucida Bright" w:cs="Calibri"/>
                <w:color w:val="000000"/>
                <w:sz w:val="14"/>
                <w:szCs w:val="14"/>
                <w:lang w:val="es-ES"/>
              </w:rPr>
              <w:t>económicos</w:t>
            </w:r>
          </w:p>
        </w:tc>
        <w:tc>
          <w:tcPr>
            <w:tcW w:w="198"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2169" w:type="dxa"/>
            <w:tcBorders>
              <w:top w:val="nil"/>
              <w:left w:val="nil"/>
              <w:bottom w:val="nil"/>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(8.163.638,67)</w:t>
            </w:r>
          </w:p>
        </w:tc>
        <w:tc>
          <w:tcPr>
            <w:tcW w:w="2169" w:type="dxa"/>
            <w:tcBorders>
              <w:top w:val="nil"/>
              <w:left w:val="nil"/>
              <w:bottom w:val="nil"/>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(4.646.345,29)</w:t>
            </w:r>
          </w:p>
        </w:tc>
      </w:tr>
      <w:tr w:rsidR="009E72CE" w:rsidRPr="009E72CE" w:rsidTr="009E72CE">
        <w:trPr>
          <w:trHeight w:val="225"/>
        </w:trPr>
        <w:tc>
          <w:tcPr>
            <w:tcW w:w="2930" w:type="dxa"/>
            <w:gridSpan w:val="3"/>
            <w:tcBorders>
              <w:top w:val="nil"/>
              <w:left w:val="single" w:sz="8" w:space="0" w:color="auto"/>
              <w:bottom w:val="nil"/>
              <w:right w:val="single" w:sz="8" w:space="0" w:color="000000"/>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Compensación bases imponibles negativas</w:t>
            </w:r>
          </w:p>
        </w:tc>
        <w:tc>
          <w:tcPr>
            <w:tcW w:w="2169"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2169"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9E72CE">
        <w:trPr>
          <w:trHeight w:val="225"/>
        </w:trPr>
        <w:tc>
          <w:tcPr>
            <w:tcW w:w="2930" w:type="dxa"/>
            <w:gridSpan w:val="3"/>
            <w:tcBorders>
              <w:top w:val="nil"/>
              <w:left w:val="single" w:sz="8" w:space="0" w:color="auto"/>
              <w:bottom w:val="nil"/>
              <w:right w:val="single" w:sz="8" w:space="0" w:color="000000"/>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xml:space="preserve">Otros-Reserva Capitalización no </w:t>
            </w:r>
            <w:proofErr w:type="spellStart"/>
            <w:r w:rsidRPr="009E72CE">
              <w:rPr>
                <w:rFonts w:ascii="Lucida Bright" w:hAnsi="Lucida Bright" w:cs="Calibri"/>
                <w:color w:val="000000"/>
                <w:sz w:val="14"/>
                <w:szCs w:val="14"/>
                <w:lang w:val="es-ES"/>
              </w:rPr>
              <w:t>deduc</w:t>
            </w:r>
            <w:proofErr w:type="spellEnd"/>
          </w:p>
        </w:tc>
        <w:tc>
          <w:tcPr>
            <w:tcW w:w="2169"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2169"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9E72CE">
        <w:trPr>
          <w:trHeight w:val="240"/>
        </w:trPr>
        <w:tc>
          <w:tcPr>
            <w:tcW w:w="2732" w:type="dxa"/>
            <w:gridSpan w:val="2"/>
            <w:tcBorders>
              <w:top w:val="nil"/>
              <w:left w:val="single" w:sz="8" w:space="0" w:color="auto"/>
              <w:bottom w:val="single" w:sz="8" w:space="0" w:color="auto"/>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Otros-Liquidación definitiva IS 2020</w:t>
            </w:r>
          </w:p>
        </w:tc>
        <w:tc>
          <w:tcPr>
            <w:tcW w:w="198" w:type="dxa"/>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2169" w:type="dxa"/>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2169" w:type="dxa"/>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9E72CE">
        <w:trPr>
          <w:trHeight w:val="495"/>
        </w:trPr>
        <w:tc>
          <w:tcPr>
            <w:tcW w:w="293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E72CE" w:rsidRPr="009E72CE" w:rsidRDefault="009E72CE" w:rsidP="009E72CE">
            <w:pPr>
              <w:jc w:val="center"/>
              <w:rPr>
                <w:rFonts w:ascii="Lucida Bright" w:hAnsi="Lucida Bright" w:cs="Calibri"/>
                <w:b/>
                <w:bCs/>
                <w:color w:val="000000"/>
                <w:sz w:val="14"/>
                <w:szCs w:val="14"/>
                <w:lang w:val="es-ES"/>
              </w:rPr>
            </w:pPr>
            <w:r w:rsidRPr="009E72CE">
              <w:rPr>
                <w:rFonts w:ascii="Lucida Bright" w:hAnsi="Lucida Bright" w:cs="Calibri"/>
                <w:b/>
                <w:bCs/>
                <w:color w:val="000000"/>
                <w:sz w:val="14"/>
                <w:szCs w:val="14"/>
                <w:lang w:val="es-ES"/>
              </w:rPr>
              <w:t>Total gasto por impuesto reconocido en la cuenta de pérdidas y ganancias</w:t>
            </w:r>
          </w:p>
        </w:tc>
        <w:tc>
          <w:tcPr>
            <w:tcW w:w="2169" w:type="dxa"/>
            <w:tcBorders>
              <w:top w:val="nil"/>
              <w:left w:val="nil"/>
              <w:bottom w:val="single" w:sz="8" w:space="0" w:color="auto"/>
              <w:right w:val="single" w:sz="8" w:space="0" w:color="auto"/>
            </w:tcBorders>
            <w:shd w:val="clear" w:color="auto" w:fill="auto"/>
            <w:vAlign w:val="center"/>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38.268,16</w:t>
            </w:r>
          </w:p>
        </w:tc>
        <w:tc>
          <w:tcPr>
            <w:tcW w:w="2169" w:type="dxa"/>
            <w:tcBorders>
              <w:top w:val="nil"/>
              <w:left w:val="nil"/>
              <w:bottom w:val="single" w:sz="8" w:space="0" w:color="auto"/>
              <w:right w:val="single" w:sz="8" w:space="0" w:color="auto"/>
            </w:tcBorders>
            <w:shd w:val="clear" w:color="auto" w:fill="auto"/>
            <w:vAlign w:val="center"/>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(133.510,76)</w:t>
            </w:r>
          </w:p>
        </w:tc>
      </w:tr>
    </w:tbl>
    <w:p w:rsidR="00B450EE" w:rsidRDefault="00B450EE">
      <w:pPr>
        <w:tabs>
          <w:tab w:val="right" w:pos="8364"/>
        </w:tabs>
        <w:ind w:firstLine="540"/>
        <w:jc w:val="both"/>
        <w:rPr>
          <w:rFonts w:ascii="NewBaskerville" w:hAnsi="NewBaskerville"/>
          <w:bCs/>
        </w:rPr>
      </w:pPr>
    </w:p>
    <w:p w:rsidR="006C0EE0" w:rsidRDefault="006C0EE0">
      <w:pPr>
        <w:tabs>
          <w:tab w:val="right" w:pos="8364"/>
        </w:tabs>
        <w:ind w:firstLine="540"/>
        <w:jc w:val="both"/>
        <w:rPr>
          <w:bCs/>
        </w:rPr>
      </w:pPr>
    </w:p>
    <w:p w:rsidR="00C82D5D" w:rsidRDefault="00C82D5D">
      <w:pPr>
        <w:tabs>
          <w:tab w:val="right" w:pos="8364"/>
        </w:tabs>
        <w:ind w:firstLine="540"/>
        <w:jc w:val="both"/>
        <w:rPr>
          <w:bCs/>
          <w:u w:val="single"/>
        </w:rPr>
      </w:pPr>
    </w:p>
    <w:p w:rsidR="0087318F" w:rsidRPr="007C68BE" w:rsidRDefault="00964DBB">
      <w:pPr>
        <w:tabs>
          <w:tab w:val="right" w:pos="8364"/>
        </w:tabs>
        <w:ind w:firstLine="540"/>
        <w:jc w:val="both"/>
        <w:rPr>
          <w:rFonts w:ascii="NewBaskerville" w:hAnsi="NewBaskerville"/>
          <w:bCs/>
        </w:rPr>
      </w:pPr>
      <w:r w:rsidRPr="007C68BE">
        <w:rPr>
          <w:rFonts w:ascii="NewBaskerville" w:hAnsi="NewBaskerville"/>
          <w:bCs/>
          <w:u w:val="single"/>
        </w:rPr>
        <w:t>Desglose del gasto por Impuesto sobre Sociedades.</w:t>
      </w:r>
    </w:p>
    <w:p w:rsidR="0010198F" w:rsidRPr="007C68BE" w:rsidRDefault="0010198F">
      <w:pPr>
        <w:tabs>
          <w:tab w:val="right" w:pos="8364"/>
        </w:tabs>
        <w:ind w:firstLine="540"/>
        <w:jc w:val="both"/>
        <w:rPr>
          <w:rFonts w:ascii="NewBaskerville" w:hAnsi="NewBaskerville"/>
          <w:bCs/>
        </w:rPr>
      </w:pPr>
    </w:p>
    <w:p w:rsidR="0010198F" w:rsidRPr="007C68BE" w:rsidRDefault="0010198F">
      <w:pPr>
        <w:tabs>
          <w:tab w:val="right" w:pos="8364"/>
        </w:tabs>
        <w:ind w:firstLine="540"/>
        <w:jc w:val="both"/>
        <w:rPr>
          <w:rFonts w:ascii="NewBaskerville" w:hAnsi="NewBaskerville"/>
          <w:bCs/>
        </w:rPr>
      </w:pPr>
      <w:r w:rsidRPr="007C68BE">
        <w:rPr>
          <w:rFonts w:ascii="NewBaskerville" w:hAnsi="NewBaskerville"/>
          <w:bCs/>
        </w:rPr>
        <w:t>El desglose del gasto por Impuesto sobre Sociedades es el siguiente:</w:t>
      </w:r>
    </w:p>
    <w:p w:rsidR="006C0EE0" w:rsidRPr="0010198F" w:rsidRDefault="006C0EE0">
      <w:pPr>
        <w:tabs>
          <w:tab w:val="right" w:pos="8364"/>
        </w:tabs>
        <w:ind w:firstLine="540"/>
        <w:jc w:val="both"/>
        <w:rPr>
          <w:bCs/>
        </w:rPr>
      </w:pPr>
    </w:p>
    <w:tbl>
      <w:tblPr>
        <w:tblW w:w="0" w:type="auto"/>
        <w:tblLayout w:type="fixed"/>
        <w:tblCellMar>
          <w:left w:w="70" w:type="dxa"/>
          <w:right w:w="70" w:type="dxa"/>
        </w:tblCellMar>
        <w:tblLook w:val="04A0" w:firstRow="1" w:lastRow="0" w:firstColumn="1" w:lastColumn="0" w:noHBand="0" w:noVBand="1"/>
      </w:tblPr>
      <w:tblGrid>
        <w:gridCol w:w="1141"/>
        <w:gridCol w:w="1141"/>
        <w:gridCol w:w="566"/>
        <w:gridCol w:w="1191"/>
        <w:gridCol w:w="1276"/>
        <w:gridCol w:w="41"/>
        <w:gridCol w:w="160"/>
      </w:tblGrid>
      <w:tr w:rsidR="009E72CE" w:rsidRPr="009E72CE" w:rsidTr="00576038">
        <w:trPr>
          <w:trHeight w:val="240"/>
        </w:trPr>
        <w:tc>
          <w:tcPr>
            <w:tcW w:w="5356" w:type="dxa"/>
            <w:gridSpan w:val="6"/>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b/>
                <w:bCs/>
                <w:color w:val="000000"/>
                <w:sz w:val="16"/>
                <w:szCs w:val="16"/>
                <w:lang w:val="es-ES"/>
              </w:rPr>
            </w:pPr>
            <w:r w:rsidRPr="009E72CE">
              <w:rPr>
                <w:rFonts w:ascii="Lucida Bright" w:hAnsi="Lucida Bright" w:cs="Calibri"/>
                <w:b/>
                <w:bCs/>
                <w:color w:val="000000"/>
                <w:sz w:val="16"/>
                <w:szCs w:val="16"/>
                <w:lang w:val="es-ES"/>
              </w:rPr>
              <w:t>Desglose del gasto por Impuesto sobre Sociedades</w:t>
            </w:r>
          </w:p>
        </w:tc>
        <w:tc>
          <w:tcPr>
            <w:tcW w:w="160" w:type="dxa"/>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6"/>
                <w:szCs w:val="16"/>
                <w:lang w:val="es-ES"/>
              </w:rPr>
            </w:pPr>
          </w:p>
        </w:tc>
      </w:tr>
      <w:tr w:rsidR="009E72CE" w:rsidRPr="009E72CE" w:rsidTr="00576038">
        <w:trPr>
          <w:gridAfter w:val="2"/>
          <w:wAfter w:w="201" w:type="dxa"/>
          <w:trHeight w:val="240"/>
        </w:trPr>
        <w:tc>
          <w:tcPr>
            <w:tcW w:w="1141" w:type="dxa"/>
            <w:tcBorders>
              <w:top w:val="single" w:sz="8" w:space="0" w:color="auto"/>
              <w:left w:val="single" w:sz="8" w:space="0" w:color="auto"/>
              <w:bottom w:val="nil"/>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1141" w:type="dxa"/>
            <w:tcBorders>
              <w:top w:val="single" w:sz="8" w:space="0" w:color="auto"/>
              <w:left w:val="nil"/>
              <w:bottom w:val="nil"/>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566" w:type="dxa"/>
            <w:tcBorders>
              <w:top w:val="single" w:sz="8" w:space="0" w:color="auto"/>
              <w:left w:val="nil"/>
              <w:bottom w:val="nil"/>
              <w:right w:val="single" w:sz="8" w:space="0" w:color="auto"/>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2467" w:type="dxa"/>
            <w:gridSpan w:val="2"/>
            <w:tcBorders>
              <w:top w:val="single" w:sz="8" w:space="0" w:color="auto"/>
              <w:left w:val="nil"/>
              <w:bottom w:val="single" w:sz="8" w:space="0" w:color="auto"/>
              <w:right w:val="single" w:sz="8" w:space="0" w:color="000000"/>
            </w:tcBorders>
            <w:shd w:val="clear" w:color="000000" w:fill="CCFFCC"/>
            <w:noWrap/>
            <w:vAlign w:val="center"/>
            <w:hideMark/>
          </w:tcPr>
          <w:p w:rsidR="009E72CE" w:rsidRPr="009E72CE" w:rsidRDefault="009E72CE" w:rsidP="009E72CE">
            <w:pPr>
              <w:jc w:val="cente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Euros</w:t>
            </w:r>
          </w:p>
        </w:tc>
      </w:tr>
      <w:tr w:rsidR="009E72CE" w:rsidRPr="009E72CE" w:rsidTr="00576038">
        <w:trPr>
          <w:gridAfter w:val="2"/>
          <w:wAfter w:w="201" w:type="dxa"/>
          <w:trHeight w:val="240"/>
        </w:trPr>
        <w:tc>
          <w:tcPr>
            <w:tcW w:w="1141" w:type="dxa"/>
            <w:tcBorders>
              <w:top w:val="nil"/>
              <w:left w:val="single" w:sz="8" w:space="0" w:color="auto"/>
              <w:bottom w:val="single" w:sz="8" w:space="0" w:color="auto"/>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1141" w:type="dxa"/>
            <w:tcBorders>
              <w:top w:val="nil"/>
              <w:left w:val="nil"/>
              <w:bottom w:val="single" w:sz="8" w:space="0" w:color="auto"/>
              <w:right w:val="nil"/>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566" w:type="dxa"/>
            <w:tcBorders>
              <w:top w:val="nil"/>
              <w:left w:val="nil"/>
              <w:bottom w:val="single" w:sz="8" w:space="0" w:color="auto"/>
              <w:right w:val="single" w:sz="8" w:space="0" w:color="auto"/>
            </w:tcBorders>
            <w:shd w:val="clear" w:color="000000" w:fill="CCFFCC"/>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1191" w:type="dxa"/>
            <w:tcBorders>
              <w:top w:val="nil"/>
              <w:left w:val="nil"/>
              <w:bottom w:val="single" w:sz="8" w:space="0" w:color="auto"/>
              <w:right w:val="single" w:sz="8" w:space="0" w:color="auto"/>
            </w:tcBorders>
            <w:shd w:val="clear" w:color="000000" w:fill="CCFFCC"/>
            <w:noWrap/>
            <w:vAlign w:val="bottom"/>
            <w:hideMark/>
          </w:tcPr>
          <w:p w:rsidR="009E72CE" w:rsidRPr="009E72CE" w:rsidRDefault="009E72CE" w:rsidP="009E72CE">
            <w:pPr>
              <w:jc w:val="cente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2023</w:t>
            </w:r>
          </w:p>
        </w:tc>
        <w:tc>
          <w:tcPr>
            <w:tcW w:w="1276" w:type="dxa"/>
            <w:tcBorders>
              <w:top w:val="nil"/>
              <w:left w:val="nil"/>
              <w:bottom w:val="single" w:sz="8" w:space="0" w:color="auto"/>
              <w:right w:val="single" w:sz="8" w:space="0" w:color="auto"/>
            </w:tcBorders>
            <w:shd w:val="clear" w:color="000000" w:fill="CCFFCC"/>
            <w:noWrap/>
            <w:vAlign w:val="bottom"/>
            <w:hideMark/>
          </w:tcPr>
          <w:p w:rsidR="009E72CE" w:rsidRPr="009E72CE" w:rsidRDefault="009E72CE" w:rsidP="009E72CE">
            <w:pPr>
              <w:jc w:val="cente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2022</w:t>
            </w:r>
          </w:p>
        </w:tc>
      </w:tr>
      <w:tr w:rsidR="009E72CE" w:rsidRPr="009E72CE" w:rsidTr="00576038">
        <w:trPr>
          <w:gridAfter w:val="2"/>
          <w:wAfter w:w="201" w:type="dxa"/>
          <w:trHeight w:val="225"/>
        </w:trPr>
        <w:tc>
          <w:tcPr>
            <w:tcW w:w="2282" w:type="dxa"/>
            <w:gridSpan w:val="2"/>
            <w:tcBorders>
              <w:top w:val="single" w:sz="8" w:space="0" w:color="auto"/>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b/>
                <w:bCs/>
                <w:color w:val="000000"/>
                <w:sz w:val="14"/>
                <w:szCs w:val="14"/>
                <w:lang w:val="es-ES"/>
              </w:rPr>
            </w:pPr>
            <w:r w:rsidRPr="009E72CE">
              <w:rPr>
                <w:rFonts w:ascii="Lucida Bright" w:hAnsi="Lucida Bright" w:cs="Calibri"/>
                <w:b/>
                <w:bCs/>
                <w:color w:val="000000"/>
                <w:sz w:val="14"/>
                <w:szCs w:val="14"/>
                <w:lang w:val="es-ES"/>
              </w:rPr>
              <w:t>Impuesto corriente:</w:t>
            </w:r>
          </w:p>
        </w:tc>
        <w:tc>
          <w:tcPr>
            <w:tcW w:w="566"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1191"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1276"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76038">
        <w:trPr>
          <w:gridAfter w:val="2"/>
          <w:wAfter w:w="201" w:type="dxa"/>
          <w:trHeight w:val="225"/>
        </w:trPr>
        <w:tc>
          <w:tcPr>
            <w:tcW w:w="2282" w:type="dxa"/>
            <w:gridSpan w:val="2"/>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Por operaciones continuadas:</w:t>
            </w:r>
          </w:p>
        </w:tc>
        <w:tc>
          <w:tcPr>
            <w:tcW w:w="566"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1191"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1276"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76038">
        <w:trPr>
          <w:gridAfter w:val="2"/>
          <w:wAfter w:w="201" w:type="dxa"/>
          <w:trHeight w:val="225"/>
        </w:trPr>
        <w:tc>
          <w:tcPr>
            <w:tcW w:w="2282" w:type="dxa"/>
            <w:gridSpan w:val="2"/>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Por operaciones interrumpidas</w:t>
            </w:r>
          </w:p>
        </w:tc>
        <w:tc>
          <w:tcPr>
            <w:tcW w:w="566"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1191"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1276"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76038">
        <w:trPr>
          <w:gridAfter w:val="2"/>
          <w:wAfter w:w="201" w:type="dxa"/>
          <w:trHeight w:val="225"/>
        </w:trPr>
        <w:tc>
          <w:tcPr>
            <w:tcW w:w="1141" w:type="dxa"/>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1141" w:type="dxa"/>
            <w:tcBorders>
              <w:top w:val="nil"/>
              <w:left w:val="nil"/>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p>
        </w:tc>
        <w:tc>
          <w:tcPr>
            <w:tcW w:w="566"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1191"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1276"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76038">
        <w:trPr>
          <w:gridAfter w:val="2"/>
          <w:wAfter w:w="201" w:type="dxa"/>
          <w:trHeight w:val="225"/>
        </w:trPr>
        <w:tc>
          <w:tcPr>
            <w:tcW w:w="2282" w:type="dxa"/>
            <w:gridSpan w:val="2"/>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b/>
                <w:bCs/>
                <w:color w:val="000000"/>
                <w:sz w:val="14"/>
                <w:szCs w:val="14"/>
                <w:lang w:val="es-ES"/>
              </w:rPr>
            </w:pPr>
            <w:r w:rsidRPr="009E72CE">
              <w:rPr>
                <w:rFonts w:ascii="Lucida Bright" w:hAnsi="Lucida Bright" w:cs="Calibri"/>
                <w:b/>
                <w:bCs/>
                <w:color w:val="000000"/>
                <w:sz w:val="14"/>
                <w:szCs w:val="14"/>
                <w:lang w:val="es-ES"/>
              </w:rPr>
              <w:t>Impuesto diferido:</w:t>
            </w:r>
          </w:p>
        </w:tc>
        <w:tc>
          <w:tcPr>
            <w:tcW w:w="566"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1191"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1276"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76038">
        <w:trPr>
          <w:gridAfter w:val="2"/>
          <w:wAfter w:w="201" w:type="dxa"/>
          <w:trHeight w:val="225"/>
        </w:trPr>
        <w:tc>
          <w:tcPr>
            <w:tcW w:w="2282" w:type="dxa"/>
            <w:gridSpan w:val="2"/>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Por operaciones continuadas:</w:t>
            </w:r>
          </w:p>
        </w:tc>
        <w:tc>
          <w:tcPr>
            <w:tcW w:w="566"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1191" w:type="dxa"/>
            <w:tcBorders>
              <w:top w:val="nil"/>
              <w:left w:val="nil"/>
              <w:bottom w:val="nil"/>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38.268,16</w:t>
            </w:r>
          </w:p>
        </w:tc>
        <w:tc>
          <w:tcPr>
            <w:tcW w:w="1276" w:type="dxa"/>
            <w:tcBorders>
              <w:top w:val="nil"/>
              <w:left w:val="nil"/>
              <w:bottom w:val="nil"/>
              <w:right w:val="single" w:sz="8" w:space="0" w:color="auto"/>
            </w:tcBorders>
            <w:shd w:val="clear" w:color="auto" w:fill="auto"/>
            <w:noWrap/>
            <w:vAlign w:val="bottom"/>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(133.510,76)</w:t>
            </w:r>
          </w:p>
        </w:tc>
      </w:tr>
      <w:tr w:rsidR="009E72CE" w:rsidRPr="009E72CE" w:rsidTr="00576038">
        <w:trPr>
          <w:gridAfter w:val="2"/>
          <w:wAfter w:w="201" w:type="dxa"/>
          <w:trHeight w:val="225"/>
        </w:trPr>
        <w:tc>
          <w:tcPr>
            <w:tcW w:w="2282" w:type="dxa"/>
            <w:gridSpan w:val="2"/>
            <w:tcBorders>
              <w:top w:val="nil"/>
              <w:left w:val="single" w:sz="8" w:space="0" w:color="auto"/>
              <w:bottom w:val="nil"/>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Por operaciones interrumpidas:</w:t>
            </w:r>
          </w:p>
        </w:tc>
        <w:tc>
          <w:tcPr>
            <w:tcW w:w="566"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1191"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1276" w:type="dxa"/>
            <w:tcBorders>
              <w:top w:val="nil"/>
              <w:left w:val="nil"/>
              <w:bottom w:val="nil"/>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76038">
        <w:trPr>
          <w:gridAfter w:val="2"/>
          <w:wAfter w:w="201" w:type="dxa"/>
          <w:trHeight w:val="240"/>
        </w:trPr>
        <w:tc>
          <w:tcPr>
            <w:tcW w:w="1141" w:type="dxa"/>
            <w:tcBorders>
              <w:top w:val="nil"/>
              <w:left w:val="single" w:sz="8" w:space="0" w:color="auto"/>
              <w:bottom w:val="single" w:sz="8" w:space="0" w:color="auto"/>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1141" w:type="dxa"/>
            <w:tcBorders>
              <w:top w:val="nil"/>
              <w:left w:val="nil"/>
              <w:bottom w:val="single" w:sz="8" w:space="0" w:color="auto"/>
              <w:right w:val="nil"/>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566" w:type="dxa"/>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1191" w:type="dxa"/>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c>
          <w:tcPr>
            <w:tcW w:w="1276" w:type="dxa"/>
            <w:tcBorders>
              <w:top w:val="nil"/>
              <w:left w:val="nil"/>
              <w:bottom w:val="single" w:sz="8" w:space="0" w:color="auto"/>
              <w:right w:val="single" w:sz="8" w:space="0" w:color="auto"/>
            </w:tcBorders>
            <w:shd w:val="clear" w:color="auto" w:fill="auto"/>
            <w:noWrap/>
            <w:vAlign w:val="bottom"/>
            <w:hideMark/>
          </w:tcPr>
          <w:p w:rsidR="009E72CE" w:rsidRPr="009E72CE" w:rsidRDefault="009E72CE" w:rsidP="009E72CE">
            <w:pPr>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 </w:t>
            </w:r>
          </w:p>
        </w:tc>
      </w:tr>
      <w:tr w:rsidR="009E72CE" w:rsidRPr="009E72CE" w:rsidTr="00576038">
        <w:trPr>
          <w:gridAfter w:val="2"/>
          <w:wAfter w:w="201" w:type="dxa"/>
          <w:trHeight w:val="240"/>
        </w:trPr>
        <w:tc>
          <w:tcPr>
            <w:tcW w:w="284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E72CE" w:rsidRPr="009E72CE" w:rsidRDefault="009E72CE" w:rsidP="009E72CE">
            <w:pPr>
              <w:jc w:val="center"/>
              <w:rPr>
                <w:rFonts w:ascii="Lucida Bright" w:hAnsi="Lucida Bright" w:cs="Calibri"/>
                <w:b/>
                <w:bCs/>
                <w:color w:val="000000"/>
                <w:sz w:val="14"/>
                <w:szCs w:val="14"/>
                <w:lang w:val="es-ES"/>
              </w:rPr>
            </w:pPr>
            <w:r w:rsidRPr="009E72CE">
              <w:rPr>
                <w:rFonts w:ascii="Lucida Bright" w:hAnsi="Lucida Bright" w:cs="Calibri"/>
                <w:b/>
                <w:bCs/>
                <w:color w:val="000000"/>
                <w:sz w:val="14"/>
                <w:szCs w:val="14"/>
                <w:lang w:val="es-ES"/>
              </w:rPr>
              <w:t xml:space="preserve">Total gasto por impuesto </w:t>
            </w:r>
          </w:p>
        </w:tc>
        <w:tc>
          <w:tcPr>
            <w:tcW w:w="1191" w:type="dxa"/>
            <w:tcBorders>
              <w:top w:val="nil"/>
              <w:left w:val="nil"/>
              <w:bottom w:val="single" w:sz="8" w:space="0" w:color="auto"/>
              <w:right w:val="single" w:sz="8" w:space="0" w:color="auto"/>
            </w:tcBorders>
            <w:shd w:val="clear" w:color="auto" w:fill="auto"/>
            <w:vAlign w:val="center"/>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38.268,16</w:t>
            </w:r>
          </w:p>
        </w:tc>
        <w:tc>
          <w:tcPr>
            <w:tcW w:w="1276" w:type="dxa"/>
            <w:tcBorders>
              <w:top w:val="nil"/>
              <w:left w:val="nil"/>
              <w:bottom w:val="single" w:sz="8" w:space="0" w:color="auto"/>
              <w:right w:val="single" w:sz="8" w:space="0" w:color="auto"/>
            </w:tcBorders>
            <w:shd w:val="clear" w:color="auto" w:fill="auto"/>
            <w:vAlign w:val="center"/>
            <w:hideMark/>
          </w:tcPr>
          <w:p w:rsidR="009E72CE" w:rsidRPr="009E72CE" w:rsidRDefault="009E72CE" w:rsidP="009E72CE">
            <w:pPr>
              <w:jc w:val="right"/>
              <w:rPr>
                <w:rFonts w:ascii="Lucida Bright" w:hAnsi="Lucida Bright" w:cs="Calibri"/>
                <w:color w:val="000000"/>
                <w:sz w:val="14"/>
                <w:szCs w:val="14"/>
                <w:lang w:val="es-ES"/>
              </w:rPr>
            </w:pPr>
            <w:r w:rsidRPr="009E72CE">
              <w:rPr>
                <w:rFonts w:ascii="Lucida Bright" w:hAnsi="Lucida Bright" w:cs="Calibri"/>
                <w:color w:val="000000"/>
                <w:sz w:val="14"/>
                <w:szCs w:val="14"/>
                <w:lang w:val="es-ES"/>
              </w:rPr>
              <w:t>(133.510,76)</w:t>
            </w:r>
          </w:p>
        </w:tc>
      </w:tr>
    </w:tbl>
    <w:p w:rsidR="00964DBB" w:rsidRDefault="00964DBB">
      <w:pPr>
        <w:tabs>
          <w:tab w:val="right" w:pos="8364"/>
        </w:tabs>
        <w:ind w:firstLine="540"/>
        <w:jc w:val="both"/>
        <w:rPr>
          <w:bCs/>
          <w:u w:val="single"/>
        </w:rPr>
      </w:pPr>
    </w:p>
    <w:p w:rsidR="00964DBB" w:rsidRDefault="00964DBB" w:rsidP="006C0EE0">
      <w:pPr>
        <w:tabs>
          <w:tab w:val="right" w:pos="8364"/>
        </w:tabs>
        <w:jc w:val="both"/>
        <w:rPr>
          <w:bCs/>
          <w:u w:val="single"/>
        </w:rPr>
      </w:pPr>
    </w:p>
    <w:p w:rsidR="006C0EE0" w:rsidRDefault="006C0EE0">
      <w:pPr>
        <w:tabs>
          <w:tab w:val="right" w:pos="8364"/>
        </w:tabs>
        <w:ind w:firstLine="540"/>
        <w:jc w:val="both"/>
        <w:rPr>
          <w:bCs/>
          <w:u w:val="single"/>
        </w:rPr>
      </w:pPr>
    </w:p>
    <w:p w:rsidR="00576038" w:rsidRDefault="00576038">
      <w:pPr>
        <w:tabs>
          <w:tab w:val="right" w:pos="8364"/>
        </w:tabs>
        <w:ind w:firstLine="540"/>
        <w:jc w:val="both"/>
        <w:rPr>
          <w:rFonts w:ascii="NewBaskerville" w:hAnsi="NewBaskerville"/>
          <w:bCs/>
          <w:u w:val="single"/>
        </w:rPr>
      </w:pPr>
    </w:p>
    <w:p w:rsidR="00576038" w:rsidRDefault="00576038">
      <w:pPr>
        <w:tabs>
          <w:tab w:val="right" w:pos="8364"/>
        </w:tabs>
        <w:ind w:firstLine="540"/>
        <w:jc w:val="both"/>
        <w:rPr>
          <w:rFonts w:ascii="NewBaskerville" w:hAnsi="NewBaskerville"/>
          <w:bCs/>
          <w:u w:val="single"/>
        </w:rPr>
      </w:pPr>
    </w:p>
    <w:p w:rsidR="00576038" w:rsidRDefault="00576038">
      <w:pPr>
        <w:tabs>
          <w:tab w:val="right" w:pos="8364"/>
        </w:tabs>
        <w:ind w:firstLine="540"/>
        <w:jc w:val="both"/>
        <w:rPr>
          <w:rFonts w:ascii="NewBaskerville" w:hAnsi="NewBaskerville"/>
          <w:bCs/>
          <w:u w:val="single"/>
        </w:rPr>
      </w:pPr>
    </w:p>
    <w:p w:rsidR="00576038" w:rsidRDefault="00576038">
      <w:pPr>
        <w:tabs>
          <w:tab w:val="right" w:pos="8364"/>
        </w:tabs>
        <w:ind w:firstLine="540"/>
        <w:jc w:val="both"/>
        <w:rPr>
          <w:rFonts w:ascii="NewBaskerville" w:hAnsi="NewBaskerville"/>
          <w:bCs/>
          <w:u w:val="single"/>
        </w:rPr>
      </w:pPr>
    </w:p>
    <w:p w:rsidR="00576038" w:rsidRDefault="00576038">
      <w:pPr>
        <w:tabs>
          <w:tab w:val="right" w:pos="8364"/>
        </w:tabs>
        <w:ind w:firstLine="540"/>
        <w:jc w:val="both"/>
        <w:rPr>
          <w:rFonts w:ascii="NewBaskerville" w:hAnsi="NewBaskerville"/>
          <w:bCs/>
          <w:u w:val="single"/>
        </w:rPr>
      </w:pPr>
    </w:p>
    <w:p w:rsidR="00576038" w:rsidRDefault="00576038">
      <w:pPr>
        <w:tabs>
          <w:tab w:val="right" w:pos="8364"/>
        </w:tabs>
        <w:ind w:firstLine="540"/>
        <w:jc w:val="both"/>
        <w:rPr>
          <w:rFonts w:ascii="NewBaskerville" w:hAnsi="NewBaskerville"/>
          <w:bCs/>
          <w:u w:val="single"/>
        </w:rPr>
      </w:pPr>
    </w:p>
    <w:p w:rsidR="00576038" w:rsidRDefault="00576038">
      <w:pPr>
        <w:tabs>
          <w:tab w:val="right" w:pos="8364"/>
        </w:tabs>
        <w:ind w:firstLine="540"/>
        <w:jc w:val="both"/>
        <w:rPr>
          <w:rFonts w:ascii="NewBaskerville" w:hAnsi="NewBaskerville"/>
          <w:bCs/>
          <w:u w:val="single"/>
        </w:rPr>
      </w:pPr>
    </w:p>
    <w:p w:rsidR="00576038" w:rsidRDefault="00576038">
      <w:pPr>
        <w:tabs>
          <w:tab w:val="right" w:pos="8364"/>
        </w:tabs>
        <w:ind w:firstLine="540"/>
        <w:jc w:val="both"/>
        <w:rPr>
          <w:rFonts w:ascii="NewBaskerville" w:hAnsi="NewBaskerville"/>
          <w:bCs/>
          <w:u w:val="single"/>
        </w:rPr>
      </w:pPr>
    </w:p>
    <w:p w:rsidR="00576038" w:rsidRDefault="00576038">
      <w:pPr>
        <w:tabs>
          <w:tab w:val="right" w:pos="8364"/>
        </w:tabs>
        <w:ind w:firstLine="540"/>
        <w:jc w:val="both"/>
        <w:rPr>
          <w:rFonts w:ascii="NewBaskerville" w:hAnsi="NewBaskerville"/>
          <w:bCs/>
          <w:u w:val="single"/>
        </w:rPr>
      </w:pPr>
    </w:p>
    <w:p w:rsidR="00576038" w:rsidRDefault="00576038">
      <w:pPr>
        <w:tabs>
          <w:tab w:val="right" w:pos="8364"/>
        </w:tabs>
        <w:ind w:firstLine="540"/>
        <w:jc w:val="both"/>
        <w:rPr>
          <w:rFonts w:ascii="NewBaskerville" w:hAnsi="NewBaskerville"/>
          <w:bCs/>
          <w:u w:val="single"/>
        </w:rPr>
      </w:pPr>
    </w:p>
    <w:p w:rsidR="00964DBB" w:rsidRPr="007C68BE" w:rsidRDefault="00964DBB">
      <w:pPr>
        <w:tabs>
          <w:tab w:val="right" w:pos="8364"/>
        </w:tabs>
        <w:ind w:firstLine="540"/>
        <w:jc w:val="both"/>
        <w:rPr>
          <w:rFonts w:ascii="NewBaskerville" w:hAnsi="NewBaskerville"/>
          <w:bCs/>
        </w:rPr>
      </w:pPr>
      <w:r w:rsidRPr="007C68BE">
        <w:rPr>
          <w:rFonts w:ascii="NewBaskerville" w:hAnsi="NewBaskerville"/>
          <w:bCs/>
          <w:u w:val="single"/>
        </w:rPr>
        <w:lastRenderedPageBreak/>
        <w:t>Detalle del saldo de Activos por impuesto diferido registrados.</w:t>
      </w:r>
    </w:p>
    <w:p w:rsidR="0010198F" w:rsidRPr="007C68BE" w:rsidRDefault="0010198F">
      <w:pPr>
        <w:tabs>
          <w:tab w:val="right" w:pos="8364"/>
        </w:tabs>
        <w:ind w:firstLine="540"/>
        <w:jc w:val="both"/>
        <w:rPr>
          <w:rFonts w:ascii="NewBaskerville" w:hAnsi="NewBaskerville"/>
          <w:bCs/>
        </w:rPr>
      </w:pPr>
    </w:p>
    <w:p w:rsidR="0010198F" w:rsidRDefault="0010198F">
      <w:pPr>
        <w:tabs>
          <w:tab w:val="right" w:pos="8364"/>
        </w:tabs>
        <w:ind w:firstLine="540"/>
        <w:jc w:val="both"/>
        <w:rPr>
          <w:rFonts w:ascii="NewBaskerville" w:hAnsi="NewBaskerville"/>
          <w:bCs/>
        </w:rPr>
      </w:pPr>
      <w:r w:rsidRPr="007C68BE">
        <w:rPr>
          <w:rFonts w:ascii="NewBaskerville" w:hAnsi="NewBaskerville"/>
          <w:bCs/>
        </w:rPr>
        <w:t>El detalle del saldo de esta cuenta al cierre del ejercicio 202</w:t>
      </w:r>
      <w:r w:rsidR="00576038">
        <w:rPr>
          <w:rFonts w:ascii="NewBaskerville" w:hAnsi="NewBaskerville"/>
          <w:bCs/>
        </w:rPr>
        <w:t>3</w:t>
      </w:r>
      <w:r w:rsidRPr="007C68BE">
        <w:rPr>
          <w:rFonts w:ascii="NewBaskerville" w:hAnsi="NewBaskerville"/>
          <w:bCs/>
        </w:rPr>
        <w:t xml:space="preserve"> y 20</w:t>
      </w:r>
      <w:r w:rsidR="00333BDC" w:rsidRPr="007C68BE">
        <w:rPr>
          <w:rFonts w:ascii="NewBaskerville" w:hAnsi="NewBaskerville"/>
          <w:bCs/>
        </w:rPr>
        <w:t>2</w:t>
      </w:r>
      <w:r w:rsidR="00576038">
        <w:rPr>
          <w:rFonts w:ascii="NewBaskerville" w:hAnsi="NewBaskerville"/>
          <w:bCs/>
        </w:rPr>
        <w:t>2</w:t>
      </w:r>
      <w:r w:rsidRPr="007C68BE">
        <w:rPr>
          <w:rFonts w:ascii="NewBaskerville" w:hAnsi="NewBaskerville"/>
          <w:bCs/>
        </w:rPr>
        <w:t xml:space="preserve"> es el siguiente:</w:t>
      </w:r>
    </w:p>
    <w:p w:rsidR="00576038" w:rsidRDefault="00576038">
      <w:pPr>
        <w:tabs>
          <w:tab w:val="right" w:pos="8364"/>
        </w:tabs>
        <w:ind w:firstLine="540"/>
        <w:jc w:val="both"/>
        <w:rPr>
          <w:rFonts w:ascii="NewBaskerville" w:hAnsi="NewBaskerville"/>
          <w:bCs/>
        </w:rPr>
      </w:pPr>
    </w:p>
    <w:tbl>
      <w:tblPr>
        <w:tblW w:w="6394" w:type="dxa"/>
        <w:tblInd w:w="55" w:type="dxa"/>
        <w:tblCellMar>
          <w:left w:w="70" w:type="dxa"/>
          <w:right w:w="70" w:type="dxa"/>
        </w:tblCellMar>
        <w:tblLook w:val="04A0" w:firstRow="1" w:lastRow="0" w:firstColumn="1" w:lastColumn="0" w:noHBand="0" w:noVBand="1"/>
      </w:tblPr>
      <w:tblGrid>
        <w:gridCol w:w="1237"/>
        <w:gridCol w:w="1237"/>
        <w:gridCol w:w="1200"/>
        <w:gridCol w:w="1360"/>
        <w:gridCol w:w="1360"/>
      </w:tblGrid>
      <w:tr w:rsidR="007150CE" w:rsidRPr="007150CE" w:rsidTr="007150CE">
        <w:trPr>
          <w:trHeight w:val="240"/>
        </w:trPr>
        <w:tc>
          <w:tcPr>
            <w:tcW w:w="3674" w:type="dxa"/>
            <w:gridSpan w:val="3"/>
            <w:tcBorders>
              <w:top w:val="nil"/>
              <w:left w:val="nil"/>
              <w:bottom w:val="nil"/>
              <w:right w:val="nil"/>
            </w:tcBorders>
            <w:shd w:val="clear" w:color="auto" w:fill="auto"/>
            <w:noWrap/>
            <w:vAlign w:val="bottom"/>
            <w:hideMark/>
          </w:tcPr>
          <w:p w:rsidR="007150CE" w:rsidRPr="007150CE" w:rsidRDefault="007150CE" w:rsidP="007150CE">
            <w:pPr>
              <w:rPr>
                <w:rFonts w:ascii="Lucida Bright" w:hAnsi="Lucida Bright" w:cs="Calibri"/>
                <w:b/>
                <w:bCs/>
                <w:color w:val="000000"/>
                <w:sz w:val="16"/>
                <w:szCs w:val="16"/>
                <w:lang w:val="es-ES"/>
              </w:rPr>
            </w:pPr>
            <w:r w:rsidRPr="007150CE">
              <w:rPr>
                <w:rFonts w:ascii="Lucida Bright" w:hAnsi="Lucida Bright" w:cs="Calibri"/>
                <w:b/>
                <w:bCs/>
                <w:color w:val="000000"/>
                <w:sz w:val="16"/>
                <w:szCs w:val="16"/>
                <w:lang w:val="es-ES"/>
              </w:rPr>
              <w:t>Activos por impuesto diferido registrados</w:t>
            </w:r>
          </w:p>
        </w:tc>
        <w:tc>
          <w:tcPr>
            <w:tcW w:w="1360" w:type="dxa"/>
            <w:tcBorders>
              <w:top w:val="nil"/>
              <w:left w:val="nil"/>
              <w:bottom w:val="nil"/>
              <w:right w:val="nil"/>
            </w:tcBorders>
            <w:shd w:val="clear" w:color="auto" w:fill="auto"/>
            <w:noWrap/>
            <w:vAlign w:val="bottom"/>
            <w:hideMark/>
          </w:tcPr>
          <w:p w:rsidR="007150CE" w:rsidRPr="007150CE" w:rsidRDefault="007150CE" w:rsidP="007150CE">
            <w:pPr>
              <w:rPr>
                <w:rFonts w:ascii="Lucida Bright" w:hAnsi="Lucida Bright" w:cs="Calibri"/>
                <w:color w:val="000000"/>
                <w:sz w:val="16"/>
                <w:szCs w:val="16"/>
                <w:lang w:val="es-ES"/>
              </w:rPr>
            </w:pPr>
          </w:p>
        </w:tc>
        <w:tc>
          <w:tcPr>
            <w:tcW w:w="1360" w:type="dxa"/>
            <w:tcBorders>
              <w:top w:val="nil"/>
              <w:left w:val="nil"/>
              <w:bottom w:val="nil"/>
              <w:right w:val="nil"/>
            </w:tcBorders>
            <w:shd w:val="clear" w:color="auto" w:fill="auto"/>
            <w:noWrap/>
            <w:vAlign w:val="bottom"/>
            <w:hideMark/>
          </w:tcPr>
          <w:p w:rsidR="007150CE" w:rsidRPr="007150CE" w:rsidRDefault="007150CE" w:rsidP="007150CE">
            <w:pPr>
              <w:rPr>
                <w:rFonts w:ascii="Lucida Bright" w:hAnsi="Lucida Bright" w:cs="Calibri"/>
                <w:color w:val="000000"/>
                <w:sz w:val="16"/>
                <w:szCs w:val="16"/>
                <w:lang w:val="es-ES"/>
              </w:rPr>
            </w:pPr>
          </w:p>
        </w:tc>
      </w:tr>
      <w:tr w:rsidR="007150CE" w:rsidRPr="007150CE" w:rsidTr="007150CE">
        <w:trPr>
          <w:trHeight w:val="240"/>
        </w:trPr>
        <w:tc>
          <w:tcPr>
            <w:tcW w:w="1237" w:type="dxa"/>
            <w:tcBorders>
              <w:top w:val="single" w:sz="8" w:space="0" w:color="auto"/>
              <w:left w:val="single" w:sz="8" w:space="0" w:color="auto"/>
              <w:bottom w:val="nil"/>
              <w:right w:val="nil"/>
            </w:tcBorders>
            <w:shd w:val="clear" w:color="000000" w:fill="CCFFCC"/>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 </w:t>
            </w:r>
          </w:p>
        </w:tc>
        <w:tc>
          <w:tcPr>
            <w:tcW w:w="1237" w:type="dxa"/>
            <w:tcBorders>
              <w:top w:val="single" w:sz="8" w:space="0" w:color="auto"/>
              <w:left w:val="nil"/>
              <w:bottom w:val="nil"/>
              <w:right w:val="nil"/>
            </w:tcBorders>
            <w:shd w:val="clear" w:color="000000" w:fill="CCFFCC"/>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 </w:t>
            </w:r>
          </w:p>
        </w:tc>
        <w:tc>
          <w:tcPr>
            <w:tcW w:w="1200" w:type="dxa"/>
            <w:tcBorders>
              <w:top w:val="single" w:sz="8" w:space="0" w:color="auto"/>
              <w:left w:val="nil"/>
              <w:bottom w:val="nil"/>
              <w:right w:val="single" w:sz="8" w:space="0" w:color="auto"/>
            </w:tcBorders>
            <w:shd w:val="clear" w:color="000000" w:fill="CCFFCC"/>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 </w:t>
            </w:r>
          </w:p>
        </w:tc>
        <w:tc>
          <w:tcPr>
            <w:tcW w:w="2720" w:type="dxa"/>
            <w:gridSpan w:val="2"/>
            <w:tcBorders>
              <w:top w:val="single" w:sz="8" w:space="0" w:color="auto"/>
              <w:left w:val="nil"/>
              <w:bottom w:val="single" w:sz="8" w:space="0" w:color="auto"/>
              <w:right w:val="single" w:sz="8" w:space="0" w:color="000000"/>
            </w:tcBorders>
            <w:shd w:val="clear" w:color="000000" w:fill="CCFFCC"/>
            <w:noWrap/>
            <w:vAlign w:val="center"/>
            <w:hideMark/>
          </w:tcPr>
          <w:p w:rsidR="007150CE" w:rsidRPr="007150CE" w:rsidRDefault="007150CE" w:rsidP="007150CE">
            <w:pPr>
              <w:jc w:val="cente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Euros</w:t>
            </w:r>
          </w:p>
        </w:tc>
      </w:tr>
      <w:tr w:rsidR="007150CE" w:rsidRPr="007150CE" w:rsidTr="007150CE">
        <w:trPr>
          <w:trHeight w:val="240"/>
        </w:trPr>
        <w:tc>
          <w:tcPr>
            <w:tcW w:w="1237" w:type="dxa"/>
            <w:tcBorders>
              <w:top w:val="nil"/>
              <w:left w:val="single" w:sz="8" w:space="0" w:color="auto"/>
              <w:bottom w:val="single" w:sz="8" w:space="0" w:color="auto"/>
              <w:right w:val="nil"/>
            </w:tcBorders>
            <w:shd w:val="clear" w:color="000000" w:fill="CCFFCC"/>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 </w:t>
            </w:r>
          </w:p>
        </w:tc>
        <w:tc>
          <w:tcPr>
            <w:tcW w:w="1237" w:type="dxa"/>
            <w:tcBorders>
              <w:top w:val="nil"/>
              <w:left w:val="nil"/>
              <w:bottom w:val="single" w:sz="8" w:space="0" w:color="auto"/>
              <w:right w:val="nil"/>
            </w:tcBorders>
            <w:shd w:val="clear" w:color="000000" w:fill="CCFFCC"/>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 </w:t>
            </w:r>
          </w:p>
        </w:tc>
        <w:tc>
          <w:tcPr>
            <w:tcW w:w="1200" w:type="dxa"/>
            <w:tcBorders>
              <w:top w:val="nil"/>
              <w:left w:val="nil"/>
              <w:bottom w:val="single" w:sz="8" w:space="0" w:color="auto"/>
              <w:right w:val="single" w:sz="8" w:space="0" w:color="auto"/>
            </w:tcBorders>
            <w:shd w:val="clear" w:color="000000" w:fill="CCFFCC"/>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 </w:t>
            </w:r>
          </w:p>
        </w:tc>
        <w:tc>
          <w:tcPr>
            <w:tcW w:w="1360" w:type="dxa"/>
            <w:tcBorders>
              <w:top w:val="nil"/>
              <w:left w:val="nil"/>
              <w:bottom w:val="single" w:sz="8" w:space="0" w:color="auto"/>
              <w:right w:val="single" w:sz="8" w:space="0" w:color="auto"/>
            </w:tcBorders>
            <w:shd w:val="clear" w:color="000000" w:fill="CCFFCC"/>
            <w:noWrap/>
            <w:vAlign w:val="bottom"/>
            <w:hideMark/>
          </w:tcPr>
          <w:p w:rsidR="007150CE" w:rsidRPr="007150CE" w:rsidRDefault="007150CE" w:rsidP="007150CE">
            <w:pPr>
              <w:jc w:val="cente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2023</w:t>
            </w:r>
          </w:p>
        </w:tc>
        <w:tc>
          <w:tcPr>
            <w:tcW w:w="1360" w:type="dxa"/>
            <w:tcBorders>
              <w:top w:val="nil"/>
              <w:left w:val="nil"/>
              <w:bottom w:val="single" w:sz="8" w:space="0" w:color="auto"/>
              <w:right w:val="single" w:sz="8" w:space="0" w:color="auto"/>
            </w:tcBorders>
            <w:shd w:val="clear" w:color="000000" w:fill="CCFFCC"/>
            <w:noWrap/>
            <w:vAlign w:val="bottom"/>
            <w:hideMark/>
          </w:tcPr>
          <w:p w:rsidR="007150CE" w:rsidRPr="007150CE" w:rsidRDefault="007150CE" w:rsidP="007150CE">
            <w:pPr>
              <w:jc w:val="cente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2022</w:t>
            </w:r>
          </w:p>
        </w:tc>
      </w:tr>
      <w:tr w:rsidR="007150CE" w:rsidRPr="007150CE" w:rsidTr="007150CE">
        <w:trPr>
          <w:trHeight w:val="225"/>
        </w:trPr>
        <w:tc>
          <w:tcPr>
            <w:tcW w:w="2474" w:type="dxa"/>
            <w:gridSpan w:val="2"/>
            <w:tcBorders>
              <w:top w:val="single" w:sz="8" w:space="0" w:color="auto"/>
              <w:left w:val="single" w:sz="8" w:space="0" w:color="auto"/>
              <w:bottom w:val="nil"/>
              <w:right w:val="nil"/>
            </w:tcBorders>
            <w:shd w:val="clear" w:color="auto" w:fill="auto"/>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Diferencias temporarias deducibles:</w:t>
            </w:r>
          </w:p>
        </w:tc>
        <w:tc>
          <w:tcPr>
            <w:tcW w:w="1200" w:type="dxa"/>
            <w:tcBorders>
              <w:top w:val="nil"/>
              <w:left w:val="nil"/>
              <w:bottom w:val="nil"/>
              <w:right w:val="single" w:sz="8" w:space="0" w:color="auto"/>
            </w:tcBorders>
            <w:shd w:val="clear" w:color="auto" w:fill="auto"/>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 </w:t>
            </w:r>
          </w:p>
        </w:tc>
      </w:tr>
      <w:tr w:rsidR="007150CE" w:rsidRPr="007150CE" w:rsidTr="007150CE">
        <w:trPr>
          <w:trHeight w:val="225"/>
        </w:trPr>
        <w:tc>
          <w:tcPr>
            <w:tcW w:w="3674" w:type="dxa"/>
            <w:gridSpan w:val="3"/>
            <w:tcBorders>
              <w:top w:val="nil"/>
              <w:left w:val="single" w:sz="8" w:space="0" w:color="auto"/>
              <w:bottom w:val="nil"/>
              <w:right w:val="single" w:sz="8" w:space="0" w:color="000000"/>
            </w:tcBorders>
            <w:shd w:val="clear" w:color="auto" w:fill="auto"/>
            <w:noWrap/>
            <w:vAlign w:val="bottom"/>
            <w:hideMark/>
          </w:tcPr>
          <w:p w:rsidR="007150CE" w:rsidRPr="007150CE" w:rsidRDefault="007150CE" w:rsidP="007150CE">
            <w:pPr>
              <w:rPr>
                <w:rFonts w:ascii="Lucida Bright" w:hAnsi="Lucida Bright" w:cs="Calibri"/>
                <w:i/>
                <w:iCs/>
                <w:color w:val="000000"/>
                <w:sz w:val="14"/>
                <w:szCs w:val="14"/>
                <w:lang w:val="es-ES"/>
              </w:rPr>
            </w:pPr>
            <w:proofErr w:type="spellStart"/>
            <w:r w:rsidRPr="007150CE">
              <w:rPr>
                <w:rFonts w:ascii="Lucida Bright" w:hAnsi="Lucida Bright" w:cs="Calibri"/>
                <w:i/>
                <w:iCs/>
                <w:color w:val="000000"/>
                <w:sz w:val="14"/>
                <w:szCs w:val="14"/>
                <w:lang w:val="es-ES"/>
              </w:rPr>
              <w:t>Deducc</w:t>
            </w:r>
            <w:proofErr w:type="spellEnd"/>
            <w:r w:rsidRPr="007150CE">
              <w:rPr>
                <w:rFonts w:ascii="Lucida Bright" w:hAnsi="Lucida Bright" w:cs="Calibri"/>
                <w:i/>
                <w:iCs/>
                <w:color w:val="000000"/>
                <w:sz w:val="14"/>
                <w:szCs w:val="14"/>
                <w:lang w:val="es-ES"/>
              </w:rPr>
              <w:t xml:space="preserve"> 30% gastos </w:t>
            </w:r>
            <w:proofErr w:type="spellStart"/>
            <w:r w:rsidRPr="007150CE">
              <w:rPr>
                <w:rFonts w:ascii="Lucida Bright" w:hAnsi="Lucida Bright" w:cs="Calibri"/>
                <w:i/>
                <w:iCs/>
                <w:color w:val="000000"/>
                <w:sz w:val="14"/>
                <w:szCs w:val="14"/>
                <w:lang w:val="es-ES"/>
              </w:rPr>
              <w:t>amortiz</w:t>
            </w:r>
            <w:proofErr w:type="spellEnd"/>
            <w:r w:rsidRPr="007150CE">
              <w:rPr>
                <w:rFonts w:ascii="Lucida Bright" w:hAnsi="Lucida Bright" w:cs="Calibri"/>
                <w:i/>
                <w:iCs/>
                <w:color w:val="000000"/>
                <w:sz w:val="14"/>
                <w:szCs w:val="14"/>
                <w:lang w:val="es-ES"/>
              </w:rPr>
              <w:t xml:space="preserve"> Art 7 L16/2012</w:t>
            </w:r>
          </w:p>
        </w:tc>
        <w:tc>
          <w:tcPr>
            <w:tcW w:w="1360" w:type="dxa"/>
            <w:tcBorders>
              <w:top w:val="nil"/>
              <w:left w:val="nil"/>
              <w:bottom w:val="nil"/>
              <w:right w:val="single" w:sz="8" w:space="0" w:color="auto"/>
            </w:tcBorders>
            <w:shd w:val="clear" w:color="auto" w:fill="auto"/>
            <w:noWrap/>
            <w:vAlign w:val="bottom"/>
            <w:hideMark/>
          </w:tcPr>
          <w:p w:rsidR="007150CE" w:rsidRPr="007150CE" w:rsidRDefault="007150CE" w:rsidP="007150CE">
            <w:pPr>
              <w:jc w:val="right"/>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11.113,13</w:t>
            </w:r>
          </w:p>
        </w:tc>
        <w:tc>
          <w:tcPr>
            <w:tcW w:w="1360" w:type="dxa"/>
            <w:tcBorders>
              <w:top w:val="nil"/>
              <w:left w:val="nil"/>
              <w:bottom w:val="nil"/>
              <w:right w:val="single" w:sz="8" w:space="0" w:color="auto"/>
            </w:tcBorders>
            <w:shd w:val="clear" w:color="auto" w:fill="auto"/>
            <w:noWrap/>
            <w:vAlign w:val="bottom"/>
            <w:hideMark/>
          </w:tcPr>
          <w:p w:rsidR="007150CE" w:rsidRPr="007150CE" w:rsidRDefault="007150CE" w:rsidP="007150CE">
            <w:pPr>
              <w:jc w:val="right"/>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22.226,24</w:t>
            </w:r>
          </w:p>
        </w:tc>
      </w:tr>
      <w:tr w:rsidR="007150CE" w:rsidRPr="007150CE" w:rsidTr="007150CE">
        <w:trPr>
          <w:trHeight w:val="225"/>
        </w:trPr>
        <w:tc>
          <w:tcPr>
            <w:tcW w:w="3674" w:type="dxa"/>
            <w:gridSpan w:val="3"/>
            <w:tcBorders>
              <w:top w:val="nil"/>
              <w:left w:val="single" w:sz="8" w:space="0" w:color="auto"/>
              <w:bottom w:val="nil"/>
              <w:right w:val="single" w:sz="8" w:space="0" w:color="000000"/>
            </w:tcBorders>
            <w:shd w:val="clear" w:color="auto" w:fill="auto"/>
            <w:noWrap/>
            <w:vAlign w:val="bottom"/>
            <w:hideMark/>
          </w:tcPr>
          <w:p w:rsidR="007150CE" w:rsidRPr="007150CE" w:rsidRDefault="007150CE" w:rsidP="007150CE">
            <w:pPr>
              <w:rPr>
                <w:rFonts w:ascii="Lucida Bright" w:hAnsi="Lucida Bright" w:cs="Calibri"/>
                <w:i/>
                <w:iCs/>
                <w:color w:val="000000"/>
                <w:sz w:val="14"/>
                <w:szCs w:val="14"/>
                <w:lang w:val="es-ES"/>
              </w:rPr>
            </w:pPr>
            <w:r w:rsidRPr="007150CE">
              <w:rPr>
                <w:rFonts w:ascii="Lucida Bright" w:hAnsi="Lucida Bright" w:cs="Calibri"/>
                <w:i/>
                <w:iCs/>
                <w:color w:val="000000"/>
                <w:sz w:val="14"/>
                <w:szCs w:val="14"/>
                <w:lang w:val="es-ES"/>
              </w:rPr>
              <w:t xml:space="preserve">Diferencias </w:t>
            </w:r>
            <w:proofErr w:type="spellStart"/>
            <w:r w:rsidRPr="007150CE">
              <w:rPr>
                <w:rFonts w:ascii="Lucida Bright" w:hAnsi="Lucida Bright" w:cs="Calibri"/>
                <w:i/>
                <w:iCs/>
                <w:color w:val="000000"/>
                <w:sz w:val="14"/>
                <w:szCs w:val="14"/>
                <w:lang w:val="es-ES"/>
              </w:rPr>
              <w:t>anortización</w:t>
            </w:r>
            <w:proofErr w:type="spellEnd"/>
            <w:r w:rsidRPr="007150CE">
              <w:rPr>
                <w:rFonts w:ascii="Lucida Bright" w:hAnsi="Lucida Bright" w:cs="Calibri"/>
                <w:i/>
                <w:iCs/>
                <w:color w:val="000000"/>
                <w:sz w:val="14"/>
                <w:szCs w:val="14"/>
                <w:lang w:val="es-ES"/>
              </w:rPr>
              <w:t xml:space="preserve"> contable y fiscal</w:t>
            </w:r>
          </w:p>
        </w:tc>
        <w:tc>
          <w:tcPr>
            <w:tcW w:w="1360" w:type="dxa"/>
            <w:tcBorders>
              <w:top w:val="nil"/>
              <w:left w:val="nil"/>
              <w:bottom w:val="nil"/>
              <w:right w:val="single" w:sz="8" w:space="0" w:color="auto"/>
            </w:tcBorders>
            <w:shd w:val="clear" w:color="auto" w:fill="auto"/>
            <w:noWrap/>
            <w:vAlign w:val="bottom"/>
            <w:hideMark/>
          </w:tcPr>
          <w:p w:rsidR="007150CE" w:rsidRPr="007150CE" w:rsidRDefault="007150CE" w:rsidP="007150CE">
            <w:pPr>
              <w:jc w:val="right"/>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18.165,35</w:t>
            </w:r>
          </w:p>
        </w:tc>
        <w:tc>
          <w:tcPr>
            <w:tcW w:w="1360" w:type="dxa"/>
            <w:tcBorders>
              <w:top w:val="nil"/>
              <w:left w:val="nil"/>
              <w:bottom w:val="nil"/>
              <w:right w:val="single" w:sz="8" w:space="0" w:color="auto"/>
            </w:tcBorders>
            <w:shd w:val="clear" w:color="auto" w:fill="auto"/>
            <w:noWrap/>
            <w:vAlign w:val="bottom"/>
            <w:hideMark/>
          </w:tcPr>
          <w:p w:rsidR="007150CE" w:rsidRPr="007150CE" w:rsidRDefault="007150CE" w:rsidP="007150CE">
            <w:pPr>
              <w:jc w:val="right"/>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18.324,10</w:t>
            </w:r>
          </w:p>
        </w:tc>
      </w:tr>
      <w:tr w:rsidR="007150CE" w:rsidRPr="007150CE" w:rsidTr="007150CE">
        <w:trPr>
          <w:trHeight w:val="225"/>
        </w:trPr>
        <w:tc>
          <w:tcPr>
            <w:tcW w:w="3674" w:type="dxa"/>
            <w:gridSpan w:val="3"/>
            <w:tcBorders>
              <w:top w:val="nil"/>
              <w:left w:val="single" w:sz="8" w:space="0" w:color="auto"/>
              <w:bottom w:val="nil"/>
              <w:right w:val="single" w:sz="8" w:space="0" w:color="000000"/>
            </w:tcBorders>
            <w:shd w:val="clear" w:color="auto" w:fill="auto"/>
            <w:noWrap/>
            <w:vAlign w:val="bottom"/>
            <w:hideMark/>
          </w:tcPr>
          <w:p w:rsidR="007150CE" w:rsidRPr="007150CE" w:rsidRDefault="007150CE" w:rsidP="007150CE">
            <w:pPr>
              <w:rPr>
                <w:rFonts w:ascii="Lucida Bright" w:hAnsi="Lucida Bright" w:cs="Calibri"/>
                <w:i/>
                <w:iCs/>
                <w:color w:val="000000"/>
                <w:sz w:val="14"/>
                <w:szCs w:val="14"/>
                <w:lang w:val="es-ES"/>
              </w:rPr>
            </w:pPr>
            <w:r w:rsidRPr="007150CE">
              <w:rPr>
                <w:rFonts w:ascii="Lucida Bright" w:hAnsi="Lucida Bright" w:cs="Calibri"/>
                <w:i/>
                <w:iCs/>
                <w:color w:val="000000"/>
                <w:sz w:val="14"/>
                <w:szCs w:val="14"/>
                <w:lang w:val="es-ES"/>
              </w:rPr>
              <w:t xml:space="preserve">Por actualizaciones financieras no </w:t>
            </w:r>
            <w:proofErr w:type="spellStart"/>
            <w:r w:rsidRPr="007150CE">
              <w:rPr>
                <w:rFonts w:ascii="Lucida Bright" w:hAnsi="Lucida Bright" w:cs="Calibri"/>
                <w:i/>
                <w:iCs/>
                <w:color w:val="000000"/>
                <w:sz w:val="14"/>
                <w:szCs w:val="14"/>
                <w:lang w:val="es-ES"/>
              </w:rPr>
              <w:t>deducc</w:t>
            </w:r>
            <w:proofErr w:type="spellEnd"/>
          </w:p>
        </w:tc>
        <w:tc>
          <w:tcPr>
            <w:tcW w:w="1360" w:type="dxa"/>
            <w:tcBorders>
              <w:top w:val="nil"/>
              <w:left w:val="nil"/>
              <w:bottom w:val="nil"/>
              <w:right w:val="single" w:sz="8" w:space="0" w:color="auto"/>
            </w:tcBorders>
            <w:shd w:val="clear" w:color="auto" w:fill="auto"/>
            <w:noWrap/>
            <w:vAlign w:val="bottom"/>
            <w:hideMark/>
          </w:tcPr>
          <w:p w:rsidR="007150CE" w:rsidRPr="007150CE" w:rsidRDefault="007150CE" w:rsidP="007150CE">
            <w:pPr>
              <w:jc w:val="right"/>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57.642,02</w:t>
            </w:r>
          </w:p>
        </w:tc>
        <w:tc>
          <w:tcPr>
            <w:tcW w:w="1360" w:type="dxa"/>
            <w:tcBorders>
              <w:top w:val="nil"/>
              <w:left w:val="nil"/>
              <w:bottom w:val="nil"/>
              <w:right w:val="single" w:sz="8" w:space="0" w:color="auto"/>
            </w:tcBorders>
            <w:shd w:val="clear" w:color="auto" w:fill="auto"/>
            <w:noWrap/>
            <w:vAlign w:val="bottom"/>
            <w:hideMark/>
          </w:tcPr>
          <w:p w:rsidR="007150CE" w:rsidRPr="007150CE" w:rsidRDefault="007150CE" w:rsidP="007150CE">
            <w:pPr>
              <w:jc w:val="right"/>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42.129,00</w:t>
            </w:r>
          </w:p>
        </w:tc>
      </w:tr>
      <w:tr w:rsidR="007150CE" w:rsidRPr="007150CE" w:rsidTr="007150CE">
        <w:trPr>
          <w:trHeight w:val="225"/>
        </w:trPr>
        <w:tc>
          <w:tcPr>
            <w:tcW w:w="3674" w:type="dxa"/>
            <w:gridSpan w:val="3"/>
            <w:tcBorders>
              <w:top w:val="nil"/>
              <w:left w:val="single" w:sz="8" w:space="0" w:color="auto"/>
              <w:bottom w:val="nil"/>
              <w:right w:val="single" w:sz="8" w:space="0" w:color="000000"/>
            </w:tcBorders>
            <w:shd w:val="clear" w:color="auto" w:fill="auto"/>
            <w:noWrap/>
            <w:vAlign w:val="bottom"/>
            <w:hideMark/>
          </w:tcPr>
          <w:p w:rsidR="007150CE" w:rsidRPr="007150CE" w:rsidRDefault="007150CE" w:rsidP="007150CE">
            <w:pPr>
              <w:rPr>
                <w:rFonts w:ascii="Lucida Bright" w:hAnsi="Lucida Bright" w:cs="Calibri"/>
                <w:i/>
                <w:iCs/>
                <w:color w:val="000000"/>
                <w:sz w:val="14"/>
                <w:szCs w:val="14"/>
                <w:lang w:val="es-ES"/>
              </w:rPr>
            </w:pPr>
            <w:r w:rsidRPr="007150CE">
              <w:rPr>
                <w:rFonts w:ascii="Lucida Bright" w:hAnsi="Lucida Bright" w:cs="Calibri"/>
                <w:i/>
                <w:iCs/>
                <w:color w:val="000000"/>
                <w:sz w:val="14"/>
                <w:szCs w:val="14"/>
                <w:lang w:val="es-ES"/>
              </w:rPr>
              <w:t>Por Reserva de Capitalización no aplicada</w:t>
            </w:r>
          </w:p>
        </w:tc>
        <w:tc>
          <w:tcPr>
            <w:tcW w:w="1360" w:type="dxa"/>
            <w:tcBorders>
              <w:top w:val="nil"/>
              <w:left w:val="nil"/>
              <w:bottom w:val="nil"/>
              <w:right w:val="single" w:sz="8" w:space="0" w:color="auto"/>
            </w:tcBorders>
            <w:shd w:val="clear" w:color="auto" w:fill="auto"/>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 </w:t>
            </w:r>
          </w:p>
        </w:tc>
      </w:tr>
      <w:tr w:rsidR="007150CE" w:rsidRPr="007150CE" w:rsidTr="007150CE">
        <w:trPr>
          <w:trHeight w:val="225"/>
        </w:trPr>
        <w:tc>
          <w:tcPr>
            <w:tcW w:w="2474" w:type="dxa"/>
            <w:gridSpan w:val="2"/>
            <w:tcBorders>
              <w:top w:val="nil"/>
              <w:left w:val="single" w:sz="8" w:space="0" w:color="auto"/>
              <w:bottom w:val="nil"/>
              <w:right w:val="nil"/>
            </w:tcBorders>
            <w:shd w:val="clear" w:color="auto" w:fill="auto"/>
            <w:noWrap/>
            <w:vAlign w:val="bottom"/>
            <w:hideMark/>
          </w:tcPr>
          <w:p w:rsidR="007150CE" w:rsidRPr="007150CE" w:rsidRDefault="007150CE" w:rsidP="007150CE">
            <w:pPr>
              <w:rPr>
                <w:rFonts w:ascii="Lucida Bright" w:hAnsi="Lucida Bright" w:cs="Calibri"/>
                <w:i/>
                <w:iCs/>
                <w:color w:val="000000"/>
                <w:sz w:val="14"/>
                <w:szCs w:val="14"/>
                <w:lang w:val="es-ES"/>
              </w:rPr>
            </w:pPr>
            <w:r w:rsidRPr="007150CE">
              <w:rPr>
                <w:rFonts w:ascii="Lucida Bright" w:hAnsi="Lucida Bright" w:cs="Calibri"/>
                <w:i/>
                <w:iCs/>
                <w:color w:val="000000"/>
                <w:sz w:val="14"/>
                <w:szCs w:val="14"/>
                <w:lang w:val="es-ES"/>
              </w:rPr>
              <w:t>Por adquisiciones lucrativas</w:t>
            </w:r>
          </w:p>
        </w:tc>
        <w:tc>
          <w:tcPr>
            <w:tcW w:w="1200" w:type="dxa"/>
            <w:tcBorders>
              <w:top w:val="nil"/>
              <w:left w:val="nil"/>
              <w:bottom w:val="nil"/>
              <w:right w:val="single" w:sz="8" w:space="0" w:color="auto"/>
            </w:tcBorders>
            <w:shd w:val="clear" w:color="auto" w:fill="auto"/>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150CE" w:rsidRPr="007150CE" w:rsidRDefault="007150CE" w:rsidP="007150CE">
            <w:pPr>
              <w:jc w:val="right"/>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120.011,20</w:t>
            </w:r>
          </w:p>
        </w:tc>
        <w:tc>
          <w:tcPr>
            <w:tcW w:w="1360" w:type="dxa"/>
            <w:tcBorders>
              <w:top w:val="nil"/>
              <w:left w:val="nil"/>
              <w:bottom w:val="nil"/>
              <w:right w:val="single" w:sz="8" w:space="0" w:color="auto"/>
            </w:tcBorders>
            <w:shd w:val="clear" w:color="auto" w:fill="auto"/>
            <w:noWrap/>
            <w:vAlign w:val="bottom"/>
            <w:hideMark/>
          </w:tcPr>
          <w:p w:rsidR="007150CE" w:rsidRPr="007150CE" w:rsidRDefault="007150CE" w:rsidP="007150CE">
            <w:pPr>
              <w:jc w:val="right"/>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162.637,42</w:t>
            </w:r>
          </w:p>
        </w:tc>
      </w:tr>
      <w:tr w:rsidR="007150CE" w:rsidRPr="007150CE" w:rsidTr="007150CE">
        <w:trPr>
          <w:trHeight w:val="225"/>
        </w:trPr>
        <w:tc>
          <w:tcPr>
            <w:tcW w:w="2474" w:type="dxa"/>
            <w:gridSpan w:val="2"/>
            <w:tcBorders>
              <w:top w:val="nil"/>
              <w:left w:val="single" w:sz="8" w:space="0" w:color="auto"/>
              <w:bottom w:val="nil"/>
              <w:right w:val="nil"/>
            </w:tcBorders>
            <w:shd w:val="clear" w:color="auto" w:fill="auto"/>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Bases Imponibles negativas</w:t>
            </w:r>
          </w:p>
        </w:tc>
        <w:tc>
          <w:tcPr>
            <w:tcW w:w="1200" w:type="dxa"/>
            <w:tcBorders>
              <w:top w:val="nil"/>
              <w:left w:val="nil"/>
              <w:bottom w:val="nil"/>
              <w:right w:val="single" w:sz="8" w:space="0" w:color="auto"/>
            </w:tcBorders>
            <w:shd w:val="clear" w:color="auto" w:fill="auto"/>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 </w:t>
            </w:r>
          </w:p>
        </w:tc>
      </w:tr>
      <w:tr w:rsidR="007150CE" w:rsidRPr="007150CE" w:rsidTr="007150CE">
        <w:trPr>
          <w:trHeight w:val="225"/>
        </w:trPr>
        <w:tc>
          <w:tcPr>
            <w:tcW w:w="2474" w:type="dxa"/>
            <w:gridSpan w:val="2"/>
            <w:tcBorders>
              <w:top w:val="nil"/>
              <w:left w:val="single" w:sz="8" w:space="0" w:color="auto"/>
              <w:bottom w:val="nil"/>
              <w:right w:val="nil"/>
            </w:tcBorders>
            <w:shd w:val="clear" w:color="auto" w:fill="auto"/>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Deducciones pendientes y otros</w:t>
            </w:r>
          </w:p>
        </w:tc>
        <w:tc>
          <w:tcPr>
            <w:tcW w:w="1200" w:type="dxa"/>
            <w:tcBorders>
              <w:top w:val="nil"/>
              <w:left w:val="nil"/>
              <w:bottom w:val="nil"/>
              <w:right w:val="single" w:sz="8" w:space="0" w:color="auto"/>
            </w:tcBorders>
            <w:shd w:val="clear" w:color="auto" w:fill="auto"/>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 </w:t>
            </w:r>
          </w:p>
        </w:tc>
        <w:tc>
          <w:tcPr>
            <w:tcW w:w="1360" w:type="dxa"/>
            <w:tcBorders>
              <w:top w:val="nil"/>
              <w:left w:val="nil"/>
              <w:bottom w:val="nil"/>
              <w:right w:val="single" w:sz="8" w:space="0" w:color="auto"/>
            </w:tcBorders>
            <w:shd w:val="clear" w:color="auto" w:fill="auto"/>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 </w:t>
            </w:r>
          </w:p>
        </w:tc>
      </w:tr>
      <w:tr w:rsidR="007150CE" w:rsidRPr="007150CE" w:rsidTr="007150CE">
        <w:trPr>
          <w:trHeight w:val="240"/>
        </w:trPr>
        <w:tc>
          <w:tcPr>
            <w:tcW w:w="1237" w:type="dxa"/>
            <w:tcBorders>
              <w:top w:val="nil"/>
              <w:left w:val="single" w:sz="8" w:space="0" w:color="auto"/>
              <w:bottom w:val="single" w:sz="8" w:space="0" w:color="auto"/>
              <w:right w:val="nil"/>
            </w:tcBorders>
            <w:shd w:val="clear" w:color="auto" w:fill="auto"/>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 </w:t>
            </w:r>
          </w:p>
        </w:tc>
        <w:tc>
          <w:tcPr>
            <w:tcW w:w="1237" w:type="dxa"/>
            <w:tcBorders>
              <w:top w:val="nil"/>
              <w:left w:val="nil"/>
              <w:bottom w:val="single" w:sz="8" w:space="0" w:color="auto"/>
              <w:right w:val="nil"/>
            </w:tcBorders>
            <w:shd w:val="clear" w:color="auto" w:fill="auto"/>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 </w:t>
            </w:r>
          </w:p>
        </w:tc>
        <w:tc>
          <w:tcPr>
            <w:tcW w:w="1200" w:type="dxa"/>
            <w:tcBorders>
              <w:top w:val="nil"/>
              <w:left w:val="nil"/>
              <w:bottom w:val="single" w:sz="8" w:space="0" w:color="auto"/>
              <w:right w:val="single" w:sz="8" w:space="0" w:color="auto"/>
            </w:tcBorders>
            <w:shd w:val="clear" w:color="auto" w:fill="auto"/>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 </w:t>
            </w:r>
          </w:p>
        </w:tc>
        <w:tc>
          <w:tcPr>
            <w:tcW w:w="1360" w:type="dxa"/>
            <w:tcBorders>
              <w:top w:val="nil"/>
              <w:left w:val="nil"/>
              <w:bottom w:val="single" w:sz="8" w:space="0" w:color="auto"/>
              <w:right w:val="single" w:sz="8" w:space="0" w:color="auto"/>
            </w:tcBorders>
            <w:shd w:val="clear" w:color="auto" w:fill="auto"/>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 </w:t>
            </w:r>
          </w:p>
        </w:tc>
        <w:tc>
          <w:tcPr>
            <w:tcW w:w="1360" w:type="dxa"/>
            <w:tcBorders>
              <w:top w:val="nil"/>
              <w:left w:val="nil"/>
              <w:bottom w:val="single" w:sz="8" w:space="0" w:color="auto"/>
              <w:right w:val="single" w:sz="8" w:space="0" w:color="auto"/>
            </w:tcBorders>
            <w:shd w:val="clear" w:color="auto" w:fill="auto"/>
            <w:noWrap/>
            <w:vAlign w:val="bottom"/>
            <w:hideMark/>
          </w:tcPr>
          <w:p w:rsidR="007150CE" w:rsidRPr="007150CE" w:rsidRDefault="007150CE" w:rsidP="007150CE">
            <w:pPr>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 </w:t>
            </w:r>
          </w:p>
        </w:tc>
      </w:tr>
      <w:tr w:rsidR="007150CE" w:rsidRPr="007150CE" w:rsidTr="007150CE">
        <w:trPr>
          <w:trHeight w:val="240"/>
        </w:trPr>
        <w:tc>
          <w:tcPr>
            <w:tcW w:w="367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150CE" w:rsidRPr="007150CE" w:rsidRDefault="007150CE" w:rsidP="007150CE">
            <w:pPr>
              <w:jc w:val="center"/>
              <w:rPr>
                <w:rFonts w:ascii="Lucida Bright" w:hAnsi="Lucida Bright" w:cs="Calibri"/>
                <w:b/>
                <w:bCs/>
                <w:color w:val="000000"/>
                <w:sz w:val="14"/>
                <w:szCs w:val="14"/>
                <w:lang w:val="es-ES"/>
              </w:rPr>
            </w:pPr>
            <w:r w:rsidRPr="007150CE">
              <w:rPr>
                <w:rFonts w:ascii="Lucida Bright" w:hAnsi="Lucida Bright" w:cs="Calibri"/>
                <w:b/>
                <w:bCs/>
                <w:color w:val="000000"/>
                <w:sz w:val="14"/>
                <w:szCs w:val="14"/>
                <w:lang w:val="es-ES"/>
              </w:rPr>
              <w:t>Total activos por impuesto diferido</w:t>
            </w:r>
          </w:p>
        </w:tc>
        <w:tc>
          <w:tcPr>
            <w:tcW w:w="1360" w:type="dxa"/>
            <w:tcBorders>
              <w:top w:val="nil"/>
              <w:left w:val="nil"/>
              <w:bottom w:val="single" w:sz="8" w:space="0" w:color="auto"/>
              <w:right w:val="single" w:sz="8" w:space="0" w:color="auto"/>
            </w:tcBorders>
            <w:shd w:val="clear" w:color="auto" w:fill="auto"/>
            <w:noWrap/>
            <w:vAlign w:val="center"/>
            <w:hideMark/>
          </w:tcPr>
          <w:p w:rsidR="007150CE" w:rsidRPr="007150CE" w:rsidRDefault="007150CE" w:rsidP="007150CE">
            <w:pPr>
              <w:jc w:val="right"/>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206.931,70</w:t>
            </w:r>
          </w:p>
        </w:tc>
        <w:tc>
          <w:tcPr>
            <w:tcW w:w="1360" w:type="dxa"/>
            <w:tcBorders>
              <w:top w:val="nil"/>
              <w:left w:val="nil"/>
              <w:bottom w:val="single" w:sz="8" w:space="0" w:color="auto"/>
              <w:right w:val="single" w:sz="8" w:space="0" w:color="auto"/>
            </w:tcBorders>
            <w:shd w:val="clear" w:color="auto" w:fill="auto"/>
            <w:noWrap/>
            <w:vAlign w:val="center"/>
            <w:hideMark/>
          </w:tcPr>
          <w:p w:rsidR="007150CE" w:rsidRPr="007150CE" w:rsidRDefault="007150CE" w:rsidP="007150CE">
            <w:pPr>
              <w:jc w:val="right"/>
              <w:rPr>
                <w:rFonts w:ascii="Lucida Bright" w:hAnsi="Lucida Bright" w:cs="Calibri"/>
                <w:color w:val="000000"/>
                <w:sz w:val="14"/>
                <w:szCs w:val="14"/>
                <w:lang w:val="es-ES"/>
              </w:rPr>
            </w:pPr>
            <w:r w:rsidRPr="007150CE">
              <w:rPr>
                <w:rFonts w:ascii="Lucida Bright" w:hAnsi="Lucida Bright" w:cs="Calibri"/>
                <w:color w:val="000000"/>
                <w:sz w:val="14"/>
                <w:szCs w:val="14"/>
                <w:lang w:val="es-ES"/>
              </w:rPr>
              <w:t>245.316,76</w:t>
            </w:r>
          </w:p>
        </w:tc>
      </w:tr>
    </w:tbl>
    <w:p w:rsidR="00576038" w:rsidRPr="007C68BE" w:rsidRDefault="00576038">
      <w:pPr>
        <w:tabs>
          <w:tab w:val="right" w:pos="8364"/>
        </w:tabs>
        <w:ind w:firstLine="540"/>
        <w:jc w:val="both"/>
        <w:rPr>
          <w:rFonts w:ascii="NewBaskerville" w:hAnsi="NewBaskerville"/>
          <w:bCs/>
        </w:rPr>
      </w:pPr>
    </w:p>
    <w:p w:rsidR="006C0EE0" w:rsidRDefault="006C0EE0">
      <w:pPr>
        <w:tabs>
          <w:tab w:val="right" w:pos="8364"/>
        </w:tabs>
        <w:ind w:firstLine="540"/>
        <w:jc w:val="both"/>
        <w:rPr>
          <w:bCs/>
        </w:rPr>
      </w:pPr>
    </w:p>
    <w:p w:rsidR="00964DBB" w:rsidRPr="007C68BE" w:rsidRDefault="00964DBB">
      <w:pPr>
        <w:tabs>
          <w:tab w:val="right" w:pos="8364"/>
        </w:tabs>
        <w:ind w:firstLine="540"/>
        <w:jc w:val="both"/>
        <w:rPr>
          <w:rFonts w:ascii="NewBaskerville" w:hAnsi="NewBaskerville"/>
          <w:bCs/>
        </w:rPr>
      </w:pPr>
      <w:r w:rsidRPr="007C68BE">
        <w:rPr>
          <w:rFonts w:ascii="NewBaskerville" w:hAnsi="NewBaskerville"/>
          <w:bCs/>
        </w:rPr>
        <w:t xml:space="preserve">Los activos por impuesto diferido </w:t>
      </w:r>
      <w:proofErr w:type="gramStart"/>
      <w:r w:rsidRPr="007C68BE">
        <w:rPr>
          <w:rFonts w:ascii="NewBaskerville" w:hAnsi="NewBaskerville"/>
          <w:bCs/>
        </w:rPr>
        <w:t>indicados</w:t>
      </w:r>
      <w:proofErr w:type="gramEnd"/>
      <w:r w:rsidRPr="007C68BE">
        <w:rPr>
          <w:rFonts w:ascii="NewBaskerville" w:hAnsi="NewBaskerville"/>
          <w:bCs/>
        </w:rPr>
        <w:t xml:space="preserve"> anteriormente han sido registrados en el balance de situación por</w:t>
      </w:r>
      <w:r w:rsidR="005A503C" w:rsidRPr="007C68BE">
        <w:rPr>
          <w:rFonts w:ascii="NewBaskerville" w:hAnsi="NewBaskerville"/>
          <w:bCs/>
        </w:rPr>
        <w:t xml:space="preserve"> considerar la AP</w:t>
      </w:r>
      <w:r w:rsidR="00A861CC">
        <w:rPr>
          <w:rFonts w:ascii="NewBaskerville" w:hAnsi="NewBaskerville"/>
          <w:bCs/>
        </w:rPr>
        <w:t>B</w:t>
      </w:r>
      <w:r w:rsidR="005A503C" w:rsidRPr="007C68BE">
        <w:rPr>
          <w:rFonts w:ascii="NewBaskerville" w:hAnsi="NewBaskerville"/>
          <w:bCs/>
        </w:rPr>
        <w:t xml:space="preserve"> que, conforme a la mejor estimación sobre los resultados futuros de la </w:t>
      </w:r>
      <w:r w:rsidR="00A861CC">
        <w:rPr>
          <w:rFonts w:ascii="NewBaskerville" w:hAnsi="NewBaskerville"/>
          <w:bCs/>
        </w:rPr>
        <w:t>misma</w:t>
      </w:r>
      <w:r w:rsidR="005A503C" w:rsidRPr="007C68BE">
        <w:rPr>
          <w:rFonts w:ascii="NewBaskerville" w:hAnsi="NewBaskerville"/>
          <w:bCs/>
        </w:rPr>
        <w:t xml:space="preserve">, incluyendo determinadas actuaciones de planificación fiscal, es probable que </w:t>
      </w:r>
      <w:r w:rsidR="003F24D6" w:rsidRPr="007C68BE">
        <w:rPr>
          <w:rFonts w:ascii="NewBaskerville" w:hAnsi="NewBaskerville"/>
          <w:bCs/>
        </w:rPr>
        <w:t>dichos</w:t>
      </w:r>
      <w:r w:rsidR="005A503C" w:rsidRPr="007C68BE">
        <w:rPr>
          <w:rFonts w:ascii="NewBaskerville" w:hAnsi="NewBaskerville"/>
          <w:bCs/>
        </w:rPr>
        <w:t xml:space="preserve"> activos sean recuperados.</w:t>
      </w:r>
    </w:p>
    <w:p w:rsidR="0010198F" w:rsidRDefault="0010198F">
      <w:pPr>
        <w:tabs>
          <w:tab w:val="right" w:pos="8364"/>
        </w:tabs>
        <w:ind w:firstLine="540"/>
        <w:jc w:val="both"/>
        <w:rPr>
          <w:bCs/>
          <w:u w:val="single"/>
        </w:rPr>
      </w:pPr>
    </w:p>
    <w:p w:rsidR="005A503C" w:rsidRPr="007C68BE" w:rsidRDefault="005A503C">
      <w:pPr>
        <w:tabs>
          <w:tab w:val="right" w:pos="8364"/>
        </w:tabs>
        <w:ind w:firstLine="540"/>
        <w:jc w:val="both"/>
        <w:rPr>
          <w:rFonts w:ascii="NewBaskerville" w:hAnsi="NewBaskerville"/>
          <w:bCs/>
        </w:rPr>
      </w:pPr>
      <w:r w:rsidRPr="007C68BE">
        <w:rPr>
          <w:rFonts w:ascii="NewBaskerville" w:hAnsi="NewBaskerville"/>
          <w:bCs/>
          <w:u w:val="single"/>
        </w:rPr>
        <w:t>Activos por impuesto diferido no registrados.</w:t>
      </w:r>
    </w:p>
    <w:p w:rsidR="005A503C" w:rsidRPr="007C68BE" w:rsidRDefault="005A503C">
      <w:pPr>
        <w:tabs>
          <w:tab w:val="right" w:pos="8364"/>
        </w:tabs>
        <w:ind w:firstLine="540"/>
        <w:jc w:val="both"/>
        <w:rPr>
          <w:rFonts w:ascii="NewBaskerville" w:hAnsi="NewBaskerville"/>
          <w:bCs/>
        </w:rPr>
      </w:pPr>
    </w:p>
    <w:p w:rsidR="005A503C" w:rsidRDefault="005A503C">
      <w:pPr>
        <w:tabs>
          <w:tab w:val="right" w:pos="8364"/>
        </w:tabs>
        <w:ind w:firstLine="540"/>
        <w:jc w:val="both"/>
        <w:rPr>
          <w:rFonts w:ascii="NewBaskerville" w:hAnsi="NewBaskerville"/>
          <w:bCs/>
        </w:rPr>
      </w:pPr>
      <w:r w:rsidRPr="007C68BE">
        <w:rPr>
          <w:rFonts w:ascii="NewBaskerville" w:hAnsi="NewBaskerville"/>
          <w:bCs/>
        </w:rPr>
        <w:t>La Autoridad Portuaria no ha registrado en el balance de situación determinados activos por impuesto diferido. Al considerar que su compensación futura no cumple, o cumplía, con los requisitos de probabilidad previstos en la norma contable.</w:t>
      </w:r>
    </w:p>
    <w:p w:rsidR="007C68BE" w:rsidRPr="007C68BE" w:rsidRDefault="007C68BE">
      <w:pPr>
        <w:tabs>
          <w:tab w:val="right" w:pos="8364"/>
        </w:tabs>
        <w:ind w:firstLine="540"/>
        <w:jc w:val="both"/>
        <w:rPr>
          <w:rFonts w:ascii="NewBaskerville" w:hAnsi="NewBaskerville"/>
          <w:bCs/>
        </w:rPr>
      </w:pPr>
    </w:p>
    <w:p w:rsidR="005A503C" w:rsidRPr="007C68BE" w:rsidRDefault="005A503C">
      <w:pPr>
        <w:tabs>
          <w:tab w:val="right" w:pos="8364"/>
        </w:tabs>
        <w:ind w:firstLine="540"/>
        <w:jc w:val="both"/>
        <w:rPr>
          <w:rFonts w:ascii="NewBaskerville" w:hAnsi="NewBaskerville"/>
          <w:bCs/>
        </w:rPr>
      </w:pPr>
      <w:r w:rsidRPr="007C68BE">
        <w:rPr>
          <w:rFonts w:ascii="NewBaskerville" w:hAnsi="NewBaskerville"/>
          <w:bCs/>
        </w:rPr>
        <w:t>El detalle de dichos activos no registrados es el siguiente:</w:t>
      </w:r>
    </w:p>
    <w:p w:rsidR="005A503C" w:rsidRDefault="005A503C">
      <w:pPr>
        <w:tabs>
          <w:tab w:val="right" w:pos="8364"/>
        </w:tabs>
        <w:ind w:firstLine="540"/>
        <w:jc w:val="both"/>
        <w:rPr>
          <w:bCs/>
        </w:rPr>
      </w:pPr>
    </w:p>
    <w:p w:rsidR="007B24DE" w:rsidRDefault="007B24DE">
      <w:pPr>
        <w:tabs>
          <w:tab w:val="right" w:pos="8364"/>
        </w:tabs>
        <w:ind w:firstLine="540"/>
        <w:jc w:val="both"/>
        <w:rPr>
          <w:rFonts w:ascii="NewBaskerville" w:hAnsi="NewBaskerville"/>
          <w:bCs/>
        </w:rPr>
      </w:pPr>
    </w:p>
    <w:p w:rsidR="007B24DE" w:rsidRDefault="007B24DE">
      <w:pPr>
        <w:tabs>
          <w:tab w:val="right" w:pos="8364"/>
        </w:tabs>
        <w:ind w:firstLine="540"/>
        <w:jc w:val="both"/>
        <w:rPr>
          <w:rFonts w:ascii="NewBaskerville" w:hAnsi="NewBaskerville"/>
          <w:bCs/>
        </w:rPr>
      </w:pPr>
    </w:p>
    <w:p w:rsidR="005A503C" w:rsidRDefault="005A503C">
      <w:pPr>
        <w:tabs>
          <w:tab w:val="right" w:pos="8364"/>
        </w:tabs>
        <w:ind w:firstLine="540"/>
        <w:jc w:val="both"/>
        <w:rPr>
          <w:bCs/>
        </w:rPr>
      </w:pPr>
      <w:r w:rsidRPr="00185A81">
        <w:rPr>
          <w:rFonts w:ascii="NewBaskerville" w:hAnsi="NewBaskerville"/>
          <w:bCs/>
        </w:rPr>
        <w:t>Ejercicio 202</w:t>
      </w:r>
      <w:r w:rsidR="007131C1">
        <w:rPr>
          <w:rFonts w:ascii="NewBaskerville" w:hAnsi="NewBaskerville"/>
          <w:bCs/>
        </w:rPr>
        <w:t>3</w:t>
      </w:r>
      <w:r>
        <w:rPr>
          <w:bCs/>
        </w:rPr>
        <w:t>.</w:t>
      </w:r>
    </w:p>
    <w:p w:rsidR="005F35CD" w:rsidRDefault="005F35CD">
      <w:pPr>
        <w:tabs>
          <w:tab w:val="right" w:pos="8364"/>
        </w:tabs>
        <w:ind w:firstLine="540"/>
        <w:jc w:val="both"/>
        <w:rPr>
          <w:bCs/>
        </w:rPr>
      </w:pPr>
    </w:p>
    <w:p w:rsidR="00C82D5D" w:rsidRDefault="00C82D5D">
      <w:pPr>
        <w:tabs>
          <w:tab w:val="right" w:pos="8364"/>
        </w:tabs>
        <w:ind w:firstLine="540"/>
        <w:jc w:val="both"/>
        <w:rPr>
          <w:bCs/>
        </w:rPr>
      </w:pPr>
    </w:p>
    <w:tbl>
      <w:tblPr>
        <w:tblW w:w="0" w:type="auto"/>
        <w:tblInd w:w="55" w:type="dxa"/>
        <w:tblCellMar>
          <w:left w:w="70" w:type="dxa"/>
          <w:right w:w="70" w:type="dxa"/>
        </w:tblCellMar>
        <w:tblLook w:val="04A0" w:firstRow="1" w:lastRow="0" w:firstColumn="1" w:lastColumn="0" w:noHBand="0" w:noVBand="1"/>
      </w:tblPr>
      <w:tblGrid>
        <w:gridCol w:w="1636"/>
        <w:gridCol w:w="1635"/>
        <w:gridCol w:w="434"/>
        <w:gridCol w:w="2066"/>
        <w:gridCol w:w="1926"/>
      </w:tblGrid>
      <w:tr w:rsidR="007131C1" w:rsidRPr="007131C1" w:rsidTr="007131C1">
        <w:trPr>
          <w:trHeight w:val="240"/>
        </w:trPr>
        <w:tc>
          <w:tcPr>
            <w:tcW w:w="0" w:type="auto"/>
            <w:gridSpan w:val="5"/>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b/>
                <w:bCs/>
                <w:color w:val="000000"/>
                <w:sz w:val="16"/>
                <w:szCs w:val="16"/>
                <w:lang w:val="es-ES"/>
              </w:rPr>
            </w:pPr>
            <w:r w:rsidRPr="007131C1">
              <w:rPr>
                <w:rFonts w:ascii="Lucida Bright" w:hAnsi="Lucida Bright" w:cs="Calibri"/>
                <w:b/>
                <w:bCs/>
                <w:color w:val="000000"/>
                <w:sz w:val="16"/>
                <w:szCs w:val="16"/>
                <w:lang w:val="es-ES"/>
              </w:rPr>
              <w:t>Ejercicio 2023. Activos por impuesto diferido no registrados</w:t>
            </w:r>
          </w:p>
        </w:tc>
      </w:tr>
      <w:tr w:rsidR="007131C1" w:rsidRPr="007131C1" w:rsidTr="007131C1">
        <w:trPr>
          <w:trHeight w:val="240"/>
        </w:trPr>
        <w:tc>
          <w:tcPr>
            <w:tcW w:w="0" w:type="auto"/>
            <w:tcBorders>
              <w:top w:val="single" w:sz="8" w:space="0" w:color="auto"/>
              <w:left w:val="single" w:sz="8" w:space="0" w:color="auto"/>
              <w:bottom w:val="nil"/>
              <w:right w:val="nil"/>
            </w:tcBorders>
            <w:shd w:val="clear" w:color="000000" w:fill="CCFFCC"/>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single" w:sz="8" w:space="0" w:color="auto"/>
              <w:left w:val="nil"/>
              <w:bottom w:val="nil"/>
              <w:right w:val="nil"/>
            </w:tcBorders>
            <w:shd w:val="clear" w:color="000000" w:fill="CCFFCC"/>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single" w:sz="8" w:space="0" w:color="auto"/>
              <w:left w:val="nil"/>
              <w:bottom w:val="nil"/>
              <w:right w:val="single" w:sz="8" w:space="0" w:color="auto"/>
            </w:tcBorders>
            <w:shd w:val="clear" w:color="000000" w:fill="CCFFCC"/>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single" w:sz="8" w:space="0" w:color="auto"/>
              <w:left w:val="nil"/>
              <w:bottom w:val="single" w:sz="8" w:space="0" w:color="auto"/>
              <w:right w:val="nil"/>
            </w:tcBorders>
            <w:shd w:val="clear" w:color="000000" w:fill="CCFFCC"/>
            <w:noWrap/>
            <w:vAlign w:val="center"/>
            <w:hideMark/>
          </w:tcPr>
          <w:p w:rsidR="007131C1" w:rsidRPr="007131C1" w:rsidRDefault="007131C1" w:rsidP="007131C1">
            <w:pPr>
              <w:jc w:val="center"/>
              <w:rPr>
                <w:rFonts w:ascii="Lucida Bright" w:hAnsi="Lucida Bright" w:cs="Calibri"/>
                <w:b/>
                <w:bCs/>
                <w:color w:val="000000"/>
                <w:sz w:val="14"/>
                <w:szCs w:val="14"/>
                <w:lang w:val="es-ES"/>
              </w:rPr>
            </w:pPr>
            <w:r w:rsidRPr="007131C1">
              <w:rPr>
                <w:rFonts w:ascii="Lucida Bright" w:hAnsi="Lucida Bright" w:cs="Calibri"/>
                <w:b/>
                <w:bCs/>
                <w:color w:val="000000"/>
                <w:sz w:val="14"/>
                <w:szCs w:val="14"/>
                <w:lang w:val="es-ES"/>
              </w:rPr>
              <w:t>Euros</w:t>
            </w:r>
          </w:p>
        </w:tc>
        <w:tc>
          <w:tcPr>
            <w:tcW w:w="0" w:type="auto"/>
            <w:tcBorders>
              <w:top w:val="single" w:sz="8" w:space="0" w:color="auto"/>
              <w:left w:val="single" w:sz="8" w:space="0" w:color="auto"/>
              <w:bottom w:val="single" w:sz="8" w:space="0" w:color="auto"/>
              <w:right w:val="single" w:sz="8" w:space="0" w:color="auto"/>
            </w:tcBorders>
            <w:shd w:val="clear" w:color="000000" w:fill="CCFFCC"/>
            <w:noWrap/>
            <w:vAlign w:val="center"/>
            <w:hideMark/>
          </w:tcPr>
          <w:p w:rsidR="007131C1" w:rsidRPr="007131C1" w:rsidRDefault="007131C1" w:rsidP="007131C1">
            <w:pPr>
              <w:jc w:val="center"/>
              <w:rPr>
                <w:rFonts w:ascii="Lucida Bright" w:hAnsi="Lucida Bright" w:cs="Calibri"/>
                <w:b/>
                <w:bCs/>
                <w:color w:val="000000"/>
                <w:sz w:val="14"/>
                <w:szCs w:val="14"/>
                <w:lang w:val="es-ES"/>
              </w:rPr>
            </w:pPr>
            <w:r w:rsidRPr="007131C1">
              <w:rPr>
                <w:rFonts w:ascii="Lucida Bright" w:hAnsi="Lucida Bright" w:cs="Calibri"/>
                <w:b/>
                <w:bCs/>
                <w:color w:val="000000"/>
                <w:sz w:val="14"/>
                <w:szCs w:val="14"/>
                <w:lang w:val="es-ES"/>
              </w:rPr>
              <w:t>Vencimiento</w:t>
            </w:r>
          </w:p>
        </w:tc>
      </w:tr>
      <w:tr w:rsidR="007131C1" w:rsidRPr="007131C1" w:rsidTr="007131C1">
        <w:trPr>
          <w:trHeight w:val="225"/>
        </w:trPr>
        <w:tc>
          <w:tcPr>
            <w:tcW w:w="0" w:type="auto"/>
            <w:gridSpan w:val="2"/>
            <w:tcBorders>
              <w:top w:val="single" w:sz="8" w:space="0" w:color="auto"/>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Diferencias temporarias deducibles:</w:t>
            </w:r>
          </w:p>
        </w:tc>
        <w:tc>
          <w:tcPr>
            <w:tcW w:w="0" w:type="auto"/>
            <w:tcBorders>
              <w:top w:val="single" w:sz="8" w:space="0" w:color="auto"/>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0" w:type="auto"/>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i/>
                <w:iCs/>
                <w:color w:val="000000"/>
                <w:sz w:val="14"/>
                <w:szCs w:val="14"/>
                <w:lang w:val="es-ES"/>
              </w:rPr>
            </w:pPr>
            <w:r w:rsidRPr="007131C1">
              <w:rPr>
                <w:rFonts w:ascii="Lucida Bright" w:hAnsi="Lucida Bright" w:cs="Calibri"/>
                <w:i/>
                <w:iCs/>
                <w:color w:val="000000"/>
                <w:sz w:val="14"/>
                <w:szCs w:val="14"/>
                <w:lang w:val="es-ES"/>
              </w:rPr>
              <w:t> </w:t>
            </w:r>
          </w:p>
        </w:tc>
        <w:tc>
          <w:tcPr>
            <w:tcW w:w="0" w:type="auto"/>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0" w:type="auto"/>
            <w:gridSpan w:val="2"/>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Bases Imponibles negativas</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0" w:type="auto"/>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0" w:type="auto"/>
            <w:gridSpan w:val="2"/>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Deducciones pendientes y otros</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7.272.114,96</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225"/>
        </w:trPr>
        <w:tc>
          <w:tcPr>
            <w:tcW w:w="0" w:type="auto"/>
            <w:gridSpan w:val="2"/>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Deducciones pendientes y otros</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4.870.243,10</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225"/>
        </w:trPr>
        <w:tc>
          <w:tcPr>
            <w:tcW w:w="0" w:type="auto"/>
            <w:gridSpan w:val="2"/>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Deducciones pendientes y otros</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4.523.896,61</w:t>
            </w:r>
          </w:p>
        </w:tc>
        <w:tc>
          <w:tcPr>
            <w:tcW w:w="0" w:type="auto"/>
            <w:tcBorders>
              <w:top w:val="nil"/>
              <w:left w:val="nil"/>
              <w:bottom w:val="nil"/>
              <w:right w:val="single" w:sz="8" w:space="0" w:color="auto"/>
            </w:tcBorders>
            <w:shd w:val="clear" w:color="auto" w:fill="auto"/>
            <w:noWrap/>
            <w:vAlign w:val="bottom"/>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225"/>
        </w:trPr>
        <w:tc>
          <w:tcPr>
            <w:tcW w:w="0" w:type="auto"/>
            <w:gridSpan w:val="2"/>
            <w:tcBorders>
              <w:top w:val="nil"/>
              <w:left w:val="single" w:sz="8" w:space="0" w:color="auto"/>
              <w:bottom w:val="single" w:sz="8" w:space="0" w:color="auto"/>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Deducciones pendientes y otros</w:t>
            </w:r>
          </w:p>
        </w:tc>
        <w:tc>
          <w:tcPr>
            <w:tcW w:w="0" w:type="auto"/>
            <w:tcBorders>
              <w:top w:val="nil"/>
              <w:left w:val="nil"/>
              <w:bottom w:val="single" w:sz="8" w:space="0" w:color="auto"/>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0" w:type="auto"/>
            <w:tcBorders>
              <w:top w:val="nil"/>
              <w:left w:val="nil"/>
              <w:bottom w:val="single" w:sz="8" w:space="0" w:color="auto"/>
              <w:right w:val="single" w:sz="8" w:space="0" w:color="auto"/>
            </w:tcBorders>
            <w:shd w:val="clear" w:color="auto" w:fill="auto"/>
            <w:noWrap/>
            <w:vAlign w:val="bottom"/>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15.697.248,40</w:t>
            </w:r>
          </w:p>
        </w:tc>
        <w:tc>
          <w:tcPr>
            <w:tcW w:w="0" w:type="auto"/>
            <w:tcBorders>
              <w:top w:val="nil"/>
              <w:left w:val="nil"/>
              <w:bottom w:val="single" w:sz="8" w:space="0" w:color="auto"/>
              <w:right w:val="single" w:sz="8" w:space="0" w:color="auto"/>
            </w:tcBorders>
            <w:shd w:val="clear" w:color="auto" w:fill="auto"/>
            <w:noWrap/>
            <w:vAlign w:val="bottom"/>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225"/>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131C1" w:rsidRPr="007131C1" w:rsidRDefault="007131C1" w:rsidP="007131C1">
            <w:pPr>
              <w:jc w:val="center"/>
              <w:rPr>
                <w:rFonts w:ascii="Lucida Bright" w:hAnsi="Lucida Bright" w:cs="Calibri"/>
                <w:b/>
                <w:bCs/>
                <w:color w:val="000000"/>
                <w:sz w:val="14"/>
                <w:szCs w:val="14"/>
                <w:lang w:val="es-ES"/>
              </w:rPr>
            </w:pPr>
            <w:r w:rsidRPr="007131C1">
              <w:rPr>
                <w:rFonts w:ascii="Lucida Bright" w:hAnsi="Lucida Bright" w:cs="Calibri"/>
                <w:b/>
                <w:bCs/>
                <w:color w:val="000000"/>
                <w:sz w:val="14"/>
                <w:szCs w:val="14"/>
                <w:lang w:val="es-ES"/>
              </w:rPr>
              <w:t>Total activos por impuesto diferido no registrados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32.363.503,07</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31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rsidR="007131C1" w:rsidRPr="007131C1" w:rsidRDefault="007131C1" w:rsidP="007131C1">
            <w:pPr>
              <w:rPr>
                <w:rFonts w:ascii="Lucida Bright" w:hAnsi="Lucida Bright" w:cs="Calibri"/>
                <w:b/>
                <w:bCs/>
                <w:color w:val="000000"/>
                <w:sz w:val="14"/>
                <w:szCs w:val="14"/>
                <w:lang w:val="es-ES"/>
              </w:rPr>
            </w:pPr>
          </w:p>
        </w:tc>
        <w:tc>
          <w:tcPr>
            <w:tcW w:w="0" w:type="auto"/>
            <w:vMerge/>
            <w:tcBorders>
              <w:top w:val="nil"/>
              <w:left w:val="single" w:sz="8" w:space="0" w:color="auto"/>
              <w:bottom w:val="single" w:sz="8" w:space="0" w:color="000000"/>
              <w:right w:val="single" w:sz="8" w:space="0" w:color="auto"/>
            </w:tcBorders>
            <w:vAlign w:val="center"/>
            <w:hideMark/>
          </w:tcPr>
          <w:p w:rsidR="007131C1" w:rsidRPr="007131C1" w:rsidRDefault="007131C1" w:rsidP="007131C1">
            <w:pPr>
              <w:rPr>
                <w:rFonts w:ascii="Lucida Bright" w:hAnsi="Lucida Bright" w:cs="Calibri"/>
                <w:color w:val="000000"/>
                <w:sz w:val="14"/>
                <w:szCs w:val="14"/>
                <w:lang w:val="es-ES"/>
              </w:rPr>
            </w:pPr>
          </w:p>
        </w:tc>
        <w:tc>
          <w:tcPr>
            <w:tcW w:w="0" w:type="auto"/>
            <w:vMerge/>
            <w:tcBorders>
              <w:top w:val="nil"/>
              <w:left w:val="single" w:sz="8" w:space="0" w:color="auto"/>
              <w:bottom w:val="single" w:sz="8" w:space="0" w:color="000000"/>
              <w:right w:val="single" w:sz="8" w:space="0" w:color="auto"/>
            </w:tcBorders>
            <w:vAlign w:val="center"/>
            <w:hideMark/>
          </w:tcPr>
          <w:p w:rsidR="007131C1" w:rsidRPr="007131C1" w:rsidRDefault="007131C1" w:rsidP="007131C1">
            <w:pPr>
              <w:rPr>
                <w:rFonts w:ascii="Lucida Bright" w:hAnsi="Lucida Bright" w:cs="Calibri"/>
                <w:color w:val="000000"/>
                <w:sz w:val="14"/>
                <w:szCs w:val="14"/>
                <w:lang w:val="es-ES"/>
              </w:rPr>
            </w:pPr>
          </w:p>
        </w:tc>
      </w:tr>
    </w:tbl>
    <w:p w:rsidR="00C82D5D" w:rsidRDefault="00C82D5D">
      <w:pPr>
        <w:tabs>
          <w:tab w:val="right" w:pos="8364"/>
        </w:tabs>
        <w:ind w:firstLine="540"/>
        <w:jc w:val="both"/>
        <w:rPr>
          <w:bCs/>
        </w:rPr>
      </w:pPr>
    </w:p>
    <w:p w:rsidR="007B24DE" w:rsidRDefault="007B24DE">
      <w:pPr>
        <w:tabs>
          <w:tab w:val="right" w:pos="8364"/>
        </w:tabs>
        <w:ind w:firstLine="540"/>
        <w:jc w:val="both"/>
        <w:rPr>
          <w:rFonts w:ascii="NewBaskerville" w:hAnsi="NewBaskerville"/>
          <w:bCs/>
        </w:rPr>
      </w:pPr>
    </w:p>
    <w:p w:rsidR="007B24DE" w:rsidRDefault="007B24DE">
      <w:pPr>
        <w:tabs>
          <w:tab w:val="right" w:pos="8364"/>
        </w:tabs>
        <w:ind w:firstLine="540"/>
        <w:jc w:val="both"/>
        <w:rPr>
          <w:rFonts w:ascii="NewBaskerville" w:hAnsi="NewBaskerville"/>
          <w:bCs/>
        </w:rPr>
      </w:pPr>
    </w:p>
    <w:p w:rsidR="007B24DE" w:rsidRDefault="007B24DE">
      <w:pPr>
        <w:tabs>
          <w:tab w:val="right" w:pos="8364"/>
        </w:tabs>
        <w:ind w:firstLine="540"/>
        <w:jc w:val="both"/>
        <w:rPr>
          <w:rFonts w:ascii="NewBaskerville" w:hAnsi="NewBaskerville"/>
          <w:bCs/>
        </w:rPr>
      </w:pPr>
    </w:p>
    <w:p w:rsidR="00185A81" w:rsidRDefault="005A503C">
      <w:pPr>
        <w:tabs>
          <w:tab w:val="right" w:pos="8364"/>
        </w:tabs>
        <w:ind w:firstLine="540"/>
        <w:jc w:val="both"/>
        <w:rPr>
          <w:rFonts w:ascii="NewBaskerville" w:hAnsi="NewBaskerville"/>
          <w:bCs/>
        </w:rPr>
      </w:pPr>
      <w:r w:rsidRPr="00185A81">
        <w:rPr>
          <w:rFonts w:ascii="NewBaskerville" w:hAnsi="NewBaskerville"/>
          <w:bCs/>
        </w:rPr>
        <w:lastRenderedPageBreak/>
        <w:t>Ejercicio 20</w:t>
      </w:r>
      <w:r w:rsidR="007131C1">
        <w:rPr>
          <w:rFonts w:ascii="NewBaskerville" w:hAnsi="NewBaskerville"/>
          <w:bCs/>
        </w:rPr>
        <w:t>22</w:t>
      </w:r>
    </w:p>
    <w:p w:rsidR="005F35CD" w:rsidRDefault="005F35CD">
      <w:pPr>
        <w:tabs>
          <w:tab w:val="right" w:pos="8364"/>
        </w:tabs>
        <w:ind w:firstLine="540"/>
        <w:jc w:val="both"/>
        <w:rPr>
          <w:bCs/>
        </w:rPr>
      </w:pPr>
    </w:p>
    <w:tbl>
      <w:tblPr>
        <w:tblW w:w="0" w:type="auto"/>
        <w:tblInd w:w="55" w:type="dxa"/>
        <w:tblCellMar>
          <w:left w:w="70" w:type="dxa"/>
          <w:right w:w="70" w:type="dxa"/>
        </w:tblCellMar>
        <w:tblLook w:val="04A0" w:firstRow="1" w:lastRow="0" w:firstColumn="1" w:lastColumn="0" w:noHBand="0" w:noVBand="1"/>
      </w:tblPr>
      <w:tblGrid>
        <w:gridCol w:w="1636"/>
        <w:gridCol w:w="1635"/>
        <w:gridCol w:w="434"/>
        <w:gridCol w:w="2066"/>
        <w:gridCol w:w="1926"/>
      </w:tblGrid>
      <w:tr w:rsidR="007B24DE" w:rsidRPr="007B24DE" w:rsidTr="007B24DE">
        <w:trPr>
          <w:trHeight w:val="240"/>
        </w:trPr>
        <w:tc>
          <w:tcPr>
            <w:tcW w:w="0" w:type="auto"/>
            <w:gridSpan w:val="5"/>
            <w:tcBorders>
              <w:top w:val="nil"/>
              <w:left w:val="nil"/>
              <w:bottom w:val="nil"/>
              <w:right w:val="nil"/>
            </w:tcBorders>
            <w:shd w:val="clear" w:color="auto" w:fill="auto"/>
            <w:noWrap/>
            <w:vAlign w:val="bottom"/>
            <w:hideMark/>
          </w:tcPr>
          <w:p w:rsidR="007B24DE" w:rsidRPr="007B24DE" w:rsidRDefault="007B24DE" w:rsidP="007B24DE">
            <w:pPr>
              <w:rPr>
                <w:rFonts w:ascii="Lucida Bright" w:hAnsi="Lucida Bright" w:cs="Calibri"/>
                <w:b/>
                <w:bCs/>
                <w:color w:val="000000"/>
                <w:sz w:val="16"/>
                <w:szCs w:val="16"/>
                <w:lang w:val="es-ES"/>
              </w:rPr>
            </w:pPr>
            <w:r w:rsidRPr="007B24DE">
              <w:rPr>
                <w:rFonts w:ascii="Lucida Bright" w:hAnsi="Lucida Bright" w:cs="Calibri"/>
                <w:b/>
                <w:bCs/>
                <w:color w:val="000000"/>
                <w:sz w:val="16"/>
                <w:szCs w:val="16"/>
                <w:lang w:val="es-ES"/>
              </w:rPr>
              <w:t>Ejercicio 2022. Activos por impuesto diferido no registrados</w:t>
            </w:r>
          </w:p>
        </w:tc>
      </w:tr>
      <w:tr w:rsidR="007B24DE" w:rsidRPr="007B24DE" w:rsidTr="007B24DE">
        <w:trPr>
          <w:trHeight w:val="240"/>
        </w:trPr>
        <w:tc>
          <w:tcPr>
            <w:tcW w:w="0" w:type="auto"/>
            <w:tcBorders>
              <w:top w:val="single" w:sz="8" w:space="0" w:color="auto"/>
              <w:left w:val="single" w:sz="8" w:space="0" w:color="auto"/>
              <w:bottom w:val="nil"/>
              <w:right w:val="nil"/>
            </w:tcBorders>
            <w:shd w:val="clear" w:color="000000" w:fill="CCFFCC"/>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c>
          <w:tcPr>
            <w:tcW w:w="0" w:type="auto"/>
            <w:tcBorders>
              <w:top w:val="single" w:sz="8" w:space="0" w:color="auto"/>
              <w:left w:val="nil"/>
              <w:bottom w:val="nil"/>
              <w:right w:val="nil"/>
            </w:tcBorders>
            <w:shd w:val="clear" w:color="000000" w:fill="CCFFCC"/>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c>
          <w:tcPr>
            <w:tcW w:w="0" w:type="auto"/>
            <w:tcBorders>
              <w:top w:val="single" w:sz="8" w:space="0" w:color="auto"/>
              <w:left w:val="nil"/>
              <w:bottom w:val="nil"/>
              <w:right w:val="single" w:sz="8" w:space="0" w:color="auto"/>
            </w:tcBorders>
            <w:shd w:val="clear" w:color="000000" w:fill="CCFFCC"/>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c>
          <w:tcPr>
            <w:tcW w:w="0" w:type="auto"/>
            <w:tcBorders>
              <w:top w:val="single" w:sz="8" w:space="0" w:color="auto"/>
              <w:left w:val="nil"/>
              <w:bottom w:val="single" w:sz="8" w:space="0" w:color="auto"/>
              <w:right w:val="nil"/>
            </w:tcBorders>
            <w:shd w:val="clear" w:color="000000" w:fill="CCFFCC"/>
            <w:noWrap/>
            <w:vAlign w:val="center"/>
            <w:hideMark/>
          </w:tcPr>
          <w:p w:rsidR="007B24DE" w:rsidRPr="007B24DE" w:rsidRDefault="007B24DE" w:rsidP="007B24DE">
            <w:pPr>
              <w:jc w:val="center"/>
              <w:rPr>
                <w:rFonts w:ascii="Lucida Bright" w:hAnsi="Lucida Bright" w:cs="Calibri"/>
                <w:b/>
                <w:bCs/>
                <w:color w:val="000000"/>
                <w:sz w:val="14"/>
                <w:szCs w:val="14"/>
                <w:lang w:val="es-ES"/>
              </w:rPr>
            </w:pPr>
            <w:r w:rsidRPr="007B24DE">
              <w:rPr>
                <w:rFonts w:ascii="Lucida Bright" w:hAnsi="Lucida Bright" w:cs="Calibri"/>
                <w:b/>
                <w:bCs/>
                <w:color w:val="000000"/>
                <w:sz w:val="14"/>
                <w:szCs w:val="14"/>
                <w:lang w:val="es-ES"/>
              </w:rPr>
              <w:t>Euros</w:t>
            </w:r>
          </w:p>
        </w:tc>
        <w:tc>
          <w:tcPr>
            <w:tcW w:w="0" w:type="auto"/>
            <w:tcBorders>
              <w:top w:val="single" w:sz="8" w:space="0" w:color="auto"/>
              <w:left w:val="single" w:sz="8" w:space="0" w:color="auto"/>
              <w:bottom w:val="single" w:sz="8" w:space="0" w:color="auto"/>
              <w:right w:val="single" w:sz="8" w:space="0" w:color="auto"/>
            </w:tcBorders>
            <w:shd w:val="clear" w:color="000000" w:fill="CCFFCC"/>
            <w:noWrap/>
            <w:vAlign w:val="center"/>
            <w:hideMark/>
          </w:tcPr>
          <w:p w:rsidR="007B24DE" w:rsidRPr="007B24DE" w:rsidRDefault="007B24DE" w:rsidP="007B24DE">
            <w:pPr>
              <w:jc w:val="center"/>
              <w:rPr>
                <w:rFonts w:ascii="Lucida Bright" w:hAnsi="Lucida Bright" w:cs="Calibri"/>
                <w:b/>
                <w:bCs/>
                <w:color w:val="000000"/>
                <w:sz w:val="14"/>
                <w:szCs w:val="14"/>
                <w:lang w:val="es-ES"/>
              </w:rPr>
            </w:pPr>
            <w:r w:rsidRPr="007B24DE">
              <w:rPr>
                <w:rFonts w:ascii="Lucida Bright" w:hAnsi="Lucida Bright" w:cs="Calibri"/>
                <w:b/>
                <w:bCs/>
                <w:color w:val="000000"/>
                <w:sz w:val="14"/>
                <w:szCs w:val="14"/>
                <w:lang w:val="es-ES"/>
              </w:rPr>
              <w:t>Vencimiento</w:t>
            </w:r>
          </w:p>
        </w:tc>
      </w:tr>
      <w:tr w:rsidR="007B24DE" w:rsidRPr="007B24DE" w:rsidTr="007B24DE">
        <w:trPr>
          <w:trHeight w:val="225"/>
        </w:trPr>
        <w:tc>
          <w:tcPr>
            <w:tcW w:w="0" w:type="auto"/>
            <w:gridSpan w:val="2"/>
            <w:tcBorders>
              <w:top w:val="single" w:sz="8" w:space="0" w:color="auto"/>
              <w:left w:val="single" w:sz="8" w:space="0" w:color="auto"/>
              <w:bottom w:val="nil"/>
              <w:right w:val="nil"/>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Diferencias temporarias deducibles:</w:t>
            </w:r>
          </w:p>
        </w:tc>
        <w:tc>
          <w:tcPr>
            <w:tcW w:w="0" w:type="auto"/>
            <w:tcBorders>
              <w:top w:val="single" w:sz="8" w:space="0" w:color="auto"/>
              <w:left w:val="nil"/>
              <w:bottom w:val="nil"/>
              <w:right w:val="single" w:sz="8" w:space="0" w:color="auto"/>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r>
      <w:tr w:rsidR="007B24DE" w:rsidRPr="007B24DE" w:rsidTr="007B24DE">
        <w:trPr>
          <w:trHeight w:val="225"/>
        </w:trPr>
        <w:tc>
          <w:tcPr>
            <w:tcW w:w="0" w:type="auto"/>
            <w:tcBorders>
              <w:top w:val="nil"/>
              <w:left w:val="single" w:sz="8" w:space="0" w:color="auto"/>
              <w:bottom w:val="nil"/>
              <w:right w:val="nil"/>
            </w:tcBorders>
            <w:shd w:val="clear" w:color="auto" w:fill="auto"/>
            <w:noWrap/>
            <w:vAlign w:val="bottom"/>
            <w:hideMark/>
          </w:tcPr>
          <w:p w:rsidR="007B24DE" w:rsidRPr="007B24DE" w:rsidRDefault="007B24DE" w:rsidP="007B24DE">
            <w:pPr>
              <w:rPr>
                <w:rFonts w:ascii="Lucida Bright" w:hAnsi="Lucida Bright" w:cs="Calibri"/>
                <w:i/>
                <w:iCs/>
                <w:color w:val="000000"/>
                <w:sz w:val="14"/>
                <w:szCs w:val="14"/>
                <w:lang w:val="es-ES"/>
              </w:rPr>
            </w:pPr>
            <w:r w:rsidRPr="007B24DE">
              <w:rPr>
                <w:rFonts w:ascii="Lucida Bright" w:hAnsi="Lucida Bright" w:cs="Calibri"/>
                <w:i/>
                <w:iCs/>
                <w:color w:val="000000"/>
                <w:sz w:val="14"/>
                <w:szCs w:val="14"/>
                <w:lang w:val="es-ES"/>
              </w:rPr>
              <w:t> </w:t>
            </w:r>
          </w:p>
        </w:tc>
        <w:tc>
          <w:tcPr>
            <w:tcW w:w="0" w:type="auto"/>
            <w:tcBorders>
              <w:top w:val="nil"/>
              <w:left w:val="nil"/>
              <w:bottom w:val="nil"/>
              <w:right w:val="nil"/>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p>
        </w:tc>
        <w:tc>
          <w:tcPr>
            <w:tcW w:w="0" w:type="auto"/>
            <w:tcBorders>
              <w:top w:val="nil"/>
              <w:left w:val="nil"/>
              <w:bottom w:val="nil"/>
              <w:right w:val="single" w:sz="8" w:space="0" w:color="auto"/>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r>
      <w:tr w:rsidR="007B24DE" w:rsidRPr="007B24DE" w:rsidTr="007B24DE">
        <w:trPr>
          <w:trHeight w:val="225"/>
        </w:trPr>
        <w:tc>
          <w:tcPr>
            <w:tcW w:w="0" w:type="auto"/>
            <w:gridSpan w:val="2"/>
            <w:tcBorders>
              <w:top w:val="nil"/>
              <w:left w:val="single" w:sz="8" w:space="0" w:color="auto"/>
              <w:bottom w:val="nil"/>
              <w:right w:val="nil"/>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Bases Imponibles negativas</w:t>
            </w:r>
          </w:p>
        </w:tc>
        <w:tc>
          <w:tcPr>
            <w:tcW w:w="0" w:type="auto"/>
            <w:tcBorders>
              <w:top w:val="nil"/>
              <w:left w:val="nil"/>
              <w:bottom w:val="nil"/>
              <w:right w:val="single" w:sz="8" w:space="0" w:color="auto"/>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r>
      <w:tr w:rsidR="007B24DE" w:rsidRPr="007B24DE" w:rsidTr="007B24DE">
        <w:trPr>
          <w:trHeight w:val="225"/>
        </w:trPr>
        <w:tc>
          <w:tcPr>
            <w:tcW w:w="0" w:type="auto"/>
            <w:tcBorders>
              <w:top w:val="nil"/>
              <w:left w:val="single" w:sz="8" w:space="0" w:color="auto"/>
              <w:bottom w:val="nil"/>
              <w:right w:val="nil"/>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c>
          <w:tcPr>
            <w:tcW w:w="0" w:type="auto"/>
            <w:tcBorders>
              <w:top w:val="nil"/>
              <w:left w:val="nil"/>
              <w:bottom w:val="nil"/>
              <w:right w:val="nil"/>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p>
        </w:tc>
        <w:tc>
          <w:tcPr>
            <w:tcW w:w="0" w:type="auto"/>
            <w:tcBorders>
              <w:top w:val="nil"/>
              <w:left w:val="nil"/>
              <w:bottom w:val="nil"/>
              <w:right w:val="single" w:sz="8" w:space="0" w:color="auto"/>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r>
      <w:tr w:rsidR="007B24DE" w:rsidRPr="007B24DE" w:rsidTr="007B24DE">
        <w:trPr>
          <w:trHeight w:val="225"/>
        </w:trPr>
        <w:tc>
          <w:tcPr>
            <w:tcW w:w="0" w:type="auto"/>
            <w:gridSpan w:val="2"/>
            <w:tcBorders>
              <w:top w:val="nil"/>
              <w:left w:val="single" w:sz="8" w:space="0" w:color="auto"/>
              <w:bottom w:val="nil"/>
              <w:right w:val="nil"/>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Deducciones pendientes y otros</w:t>
            </w:r>
          </w:p>
        </w:tc>
        <w:tc>
          <w:tcPr>
            <w:tcW w:w="0" w:type="auto"/>
            <w:tcBorders>
              <w:top w:val="nil"/>
              <w:left w:val="nil"/>
              <w:bottom w:val="nil"/>
              <w:right w:val="single" w:sz="8" w:space="0" w:color="auto"/>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B24DE" w:rsidRPr="007B24DE" w:rsidRDefault="007B24DE" w:rsidP="007B24DE">
            <w:pPr>
              <w:jc w:val="cente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7.367.913,28</w:t>
            </w:r>
          </w:p>
        </w:tc>
        <w:tc>
          <w:tcPr>
            <w:tcW w:w="0" w:type="auto"/>
            <w:tcBorders>
              <w:top w:val="nil"/>
              <w:left w:val="nil"/>
              <w:bottom w:val="nil"/>
              <w:right w:val="single" w:sz="8" w:space="0" w:color="auto"/>
            </w:tcBorders>
            <w:shd w:val="clear" w:color="auto" w:fill="auto"/>
            <w:noWrap/>
            <w:vAlign w:val="bottom"/>
            <w:hideMark/>
          </w:tcPr>
          <w:p w:rsidR="007B24DE" w:rsidRPr="007B24DE" w:rsidRDefault="007B24DE" w:rsidP="007B24DE">
            <w:pPr>
              <w:jc w:val="cente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31/12/2035</w:t>
            </w:r>
          </w:p>
        </w:tc>
      </w:tr>
      <w:tr w:rsidR="007B24DE" w:rsidRPr="007B24DE" w:rsidTr="007B24DE">
        <w:trPr>
          <w:trHeight w:val="225"/>
        </w:trPr>
        <w:tc>
          <w:tcPr>
            <w:tcW w:w="0" w:type="auto"/>
            <w:gridSpan w:val="2"/>
            <w:tcBorders>
              <w:top w:val="nil"/>
              <w:left w:val="single" w:sz="8" w:space="0" w:color="auto"/>
              <w:bottom w:val="nil"/>
              <w:right w:val="nil"/>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Deducciones pendientes y otros</w:t>
            </w:r>
          </w:p>
        </w:tc>
        <w:tc>
          <w:tcPr>
            <w:tcW w:w="0" w:type="auto"/>
            <w:tcBorders>
              <w:top w:val="nil"/>
              <w:left w:val="nil"/>
              <w:bottom w:val="nil"/>
              <w:right w:val="single" w:sz="8" w:space="0" w:color="auto"/>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B24DE" w:rsidRPr="007B24DE" w:rsidRDefault="007B24DE" w:rsidP="007B24DE">
            <w:pPr>
              <w:jc w:val="cente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4.870.243,10</w:t>
            </w:r>
          </w:p>
        </w:tc>
        <w:tc>
          <w:tcPr>
            <w:tcW w:w="0" w:type="auto"/>
            <w:tcBorders>
              <w:top w:val="nil"/>
              <w:left w:val="nil"/>
              <w:bottom w:val="nil"/>
              <w:right w:val="single" w:sz="8" w:space="0" w:color="auto"/>
            </w:tcBorders>
            <w:shd w:val="clear" w:color="auto" w:fill="auto"/>
            <w:noWrap/>
            <w:vAlign w:val="bottom"/>
            <w:hideMark/>
          </w:tcPr>
          <w:p w:rsidR="007B24DE" w:rsidRPr="007B24DE" w:rsidRDefault="007B24DE" w:rsidP="007B24DE">
            <w:pPr>
              <w:jc w:val="cente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31/12/2036</w:t>
            </w:r>
          </w:p>
        </w:tc>
      </w:tr>
      <w:tr w:rsidR="007B24DE" w:rsidRPr="007B24DE" w:rsidTr="007B24DE">
        <w:trPr>
          <w:trHeight w:val="225"/>
        </w:trPr>
        <w:tc>
          <w:tcPr>
            <w:tcW w:w="0" w:type="auto"/>
            <w:gridSpan w:val="2"/>
            <w:tcBorders>
              <w:top w:val="nil"/>
              <w:left w:val="single" w:sz="8" w:space="0" w:color="auto"/>
              <w:bottom w:val="nil"/>
              <w:right w:val="nil"/>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Deducciones pendientes y otros</w:t>
            </w:r>
          </w:p>
        </w:tc>
        <w:tc>
          <w:tcPr>
            <w:tcW w:w="0" w:type="auto"/>
            <w:tcBorders>
              <w:top w:val="nil"/>
              <w:left w:val="nil"/>
              <w:bottom w:val="nil"/>
              <w:right w:val="single" w:sz="8" w:space="0" w:color="auto"/>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7B24DE" w:rsidRPr="007B24DE" w:rsidRDefault="007B24DE" w:rsidP="007B24DE">
            <w:pPr>
              <w:jc w:val="cente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4.523.896,61</w:t>
            </w:r>
          </w:p>
        </w:tc>
        <w:tc>
          <w:tcPr>
            <w:tcW w:w="0" w:type="auto"/>
            <w:tcBorders>
              <w:top w:val="nil"/>
              <w:left w:val="nil"/>
              <w:bottom w:val="nil"/>
              <w:right w:val="single" w:sz="8" w:space="0" w:color="auto"/>
            </w:tcBorders>
            <w:shd w:val="clear" w:color="auto" w:fill="auto"/>
            <w:noWrap/>
            <w:vAlign w:val="bottom"/>
            <w:hideMark/>
          </w:tcPr>
          <w:p w:rsidR="007B24DE" w:rsidRPr="007B24DE" w:rsidRDefault="007B24DE" w:rsidP="007B24DE">
            <w:pPr>
              <w:jc w:val="cente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31/12/2037</w:t>
            </w:r>
          </w:p>
        </w:tc>
      </w:tr>
      <w:tr w:rsidR="007B24DE" w:rsidRPr="007B24DE" w:rsidTr="007B24DE">
        <w:trPr>
          <w:trHeight w:val="240"/>
        </w:trPr>
        <w:tc>
          <w:tcPr>
            <w:tcW w:w="0" w:type="auto"/>
            <w:tcBorders>
              <w:top w:val="nil"/>
              <w:left w:val="single" w:sz="8" w:space="0" w:color="auto"/>
              <w:bottom w:val="single" w:sz="8" w:space="0" w:color="auto"/>
              <w:right w:val="nil"/>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c>
          <w:tcPr>
            <w:tcW w:w="0" w:type="auto"/>
            <w:tcBorders>
              <w:top w:val="nil"/>
              <w:left w:val="nil"/>
              <w:bottom w:val="single" w:sz="8" w:space="0" w:color="auto"/>
              <w:right w:val="nil"/>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c>
          <w:tcPr>
            <w:tcW w:w="0" w:type="auto"/>
            <w:tcBorders>
              <w:top w:val="nil"/>
              <w:left w:val="nil"/>
              <w:bottom w:val="single" w:sz="8" w:space="0" w:color="auto"/>
              <w:right w:val="single" w:sz="8" w:space="0" w:color="auto"/>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c>
          <w:tcPr>
            <w:tcW w:w="0" w:type="auto"/>
            <w:tcBorders>
              <w:top w:val="nil"/>
              <w:left w:val="nil"/>
              <w:bottom w:val="single" w:sz="8" w:space="0" w:color="auto"/>
              <w:right w:val="single" w:sz="8" w:space="0" w:color="auto"/>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c>
          <w:tcPr>
            <w:tcW w:w="0" w:type="auto"/>
            <w:tcBorders>
              <w:top w:val="nil"/>
              <w:left w:val="nil"/>
              <w:bottom w:val="single" w:sz="8" w:space="0" w:color="auto"/>
              <w:right w:val="single" w:sz="8" w:space="0" w:color="auto"/>
            </w:tcBorders>
            <w:shd w:val="clear" w:color="auto" w:fill="auto"/>
            <w:noWrap/>
            <w:vAlign w:val="bottom"/>
            <w:hideMark/>
          </w:tcPr>
          <w:p w:rsidR="007B24DE" w:rsidRPr="007B24DE" w:rsidRDefault="007B24DE" w:rsidP="007B24DE">
            <w:pP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r>
      <w:tr w:rsidR="007B24DE" w:rsidRPr="007B24DE" w:rsidTr="007B24DE">
        <w:trPr>
          <w:trHeight w:val="225"/>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B24DE" w:rsidRPr="007B24DE" w:rsidRDefault="007B24DE" w:rsidP="007B24DE">
            <w:pPr>
              <w:jc w:val="center"/>
              <w:rPr>
                <w:rFonts w:ascii="Lucida Bright" w:hAnsi="Lucida Bright" w:cs="Calibri"/>
                <w:b/>
                <w:bCs/>
                <w:color w:val="000000"/>
                <w:sz w:val="14"/>
                <w:szCs w:val="14"/>
                <w:lang w:val="es-ES"/>
              </w:rPr>
            </w:pPr>
            <w:r w:rsidRPr="007B24DE">
              <w:rPr>
                <w:rFonts w:ascii="Lucida Bright" w:hAnsi="Lucida Bright" w:cs="Calibri"/>
                <w:b/>
                <w:bCs/>
                <w:color w:val="000000"/>
                <w:sz w:val="14"/>
                <w:szCs w:val="14"/>
                <w:lang w:val="es-ES"/>
              </w:rPr>
              <w:t>Total activos por impuesto diferido no registrados</w:t>
            </w:r>
          </w:p>
        </w:tc>
        <w:tc>
          <w:tcPr>
            <w:tcW w:w="0" w:type="auto"/>
            <w:vMerge w:val="restart"/>
            <w:tcBorders>
              <w:top w:val="nil"/>
              <w:left w:val="single" w:sz="8" w:space="0" w:color="auto"/>
              <w:bottom w:val="single" w:sz="8" w:space="0" w:color="000000"/>
              <w:right w:val="nil"/>
            </w:tcBorders>
            <w:shd w:val="clear" w:color="auto" w:fill="auto"/>
            <w:vAlign w:val="center"/>
            <w:hideMark/>
          </w:tcPr>
          <w:p w:rsidR="007B24DE" w:rsidRPr="007B24DE" w:rsidRDefault="007B24DE" w:rsidP="007B24DE">
            <w:pPr>
              <w:jc w:val="cente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16.762.052,99</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7B24DE" w:rsidRPr="007B24DE" w:rsidRDefault="007B24DE" w:rsidP="007B24DE">
            <w:pPr>
              <w:jc w:val="center"/>
              <w:rPr>
                <w:rFonts w:ascii="Lucida Bright" w:hAnsi="Lucida Bright" w:cs="Calibri"/>
                <w:color w:val="000000"/>
                <w:sz w:val="14"/>
                <w:szCs w:val="14"/>
                <w:lang w:val="es-ES"/>
              </w:rPr>
            </w:pPr>
            <w:r w:rsidRPr="007B24DE">
              <w:rPr>
                <w:rFonts w:ascii="Lucida Bright" w:hAnsi="Lucida Bright" w:cs="Calibri"/>
                <w:color w:val="000000"/>
                <w:sz w:val="14"/>
                <w:szCs w:val="14"/>
                <w:lang w:val="es-ES"/>
              </w:rPr>
              <w:t> </w:t>
            </w:r>
          </w:p>
        </w:tc>
      </w:tr>
      <w:tr w:rsidR="007B24DE" w:rsidRPr="007B24DE" w:rsidTr="007B24DE">
        <w:trPr>
          <w:trHeight w:val="24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rsidR="007B24DE" w:rsidRPr="007B24DE" w:rsidRDefault="007B24DE" w:rsidP="007B24DE">
            <w:pPr>
              <w:rPr>
                <w:rFonts w:ascii="Lucida Bright" w:hAnsi="Lucida Bright" w:cs="Calibri"/>
                <w:b/>
                <w:bCs/>
                <w:color w:val="000000"/>
                <w:sz w:val="14"/>
                <w:szCs w:val="14"/>
                <w:lang w:val="es-ES"/>
              </w:rPr>
            </w:pPr>
          </w:p>
        </w:tc>
        <w:tc>
          <w:tcPr>
            <w:tcW w:w="0" w:type="auto"/>
            <w:vMerge/>
            <w:tcBorders>
              <w:top w:val="nil"/>
              <w:left w:val="single" w:sz="8" w:space="0" w:color="auto"/>
              <w:bottom w:val="single" w:sz="8" w:space="0" w:color="000000"/>
              <w:right w:val="nil"/>
            </w:tcBorders>
            <w:vAlign w:val="center"/>
            <w:hideMark/>
          </w:tcPr>
          <w:p w:rsidR="007B24DE" w:rsidRPr="007B24DE" w:rsidRDefault="007B24DE" w:rsidP="007B24DE">
            <w:pPr>
              <w:rPr>
                <w:rFonts w:ascii="Lucida Bright" w:hAnsi="Lucida Bright" w:cs="Calibri"/>
                <w:color w:val="000000"/>
                <w:sz w:val="14"/>
                <w:szCs w:val="14"/>
                <w:lang w:val="es-ES"/>
              </w:rPr>
            </w:pPr>
          </w:p>
        </w:tc>
        <w:tc>
          <w:tcPr>
            <w:tcW w:w="0" w:type="auto"/>
            <w:vMerge/>
            <w:tcBorders>
              <w:top w:val="nil"/>
              <w:left w:val="single" w:sz="8" w:space="0" w:color="auto"/>
              <w:bottom w:val="single" w:sz="8" w:space="0" w:color="000000"/>
              <w:right w:val="single" w:sz="8" w:space="0" w:color="auto"/>
            </w:tcBorders>
            <w:vAlign w:val="center"/>
            <w:hideMark/>
          </w:tcPr>
          <w:p w:rsidR="007B24DE" w:rsidRPr="007B24DE" w:rsidRDefault="007B24DE" w:rsidP="007B24DE">
            <w:pPr>
              <w:rPr>
                <w:rFonts w:ascii="Lucida Bright" w:hAnsi="Lucida Bright" w:cs="Calibri"/>
                <w:color w:val="000000"/>
                <w:sz w:val="14"/>
                <w:szCs w:val="14"/>
                <w:lang w:val="es-ES"/>
              </w:rPr>
            </w:pPr>
          </w:p>
        </w:tc>
      </w:tr>
    </w:tbl>
    <w:p w:rsidR="005A503C" w:rsidRDefault="005A503C" w:rsidP="003C1CA3">
      <w:pPr>
        <w:tabs>
          <w:tab w:val="right" w:pos="8364"/>
        </w:tabs>
        <w:jc w:val="both"/>
        <w:rPr>
          <w:bCs/>
        </w:rPr>
      </w:pPr>
    </w:p>
    <w:p w:rsidR="003C1CA3" w:rsidRDefault="003C1CA3">
      <w:pPr>
        <w:tabs>
          <w:tab w:val="right" w:pos="8364"/>
        </w:tabs>
        <w:ind w:firstLine="540"/>
        <w:jc w:val="both"/>
        <w:rPr>
          <w:bCs/>
        </w:rPr>
      </w:pPr>
    </w:p>
    <w:p w:rsidR="003C1CA3" w:rsidRDefault="003C1CA3">
      <w:pPr>
        <w:tabs>
          <w:tab w:val="right" w:pos="8364"/>
        </w:tabs>
        <w:ind w:firstLine="540"/>
        <w:jc w:val="both"/>
        <w:rPr>
          <w:bCs/>
        </w:rPr>
      </w:pPr>
    </w:p>
    <w:p w:rsidR="00E0015A" w:rsidRPr="00185A81" w:rsidRDefault="005A503C" w:rsidP="00E0015A">
      <w:pPr>
        <w:tabs>
          <w:tab w:val="right" w:pos="8364"/>
        </w:tabs>
        <w:ind w:firstLine="540"/>
        <w:jc w:val="both"/>
        <w:rPr>
          <w:rFonts w:ascii="NewBaskerville" w:hAnsi="NewBaskerville"/>
          <w:bCs/>
          <w:noProof/>
          <w:lang w:val="es-ES"/>
        </w:rPr>
      </w:pPr>
      <w:r w:rsidRPr="00185A81">
        <w:rPr>
          <w:rFonts w:ascii="NewBaskerville" w:hAnsi="NewBaskerville"/>
          <w:bCs/>
        </w:rPr>
        <w:t>Al cierre del ejercicio 202</w:t>
      </w:r>
      <w:r w:rsidR="007B24DE">
        <w:rPr>
          <w:rFonts w:ascii="NewBaskerville" w:hAnsi="NewBaskerville"/>
          <w:bCs/>
        </w:rPr>
        <w:t>3</w:t>
      </w:r>
      <w:r w:rsidRPr="00185A81">
        <w:rPr>
          <w:rFonts w:ascii="NewBaskerville" w:hAnsi="NewBaskerville"/>
          <w:bCs/>
        </w:rPr>
        <w:t>, el vencimiento de las deducciones pendientes de tomar no registradas en</w:t>
      </w:r>
      <w:r w:rsidR="00E0015A" w:rsidRPr="00185A81">
        <w:rPr>
          <w:rFonts w:ascii="NewBaskerville" w:hAnsi="NewBaskerville"/>
          <w:bCs/>
        </w:rPr>
        <w:t xml:space="preserve"> </w:t>
      </w:r>
      <w:r w:rsidRPr="00185A81">
        <w:rPr>
          <w:rFonts w:ascii="NewBaskerville" w:hAnsi="NewBaskerville"/>
          <w:bCs/>
        </w:rPr>
        <w:t>el balance de situación era el siguiente:</w:t>
      </w:r>
    </w:p>
    <w:p w:rsidR="003C1CA3" w:rsidRDefault="003C1CA3" w:rsidP="00E0015A">
      <w:pPr>
        <w:tabs>
          <w:tab w:val="right" w:pos="8364"/>
        </w:tabs>
        <w:ind w:firstLine="540"/>
        <w:jc w:val="both"/>
        <w:rPr>
          <w:bCs/>
        </w:rPr>
      </w:pPr>
    </w:p>
    <w:p w:rsidR="003C1CA3" w:rsidRDefault="003C1CA3" w:rsidP="00BD6CD8">
      <w:pPr>
        <w:tabs>
          <w:tab w:val="right" w:pos="8364"/>
        </w:tabs>
        <w:jc w:val="both"/>
        <w:rPr>
          <w:bCs/>
        </w:rPr>
      </w:pPr>
    </w:p>
    <w:p w:rsidR="003C1CA3" w:rsidRDefault="003C1CA3">
      <w:pPr>
        <w:tabs>
          <w:tab w:val="right" w:pos="8364"/>
        </w:tabs>
        <w:ind w:firstLine="540"/>
        <w:jc w:val="both"/>
        <w:rPr>
          <w:bCs/>
          <w:noProof/>
          <w:lang w:val="es-ES"/>
        </w:rPr>
      </w:pPr>
    </w:p>
    <w:tbl>
      <w:tblPr>
        <w:tblW w:w="5042" w:type="pct"/>
        <w:tblCellMar>
          <w:left w:w="70" w:type="dxa"/>
          <w:right w:w="70" w:type="dxa"/>
        </w:tblCellMar>
        <w:tblLook w:val="04A0" w:firstRow="1" w:lastRow="0" w:firstColumn="1" w:lastColumn="0" w:noHBand="0" w:noVBand="1"/>
      </w:tblPr>
      <w:tblGrid>
        <w:gridCol w:w="1397"/>
        <w:gridCol w:w="1301"/>
        <w:gridCol w:w="1293"/>
        <w:gridCol w:w="1287"/>
        <w:gridCol w:w="943"/>
        <w:gridCol w:w="183"/>
        <w:gridCol w:w="1850"/>
        <w:gridCol w:w="1029"/>
      </w:tblGrid>
      <w:tr w:rsidR="007131C1" w:rsidRPr="007131C1" w:rsidTr="007131C1">
        <w:trPr>
          <w:trHeight w:val="240"/>
        </w:trPr>
        <w:tc>
          <w:tcPr>
            <w:tcW w:w="4460" w:type="pct"/>
            <w:gridSpan w:val="7"/>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b/>
                <w:bCs/>
                <w:color w:val="000000"/>
                <w:sz w:val="16"/>
                <w:szCs w:val="16"/>
                <w:lang w:val="es-ES"/>
              </w:rPr>
            </w:pPr>
            <w:r w:rsidRPr="007131C1">
              <w:rPr>
                <w:rFonts w:ascii="Lucida Bright" w:hAnsi="Lucida Bright" w:cs="Calibri"/>
                <w:b/>
                <w:bCs/>
                <w:color w:val="000000"/>
                <w:sz w:val="16"/>
                <w:szCs w:val="16"/>
                <w:lang w:val="es-ES"/>
              </w:rPr>
              <w:t>Detalle de las deducciones pendientes de tomar no registradas en balance de situación</w:t>
            </w:r>
          </w:p>
        </w:tc>
        <w:tc>
          <w:tcPr>
            <w:tcW w:w="54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r>
      <w:tr w:rsidR="007131C1" w:rsidRPr="007131C1" w:rsidTr="007131C1">
        <w:trPr>
          <w:trHeight w:val="240"/>
        </w:trPr>
        <w:tc>
          <w:tcPr>
            <w:tcW w:w="875" w:type="pct"/>
            <w:tcBorders>
              <w:top w:val="single" w:sz="8" w:space="0" w:color="auto"/>
              <w:left w:val="single" w:sz="8" w:space="0" w:color="auto"/>
              <w:bottom w:val="nil"/>
              <w:right w:val="nil"/>
            </w:tcBorders>
            <w:shd w:val="clear" w:color="000000" w:fill="CCFFCC"/>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26" w:type="pct"/>
            <w:tcBorders>
              <w:top w:val="single" w:sz="8" w:space="0" w:color="auto"/>
              <w:left w:val="nil"/>
              <w:bottom w:val="nil"/>
              <w:right w:val="nil"/>
            </w:tcBorders>
            <w:shd w:val="clear" w:color="000000" w:fill="CCFFCC"/>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22" w:type="pct"/>
            <w:tcBorders>
              <w:top w:val="single" w:sz="8" w:space="0" w:color="auto"/>
              <w:left w:val="nil"/>
              <w:bottom w:val="nil"/>
              <w:right w:val="nil"/>
            </w:tcBorders>
            <w:shd w:val="clear" w:color="000000" w:fill="CCFFCC"/>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19" w:type="pct"/>
            <w:tcBorders>
              <w:top w:val="single" w:sz="8" w:space="0" w:color="auto"/>
              <w:left w:val="nil"/>
              <w:bottom w:val="nil"/>
              <w:right w:val="nil"/>
            </w:tcBorders>
            <w:shd w:val="clear" w:color="000000" w:fill="CCFFCC"/>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460" w:type="pct"/>
            <w:tcBorders>
              <w:top w:val="single" w:sz="8" w:space="0" w:color="auto"/>
              <w:left w:val="nil"/>
              <w:bottom w:val="nil"/>
              <w:right w:val="nil"/>
            </w:tcBorders>
            <w:shd w:val="clear" w:color="000000" w:fill="CCFFCC"/>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00" w:type="pct"/>
            <w:tcBorders>
              <w:top w:val="single" w:sz="8" w:space="0" w:color="auto"/>
              <w:left w:val="nil"/>
              <w:bottom w:val="nil"/>
              <w:right w:val="single" w:sz="8" w:space="0" w:color="auto"/>
            </w:tcBorders>
            <w:shd w:val="clear" w:color="000000" w:fill="CCFFCC"/>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698" w:type="pct"/>
            <w:gridSpan w:val="2"/>
            <w:tcBorders>
              <w:top w:val="single" w:sz="8" w:space="0" w:color="auto"/>
              <w:left w:val="nil"/>
              <w:bottom w:val="single" w:sz="8" w:space="0" w:color="auto"/>
              <w:right w:val="single" w:sz="8" w:space="0" w:color="000000"/>
            </w:tcBorders>
            <w:shd w:val="clear" w:color="000000" w:fill="CCFFCC"/>
            <w:vAlign w:val="bottom"/>
            <w:hideMark/>
          </w:tcPr>
          <w:p w:rsidR="007131C1" w:rsidRPr="007131C1" w:rsidRDefault="007131C1" w:rsidP="007131C1">
            <w:pPr>
              <w:jc w:val="center"/>
              <w:rPr>
                <w:rFonts w:ascii="Lucida Bright" w:hAnsi="Lucida Bright" w:cs="Calibri"/>
                <w:b/>
                <w:bCs/>
                <w:color w:val="000000"/>
                <w:sz w:val="14"/>
                <w:szCs w:val="14"/>
                <w:lang w:val="es-ES"/>
              </w:rPr>
            </w:pPr>
            <w:r w:rsidRPr="007131C1">
              <w:rPr>
                <w:rFonts w:ascii="Lucida Bright" w:hAnsi="Lucida Bright" w:cs="Calibri"/>
                <w:b/>
                <w:bCs/>
                <w:color w:val="000000"/>
                <w:sz w:val="14"/>
                <w:szCs w:val="14"/>
                <w:lang w:val="es-ES"/>
              </w:rPr>
              <w:t>31/12/2023</w:t>
            </w:r>
          </w:p>
        </w:tc>
      </w:tr>
      <w:tr w:rsidR="007131C1" w:rsidRPr="007131C1" w:rsidTr="007131C1">
        <w:trPr>
          <w:trHeight w:val="240"/>
        </w:trPr>
        <w:tc>
          <w:tcPr>
            <w:tcW w:w="875" w:type="pct"/>
            <w:tcBorders>
              <w:top w:val="nil"/>
              <w:left w:val="single" w:sz="8" w:space="0" w:color="auto"/>
              <w:bottom w:val="single" w:sz="8" w:space="0" w:color="auto"/>
              <w:right w:val="nil"/>
            </w:tcBorders>
            <w:shd w:val="clear" w:color="000000" w:fill="CCFFCC"/>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26" w:type="pct"/>
            <w:tcBorders>
              <w:top w:val="nil"/>
              <w:left w:val="nil"/>
              <w:bottom w:val="single" w:sz="8" w:space="0" w:color="auto"/>
              <w:right w:val="nil"/>
            </w:tcBorders>
            <w:shd w:val="clear" w:color="000000" w:fill="CCFFCC"/>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22" w:type="pct"/>
            <w:tcBorders>
              <w:top w:val="nil"/>
              <w:left w:val="nil"/>
              <w:bottom w:val="single" w:sz="8" w:space="0" w:color="auto"/>
              <w:right w:val="nil"/>
            </w:tcBorders>
            <w:shd w:val="clear" w:color="000000" w:fill="CCFFCC"/>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19" w:type="pct"/>
            <w:tcBorders>
              <w:top w:val="nil"/>
              <w:left w:val="nil"/>
              <w:bottom w:val="single" w:sz="8" w:space="0" w:color="auto"/>
              <w:right w:val="nil"/>
            </w:tcBorders>
            <w:shd w:val="clear" w:color="000000" w:fill="CCFFCC"/>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460" w:type="pct"/>
            <w:tcBorders>
              <w:top w:val="nil"/>
              <w:left w:val="nil"/>
              <w:bottom w:val="single" w:sz="8" w:space="0" w:color="auto"/>
              <w:right w:val="nil"/>
            </w:tcBorders>
            <w:shd w:val="clear" w:color="000000" w:fill="CCFFCC"/>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00" w:type="pct"/>
            <w:tcBorders>
              <w:top w:val="nil"/>
              <w:left w:val="nil"/>
              <w:bottom w:val="single" w:sz="8" w:space="0" w:color="auto"/>
              <w:right w:val="single" w:sz="8" w:space="0" w:color="auto"/>
            </w:tcBorders>
            <w:shd w:val="clear" w:color="000000" w:fill="CCFFCC"/>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single" w:sz="8" w:space="0" w:color="auto"/>
              <w:right w:val="single" w:sz="8" w:space="0" w:color="auto"/>
            </w:tcBorders>
            <w:shd w:val="clear" w:color="000000" w:fill="CCFFCC"/>
            <w:noWrap/>
            <w:vAlign w:val="bottom"/>
            <w:hideMark/>
          </w:tcPr>
          <w:p w:rsidR="007131C1" w:rsidRPr="007131C1" w:rsidRDefault="007131C1" w:rsidP="007131C1">
            <w:pPr>
              <w:jc w:val="center"/>
              <w:rPr>
                <w:rFonts w:ascii="Lucida Bright" w:hAnsi="Lucida Bright" w:cs="Calibri"/>
                <w:b/>
                <w:bCs/>
                <w:color w:val="000000"/>
                <w:sz w:val="14"/>
                <w:szCs w:val="14"/>
                <w:lang w:val="es-ES"/>
              </w:rPr>
            </w:pPr>
            <w:r w:rsidRPr="007131C1">
              <w:rPr>
                <w:rFonts w:ascii="Lucida Bright" w:hAnsi="Lucida Bright" w:cs="Calibri"/>
                <w:b/>
                <w:bCs/>
                <w:color w:val="000000"/>
                <w:sz w:val="14"/>
                <w:szCs w:val="14"/>
                <w:lang w:val="es-ES"/>
              </w:rPr>
              <w:t>Euros</w:t>
            </w:r>
          </w:p>
        </w:tc>
        <w:tc>
          <w:tcPr>
            <w:tcW w:w="540" w:type="pct"/>
            <w:tcBorders>
              <w:top w:val="nil"/>
              <w:left w:val="nil"/>
              <w:bottom w:val="single" w:sz="8" w:space="0" w:color="auto"/>
              <w:right w:val="single" w:sz="8" w:space="0" w:color="auto"/>
            </w:tcBorders>
            <w:shd w:val="clear" w:color="000000" w:fill="CCFFCC"/>
            <w:noWrap/>
            <w:vAlign w:val="bottom"/>
            <w:hideMark/>
          </w:tcPr>
          <w:p w:rsidR="007131C1" w:rsidRPr="007131C1" w:rsidRDefault="007131C1" w:rsidP="007131C1">
            <w:pPr>
              <w:jc w:val="center"/>
              <w:rPr>
                <w:rFonts w:ascii="Lucida Bright" w:hAnsi="Lucida Bright" w:cs="Calibri"/>
                <w:b/>
                <w:bCs/>
                <w:color w:val="000000"/>
                <w:sz w:val="14"/>
                <w:szCs w:val="14"/>
                <w:lang w:val="es-ES"/>
              </w:rPr>
            </w:pPr>
            <w:r w:rsidRPr="007131C1">
              <w:rPr>
                <w:rFonts w:ascii="Lucida Bright" w:hAnsi="Lucida Bright" w:cs="Calibri"/>
                <w:b/>
                <w:bCs/>
                <w:color w:val="000000"/>
                <w:sz w:val="14"/>
                <w:szCs w:val="14"/>
                <w:lang w:val="es-ES"/>
              </w:rPr>
              <w:t>Vencimiento</w:t>
            </w:r>
          </w:p>
        </w:tc>
      </w:tr>
      <w:tr w:rsidR="007131C1" w:rsidRPr="007131C1" w:rsidTr="007131C1">
        <w:trPr>
          <w:trHeight w:val="225"/>
        </w:trPr>
        <w:tc>
          <w:tcPr>
            <w:tcW w:w="2122" w:type="pct"/>
            <w:gridSpan w:val="3"/>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b/>
                <w:bCs/>
                <w:color w:val="000000"/>
                <w:sz w:val="14"/>
                <w:szCs w:val="14"/>
                <w:lang w:val="es-ES"/>
              </w:rPr>
            </w:pPr>
            <w:r w:rsidRPr="007131C1">
              <w:rPr>
                <w:rFonts w:ascii="Lucida Bright" w:hAnsi="Lucida Bright" w:cs="Calibri"/>
                <w:b/>
                <w:bCs/>
                <w:color w:val="000000"/>
                <w:sz w:val="14"/>
                <w:szCs w:val="14"/>
                <w:lang w:val="es-ES"/>
              </w:rPr>
              <w:t>Deducciones pendientes y otros:</w:t>
            </w:r>
          </w:p>
        </w:tc>
        <w:tc>
          <w:tcPr>
            <w:tcW w:w="61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54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2122" w:type="pct"/>
            <w:gridSpan w:val="3"/>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Deducciones por inversiones no económicas:</w:t>
            </w:r>
          </w:p>
        </w:tc>
        <w:tc>
          <w:tcPr>
            <w:tcW w:w="61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540" w:type="pct"/>
            <w:tcBorders>
              <w:top w:val="nil"/>
              <w:left w:val="single" w:sz="8" w:space="0" w:color="auto"/>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875" w:type="pct"/>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26"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22"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1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540" w:type="pct"/>
            <w:tcBorders>
              <w:top w:val="nil"/>
              <w:left w:val="single" w:sz="8" w:space="0" w:color="auto"/>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875" w:type="pct"/>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26"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22"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1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540" w:type="pct"/>
            <w:tcBorders>
              <w:top w:val="nil"/>
              <w:left w:val="single" w:sz="8" w:space="0" w:color="auto"/>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36.21</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Contrato de colaboración en I+D entre la Autoridad Portuaria de Baleares y la </w:t>
            </w:r>
            <w:proofErr w:type="spellStart"/>
            <w:r w:rsidRPr="007131C1">
              <w:rPr>
                <w:rFonts w:ascii="Lucida Bright" w:hAnsi="Lucida Bright" w:cs="Calibri"/>
                <w:color w:val="000000"/>
                <w:sz w:val="14"/>
                <w:szCs w:val="14"/>
                <w:lang w:val="es-ES"/>
              </w:rPr>
              <w:t>Universitat</w:t>
            </w:r>
            <w:proofErr w:type="spellEnd"/>
            <w:r w:rsidRPr="007131C1">
              <w:rPr>
                <w:rFonts w:ascii="Lucida Bright" w:hAnsi="Lucida Bright" w:cs="Calibri"/>
                <w:color w:val="000000"/>
                <w:sz w:val="14"/>
                <w:szCs w:val="14"/>
                <w:lang w:val="es-ES"/>
              </w:rPr>
              <w:t xml:space="preserve"> </w:t>
            </w:r>
            <w:proofErr w:type="spellStart"/>
            <w:r w:rsidRPr="007131C1">
              <w:rPr>
                <w:rFonts w:ascii="Lucida Bright" w:hAnsi="Lucida Bright" w:cs="Calibri"/>
                <w:color w:val="000000"/>
                <w:sz w:val="14"/>
                <w:szCs w:val="14"/>
                <w:lang w:val="es-ES"/>
              </w:rPr>
              <w:t>Politècnica</w:t>
            </w:r>
            <w:proofErr w:type="spellEnd"/>
            <w:r w:rsidRPr="007131C1">
              <w:rPr>
                <w:rFonts w:ascii="Lucida Bright" w:hAnsi="Lucida Bright" w:cs="Calibri"/>
                <w:color w:val="000000"/>
                <w:sz w:val="14"/>
                <w:szCs w:val="14"/>
                <w:lang w:val="es-ES"/>
              </w:rPr>
              <w:t xml:space="preserve"> de Catalunya para el desarrollo de un plan de adaptación al cambio climático para los puertos de la Autoridad Portuaria de Baleares.</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73.800,00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40.17 (LOTE3)</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proofErr w:type="spellStart"/>
            <w:r w:rsidRPr="007131C1">
              <w:rPr>
                <w:rFonts w:ascii="Lucida Bright" w:hAnsi="Lucida Bright" w:cs="Calibri"/>
                <w:color w:val="000000"/>
                <w:sz w:val="14"/>
                <w:szCs w:val="14"/>
                <w:lang w:val="es-ES"/>
              </w:rPr>
              <w:t>A.T.para</w:t>
            </w:r>
            <w:proofErr w:type="spellEnd"/>
            <w:r w:rsidRPr="007131C1">
              <w:rPr>
                <w:rFonts w:ascii="Lucida Bright" w:hAnsi="Lucida Bright" w:cs="Calibri"/>
                <w:color w:val="000000"/>
                <w:sz w:val="14"/>
                <w:szCs w:val="14"/>
                <w:lang w:val="es-ES"/>
              </w:rPr>
              <w:t xml:space="preserve"> la redacción del proyecto y dirección de obra de los proyectos de rehabilitación de las infraestructuras de atraque en los muelles </w:t>
            </w:r>
            <w:proofErr w:type="spellStart"/>
            <w:r w:rsidRPr="007131C1">
              <w:rPr>
                <w:rFonts w:ascii="Lucida Bright" w:hAnsi="Lucida Bright" w:cs="Calibri"/>
                <w:color w:val="000000"/>
                <w:sz w:val="14"/>
                <w:szCs w:val="14"/>
                <w:lang w:val="es-ES"/>
              </w:rPr>
              <w:t>Paraires</w:t>
            </w:r>
            <w:proofErr w:type="spellEnd"/>
            <w:r w:rsidRPr="007131C1">
              <w:rPr>
                <w:rFonts w:ascii="Lucida Bright" w:hAnsi="Lucida Bright" w:cs="Calibri"/>
                <w:color w:val="000000"/>
                <w:sz w:val="14"/>
                <w:szCs w:val="14"/>
                <w:lang w:val="es-ES"/>
              </w:rPr>
              <w:t xml:space="preserve"> y Poniente Sur alin.1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8.380,54</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49.21</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Adquisición de pantalanes flotantes de hormigón para la zona pesquera del puerto de Mahón.</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147.369,33</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23.20</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Nuevo laser rotativo del sistema de monitorización de atraques de los muelles transversales del </w:t>
            </w:r>
            <w:proofErr w:type="spellStart"/>
            <w:r w:rsidRPr="007131C1">
              <w:rPr>
                <w:rFonts w:ascii="Lucida Bright" w:hAnsi="Lucida Bright" w:cs="Calibri"/>
                <w:color w:val="000000"/>
                <w:sz w:val="14"/>
                <w:szCs w:val="14"/>
                <w:lang w:val="es-ES"/>
              </w:rPr>
              <w:t>Botafoc</w:t>
            </w:r>
            <w:proofErr w:type="spellEnd"/>
            <w:r w:rsidRPr="007131C1">
              <w:rPr>
                <w:rFonts w:ascii="Lucida Bright" w:hAnsi="Lucida Bright" w:cs="Calibri"/>
                <w:color w:val="000000"/>
                <w:sz w:val="14"/>
                <w:szCs w:val="14"/>
                <w:lang w:val="es-ES"/>
              </w:rPr>
              <w:t xml:space="preserve"> en el puerto de </w:t>
            </w:r>
            <w:proofErr w:type="spellStart"/>
            <w:r w:rsidRPr="007131C1">
              <w:rPr>
                <w:rFonts w:ascii="Lucida Bright" w:hAnsi="Lucida Bright" w:cs="Calibri"/>
                <w:color w:val="000000"/>
                <w:sz w:val="14"/>
                <w:szCs w:val="14"/>
                <w:lang w:val="es-ES"/>
              </w:rPr>
              <w:t>Eivissa</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29.400,00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1095 - G</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Rehabilitación de los elementos de protección de la cimentación del dique de </w:t>
            </w:r>
            <w:proofErr w:type="spellStart"/>
            <w:r w:rsidRPr="007131C1">
              <w:rPr>
                <w:rFonts w:ascii="Lucida Bright" w:hAnsi="Lucida Bright" w:cs="Calibri"/>
                <w:color w:val="000000"/>
                <w:sz w:val="14"/>
                <w:szCs w:val="14"/>
                <w:lang w:val="es-ES"/>
              </w:rPr>
              <w:t>Botafoc</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11.301.014,18</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01.20</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Actuaciones para la mejora de la accesibilidad de las estaciones marítimas, pasarelas de embarque y oficinas de la APB en 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15.666,20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1344</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A.T. para la redacción de los proyectos constructivos y la correspondiente tramitación ambiental de los nuevos atraques y explanadas para el </w:t>
            </w:r>
            <w:r w:rsidR="00DD448C" w:rsidRPr="007131C1">
              <w:rPr>
                <w:rFonts w:ascii="Lucida Bright" w:hAnsi="Lucida Bright" w:cs="Calibri"/>
                <w:color w:val="000000"/>
                <w:sz w:val="14"/>
                <w:szCs w:val="14"/>
                <w:lang w:val="es-ES"/>
              </w:rPr>
              <w:t>tráfico</w:t>
            </w:r>
            <w:r w:rsidRPr="007131C1">
              <w:rPr>
                <w:rFonts w:ascii="Lucida Bright" w:hAnsi="Lucida Bright" w:cs="Calibri"/>
                <w:color w:val="000000"/>
                <w:sz w:val="14"/>
                <w:szCs w:val="14"/>
                <w:lang w:val="es-ES"/>
              </w:rPr>
              <w:t xml:space="preserve"> de </w:t>
            </w:r>
            <w:proofErr w:type="spellStart"/>
            <w:r w:rsidRPr="007131C1">
              <w:rPr>
                <w:rFonts w:ascii="Lucida Bright" w:hAnsi="Lucida Bright" w:cs="Calibri"/>
                <w:color w:val="000000"/>
                <w:sz w:val="14"/>
                <w:szCs w:val="14"/>
                <w:lang w:val="es-ES"/>
              </w:rPr>
              <w:t>ferrys</w:t>
            </w:r>
            <w:proofErr w:type="spellEnd"/>
            <w:r w:rsidRPr="007131C1">
              <w:rPr>
                <w:rFonts w:ascii="Lucida Bright" w:hAnsi="Lucida Bright" w:cs="Calibri"/>
                <w:color w:val="000000"/>
                <w:sz w:val="14"/>
                <w:szCs w:val="14"/>
                <w:lang w:val="es-ES"/>
              </w:rPr>
              <w:t xml:space="preserve"> en el dique del Oeste</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422.865,98</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1340.1</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Actuaciones para la mejora de la accesibilidad de los viales y espacios públicos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277.226,49</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80.19</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Adecuación del pavimento de las rotondas de </w:t>
            </w:r>
            <w:proofErr w:type="spellStart"/>
            <w:r w:rsidRPr="007131C1">
              <w:rPr>
                <w:rFonts w:ascii="Lucida Bright" w:hAnsi="Lucida Bright" w:cs="Calibri"/>
                <w:color w:val="000000"/>
                <w:sz w:val="14"/>
                <w:szCs w:val="14"/>
                <w:lang w:val="es-ES"/>
              </w:rPr>
              <w:t>Botafoc</w:t>
            </w:r>
            <w:proofErr w:type="spellEnd"/>
            <w:r w:rsidRPr="007131C1">
              <w:rPr>
                <w:rFonts w:ascii="Lucida Bright" w:hAnsi="Lucida Bright" w:cs="Calibri"/>
                <w:color w:val="000000"/>
                <w:sz w:val="14"/>
                <w:szCs w:val="14"/>
                <w:lang w:val="es-ES"/>
              </w:rPr>
              <w:t xml:space="preserve"> en el puerto de </w:t>
            </w:r>
            <w:proofErr w:type="spellStart"/>
            <w:r w:rsidRPr="007131C1">
              <w:rPr>
                <w:rFonts w:ascii="Lucida Bright" w:hAnsi="Lucida Bright" w:cs="Calibri"/>
                <w:color w:val="000000"/>
                <w:sz w:val="14"/>
                <w:szCs w:val="14"/>
                <w:lang w:val="es-ES"/>
              </w:rPr>
              <w:t>Eivissa</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183.424,97</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lastRenderedPageBreak/>
              <w:t>P.O. 03.21</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Proyecto para la mejora de la red eléctrica de baja tensión en el puerto de </w:t>
            </w:r>
            <w:proofErr w:type="spellStart"/>
            <w:r w:rsidRPr="007131C1">
              <w:rPr>
                <w:rFonts w:ascii="Lucida Bright" w:hAnsi="Lucida Bright" w:cs="Calibri"/>
                <w:color w:val="000000"/>
                <w:sz w:val="14"/>
                <w:szCs w:val="14"/>
                <w:lang w:val="es-ES"/>
              </w:rPr>
              <w:t>Eivissa</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178.891,93</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28.21</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Mejora del sistema de monitorización de la calidad del aire y Plataforma Smart Ambiental.</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376.984,81</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11.20</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Conexión del faro de </w:t>
            </w:r>
            <w:proofErr w:type="spellStart"/>
            <w:r w:rsidRPr="007131C1">
              <w:rPr>
                <w:rFonts w:ascii="Lucida Bright" w:hAnsi="Lucida Bright" w:cs="Calibri"/>
                <w:color w:val="000000"/>
                <w:sz w:val="14"/>
                <w:szCs w:val="14"/>
                <w:lang w:val="es-ES"/>
              </w:rPr>
              <w:t>Portopi</w:t>
            </w:r>
            <w:proofErr w:type="spellEnd"/>
            <w:r w:rsidRPr="007131C1">
              <w:rPr>
                <w:rFonts w:ascii="Lucida Bright" w:hAnsi="Lucida Bright" w:cs="Calibri"/>
                <w:color w:val="000000"/>
                <w:sz w:val="14"/>
                <w:szCs w:val="14"/>
                <w:lang w:val="es-ES"/>
              </w:rPr>
              <w:t xml:space="preserve"> a la red OTN de la Autoridad Portuaria de Baleares mediante fibra óptica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87.795,89</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1345</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Remodelación del Paseo Marítimo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27.561,64</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54.21</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Adecuación de las defensas del puerto de Alcudia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281.239,52</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45.21</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Instalación de una red de puntos de recarga de vehículos eléctricos en los puertos de Palma, Alcudia, Mao, </w:t>
            </w:r>
            <w:proofErr w:type="spellStart"/>
            <w:r w:rsidRPr="007131C1">
              <w:rPr>
                <w:rFonts w:ascii="Lucida Bright" w:hAnsi="Lucida Bright" w:cs="Calibri"/>
                <w:color w:val="000000"/>
                <w:sz w:val="14"/>
                <w:szCs w:val="14"/>
                <w:lang w:val="es-ES"/>
              </w:rPr>
              <w:t>Eivissa</w:t>
            </w:r>
            <w:proofErr w:type="spellEnd"/>
            <w:r w:rsidRPr="007131C1">
              <w:rPr>
                <w:rFonts w:ascii="Lucida Bright" w:hAnsi="Lucida Bright" w:cs="Calibri"/>
                <w:color w:val="000000"/>
                <w:sz w:val="14"/>
                <w:szCs w:val="14"/>
                <w:lang w:val="es-ES"/>
              </w:rPr>
              <w:t xml:space="preserve"> y La </w:t>
            </w:r>
            <w:proofErr w:type="spellStart"/>
            <w:r w:rsidRPr="007131C1">
              <w:rPr>
                <w:rFonts w:ascii="Lucida Bright" w:hAnsi="Lucida Bright" w:cs="Calibri"/>
                <w:color w:val="000000"/>
                <w:sz w:val="14"/>
                <w:szCs w:val="14"/>
                <w:lang w:val="es-ES"/>
              </w:rPr>
              <w:t>Savina</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184.901,12</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41.21</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Instalación de marquesinas fotovoltaicas para la recarga de vehículos eléctricos en los puertos de Palma, Alcudia, Mao y </w:t>
            </w:r>
            <w:proofErr w:type="spellStart"/>
            <w:r w:rsidRPr="007131C1">
              <w:rPr>
                <w:rFonts w:ascii="Lucida Bright" w:hAnsi="Lucida Bright" w:cs="Calibri"/>
                <w:color w:val="000000"/>
                <w:sz w:val="14"/>
                <w:szCs w:val="14"/>
                <w:lang w:val="es-ES"/>
              </w:rPr>
              <w:t>Eivissa</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25.595,55</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05.21</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Eliminación de barreras arquitectónicas en las aceras y dotación de un parque infantil en el muelle de Cruceros del puerto de Mao</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391.618,49</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08.22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Sustitución de la cubierta inclinada del faro de Cala Figuera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71.846,59</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18.22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Desarrollo de una propuesta para la </w:t>
            </w:r>
            <w:proofErr w:type="spellStart"/>
            <w:r w:rsidRPr="007131C1">
              <w:rPr>
                <w:rFonts w:ascii="Lucida Bright" w:hAnsi="Lucida Bright" w:cs="Calibri"/>
                <w:color w:val="000000"/>
                <w:sz w:val="14"/>
                <w:szCs w:val="14"/>
                <w:lang w:val="es-ES"/>
              </w:rPr>
              <w:t>biorremediacion</w:t>
            </w:r>
            <w:proofErr w:type="spellEnd"/>
            <w:r w:rsidRPr="007131C1">
              <w:rPr>
                <w:rFonts w:ascii="Lucida Bright" w:hAnsi="Lucida Bright" w:cs="Calibri"/>
                <w:color w:val="000000"/>
                <w:sz w:val="14"/>
                <w:szCs w:val="14"/>
                <w:lang w:val="es-ES"/>
              </w:rPr>
              <w:t xml:space="preserve"> con bivalvos en una dársena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12.396,28</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21.22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Identificación de suelos contaminados y elaboración de una propuesta para la descontaminación de la zona de Ribera de San Carlos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12.641,00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14.22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Instalación fotovoltaica para autoconsumo de 100KW para la Estación Marítima de </w:t>
            </w:r>
            <w:proofErr w:type="spellStart"/>
            <w:r w:rsidRPr="007131C1">
              <w:rPr>
                <w:rFonts w:ascii="Lucida Bright" w:hAnsi="Lucida Bright" w:cs="Calibri"/>
                <w:color w:val="000000"/>
                <w:sz w:val="14"/>
                <w:szCs w:val="14"/>
                <w:lang w:val="es-ES"/>
              </w:rPr>
              <w:t>Botafoc</w:t>
            </w:r>
            <w:proofErr w:type="spellEnd"/>
            <w:r w:rsidRPr="007131C1">
              <w:rPr>
                <w:rFonts w:ascii="Lucida Bright" w:hAnsi="Lucida Bright" w:cs="Calibri"/>
                <w:color w:val="000000"/>
                <w:sz w:val="14"/>
                <w:szCs w:val="14"/>
                <w:lang w:val="es-ES"/>
              </w:rPr>
              <w:t xml:space="preserve"> en el puerto de </w:t>
            </w:r>
            <w:proofErr w:type="spellStart"/>
            <w:r w:rsidRPr="007131C1">
              <w:rPr>
                <w:rFonts w:ascii="Lucida Bright" w:hAnsi="Lucida Bright" w:cs="Calibri"/>
                <w:color w:val="000000"/>
                <w:sz w:val="14"/>
                <w:szCs w:val="14"/>
                <w:lang w:val="es-ES"/>
              </w:rPr>
              <w:t>Eivissa</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80.987,46</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05.22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Suministro, instalación y mantenimiento de 7 nuevos escáneres y arcos de seguridad para las estaciones marítimas de los puertos de </w:t>
            </w:r>
            <w:proofErr w:type="spellStart"/>
            <w:r w:rsidRPr="007131C1">
              <w:rPr>
                <w:rFonts w:ascii="Lucida Bright" w:hAnsi="Lucida Bright" w:cs="Calibri"/>
                <w:color w:val="000000"/>
                <w:sz w:val="14"/>
                <w:szCs w:val="14"/>
                <w:lang w:val="es-ES"/>
              </w:rPr>
              <w:t>Eivissa</w:t>
            </w:r>
            <w:proofErr w:type="spellEnd"/>
            <w:r w:rsidRPr="007131C1">
              <w:rPr>
                <w:rFonts w:ascii="Lucida Bright" w:hAnsi="Lucida Bright" w:cs="Calibri"/>
                <w:color w:val="000000"/>
                <w:sz w:val="14"/>
                <w:szCs w:val="14"/>
                <w:lang w:val="es-ES"/>
              </w:rPr>
              <w:t xml:space="preserve"> y Palma. LOTE 1 Estación Marítima </w:t>
            </w:r>
            <w:r w:rsidR="00DD448C" w:rsidRPr="007131C1">
              <w:rPr>
                <w:rFonts w:ascii="Lucida Bright" w:hAnsi="Lucida Bright" w:cs="Calibri"/>
                <w:color w:val="000000"/>
                <w:sz w:val="14"/>
                <w:szCs w:val="14"/>
                <w:lang w:val="es-ES"/>
              </w:rPr>
              <w:t>número</w:t>
            </w:r>
            <w:r w:rsidRPr="007131C1">
              <w:rPr>
                <w:rFonts w:ascii="Lucida Bright" w:hAnsi="Lucida Bright" w:cs="Calibri"/>
                <w:color w:val="000000"/>
                <w:sz w:val="14"/>
                <w:szCs w:val="14"/>
                <w:lang w:val="es-ES"/>
              </w:rPr>
              <w:t xml:space="preserve"> 2 en el muelle de </w:t>
            </w:r>
            <w:proofErr w:type="spellStart"/>
            <w:r w:rsidRPr="007131C1">
              <w:rPr>
                <w:rFonts w:ascii="Lucida Bright" w:hAnsi="Lucida Bright" w:cs="Calibri"/>
                <w:color w:val="000000"/>
                <w:sz w:val="14"/>
                <w:szCs w:val="14"/>
                <w:lang w:val="es-ES"/>
              </w:rPr>
              <w:t>Peraires</w:t>
            </w:r>
            <w:proofErr w:type="spellEnd"/>
            <w:r w:rsidRPr="007131C1">
              <w:rPr>
                <w:rFonts w:ascii="Lucida Bright" w:hAnsi="Lucida Bright" w:cs="Calibri"/>
                <w:color w:val="000000"/>
                <w:sz w:val="14"/>
                <w:szCs w:val="14"/>
                <w:lang w:val="es-ES"/>
              </w:rPr>
              <w:t>,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68.304,88</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05.22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Suministro, instalación y mantenimiento de 7 nuevos escáneres y arcos de seguridad para las estaciones marítimas de los puertos de </w:t>
            </w:r>
            <w:proofErr w:type="spellStart"/>
            <w:r w:rsidRPr="007131C1">
              <w:rPr>
                <w:rFonts w:ascii="Lucida Bright" w:hAnsi="Lucida Bright" w:cs="Calibri"/>
                <w:color w:val="000000"/>
                <w:sz w:val="14"/>
                <w:szCs w:val="14"/>
                <w:lang w:val="es-ES"/>
              </w:rPr>
              <w:t>Eivissa</w:t>
            </w:r>
            <w:proofErr w:type="spellEnd"/>
            <w:r w:rsidRPr="007131C1">
              <w:rPr>
                <w:rFonts w:ascii="Lucida Bright" w:hAnsi="Lucida Bright" w:cs="Calibri"/>
                <w:color w:val="000000"/>
                <w:sz w:val="14"/>
                <w:szCs w:val="14"/>
                <w:lang w:val="es-ES"/>
              </w:rPr>
              <w:t xml:space="preserve"> y Palma. LOTE 2 Estación Marítima en el muelle de </w:t>
            </w:r>
            <w:proofErr w:type="spellStart"/>
            <w:r w:rsidRPr="007131C1">
              <w:rPr>
                <w:rFonts w:ascii="Lucida Bright" w:hAnsi="Lucida Bright" w:cs="Calibri"/>
                <w:color w:val="000000"/>
                <w:sz w:val="14"/>
                <w:szCs w:val="14"/>
                <w:lang w:val="es-ES"/>
              </w:rPr>
              <w:t>Botafoc</w:t>
            </w:r>
            <w:proofErr w:type="spellEnd"/>
            <w:r w:rsidRPr="007131C1">
              <w:rPr>
                <w:rFonts w:ascii="Lucida Bright" w:hAnsi="Lucida Bright" w:cs="Calibri"/>
                <w:color w:val="000000"/>
                <w:sz w:val="14"/>
                <w:szCs w:val="14"/>
                <w:lang w:val="es-ES"/>
              </w:rPr>
              <w:t xml:space="preserve">, puerto de </w:t>
            </w:r>
            <w:proofErr w:type="spellStart"/>
            <w:r w:rsidRPr="007131C1">
              <w:rPr>
                <w:rFonts w:ascii="Lucida Bright" w:hAnsi="Lucida Bright" w:cs="Calibri"/>
                <w:color w:val="000000"/>
                <w:sz w:val="14"/>
                <w:szCs w:val="14"/>
                <w:lang w:val="es-ES"/>
              </w:rPr>
              <w:t>Eivissa</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162.229,65</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84.22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Suministro de baterías para las señales marítimas de la Autoridad Portuaria de Balears. Lote 1: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5.181,83</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84.22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Suministro de baterías para las señales marítimas de la Autoridad Portuaria de Balears. Lote 2: Mao</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3.454,55</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84.22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Suministro de baterías para las señales marítimas de la Autoridad Portuaria de Balears. Lote 3: </w:t>
            </w:r>
            <w:proofErr w:type="spellStart"/>
            <w:r w:rsidRPr="007131C1">
              <w:rPr>
                <w:rFonts w:ascii="Lucida Bright" w:hAnsi="Lucida Bright" w:cs="Calibri"/>
                <w:color w:val="000000"/>
                <w:sz w:val="14"/>
                <w:szCs w:val="14"/>
                <w:lang w:val="es-ES"/>
              </w:rPr>
              <w:t>Eivissa</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6.909,10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89.22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Prospección geotécnica complementaria del muelle de la Rama Corta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6.651,37</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56.22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Nuevos bolardos de 150 t. en el muelle del </w:t>
            </w:r>
            <w:proofErr w:type="spellStart"/>
            <w:r w:rsidRPr="007131C1">
              <w:rPr>
                <w:rFonts w:ascii="Lucida Bright" w:hAnsi="Lucida Bright" w:cs="Calibri"/>
                <w:color w:val="000000"/>
                <w:sz w:val="14"/>
                <w:szCs w:val="14"/>
                <w:lang w:val="es-ES"/>
              </w:rPr>
              <w:t>Cos</w:t>
            </w:r>
            <w:proofErr w:type="spellEnd"/>
            <w:r w:rsidRPr="007131C1">
              <w:rPr>
                <w:rFonts w:ascii="Lucida Bright" w:hAnsi="Lucida Bright" w:cs="Calibri"/>
                <w:color w:val="000000"/>
                <w:sz w:val="14"/>
                <w:szCs w:val="14"/>
                <w:lang w:val="es-ES"/>
              </w:rPr>
              <w:t xml:space="preserve"> </w:t>
            </w:r>
            <w:proofErr w:type="spellStart"/>
            <w:r w:rsidRPr="007131C1">
              <w:rPr>
                <w:rFonts w:ascii="Lucida Bright" w:hAnsi="Lucida Bright" w:cs="Calibri"/>
                <w:color w:val="000000"/>
                <w:sz w:val="14"/>
                <w:szCs w:val="14"/>
                <w:lang w:val="es-ES"/>
              </w:rPr>
              <w:t>Nou</w:t>
            </w:r>
            <w:proofErr w:type="spellEnd"/>
            <w:r w:rsidRPr="007131C1">
              <w:rPr>
                <w:rFonts w:ascii="Lucida Bright" w:hAnsi="Lucida Bright" w:cs="Calibri"/>
                <w:color w:val="000000"/>
                <w:sz w:val="14"/>
                <w:szCs w:val="14"/>
                <w:lang w:val="es-ES"/>
              </w:rPr>
              <w:t xml:space="preserve"> del Puerto de Mao.</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46.649,76</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21.21</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Recuperación de calados en la 1A alineación de los muelles de Poniente del puerto de Alcudia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123.452,66</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lastRenderedPageBreak/>
              <w:t>P.O. 82.22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A.T. a la dirección de obra, control de calidad y vigilancia ambiental en obras del epígrafe de obras varias y menores de la APB (2023-2024)</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15.306,12</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02.21</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Acondicionamiento estructural del carril de rodadura de la pasarela móvil n.5 del Muelle Ribera </w:t>
            </w:r>
            <w:proofErr w:type="spellStart"/>
            <w:r w:rsidRPr="007131C1">
              <w:rPr>
                <w:rFonts w:ascii="Lucida Bright" w:hAnsi="Lucida Bright" w:cs="Calibri"/>
                <w:color w:val="000000"/>
                <w:sz w:val="14"/>
                <w:szCs w:val="14"/>
                <w:lang w:val="es-ES"/>
              </w:rPr>
              <w:t>Botafoc</w:t>
            </w:r>
            <w:proofErr w:type="spellEnd"/>
            <w:r w:rsidRPr="007131C1">
              <w:rPr>
                <w:rFonts w:ascii="Lucida Bright" w:hAnsi="Lucida Bright" w:cs="Calibri"/>
                <w:color w:val="000000"/>
                <w:sz w:val="14"/>
                <w:szCs w:val="14"/>
                <w:lang w:val="es-ES"/>
              </w:rPr>
              <w:t xml:space="preserve"> en el puerto de </w:t>
            </w:r>
            <w:proofErr w:type="spellStart"/>
            <w:r w:rsidRPr="007131C1">
              <w:rPr>
                <w:rFonts w:ascii="Lucida Bright" w:hAnsi="Lucida Bright" w:cs="Calibri"/>
                <w:color w:val="000000"/>
                <w:sz w:val="14"/>
                <w:szCs w:val="14"/>
                <w:lang w:val="es-ES"/>
              </w:rPr>
              <w:t>Eivissa</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139.728,00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92.22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Translocación de colonias de Cladócera </w:t>
            </w:r>
            <w:proofErr w:type="spellStart"/>
            <w:r w:rsidRPr="007131C1">
              <w:rPr>
                <w:rFonts w:ascii="Lucida Bright" w:hAnsi="Lucida Bright" w:cs="Calibri"/>
                <w:color w:val="000000"/>
                <w:sz w:val="14"/>
                <w:szCs w:val="14"/>
                <w:lang w:val="es-ES"/>
              </w:rPr>
              <w:t>Caespitosa</w:t>
            </w:r>
            <w:proofErr w:type="spellEnd"/>
            <w:r w:rsidRPr="007131C1">
              <w:rPr>
                <w:rFonts w:ascii="Lucida Bright" w:hAnsi="Lucida Bright" w:cs="Calibri"/>
                <w:color w:val="000000"/>
                <w:sz w:val="14"/>
                <w:szCs w:val="14"/>
                <w:lang w:val="es-ES"/>
              </w:rPr>
              <w:t xml:space="preserve"> afectadas por las obras de los "pantalanes para embarcaciones deportivas en Cala </w:t>
            </w:r>
            <w:proofErr w:type="spellStart"/>
            <w:r w:rsidRPr="007131C1">
              <w:rPr>
                <w:rFonts w:ascii="Lucida Bright" w:hAnsi="Lucida Bright" w:cs="Calibri"/>
                <w:color w:val="000000"/>
                <w:sz w:val="14"/>
                <w:szCs w:val="14"/>
                <w:lang w:val="es-ES"/>
              </w:rPr>
              <w:t>Corb</w:t>
            </w:r>
            <w:proofErr w:type="spellEnd"/>
            <w:r w:rsidRPr="007131C1">
              <w:rPr>
                <w:rFonts w:ascii="Lucida Bright" w:hAnsi="Lucida Bright" w:cs="Calibri"/>
                <w:color w:val="000000"/>
                <w:sz w:val="14"/>
                <w:szCs w:val="14"/>
                <w:lang w:val="es-ES"/>
              </w:rPr>
              <w:t xml:space="preserve"> (PO 1093-G) del puerto de Mao.</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63.852,13</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55.21</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Demolición de pasarela y pérgola en el paseo marítimo del Puerto de Alcudia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78.509,13</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111.22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Nueva sirena de niebla en el dique del Oeste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25.560,00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78.20</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Rehabilitación de las infraestructuras de atraque del muelle de Ribera del puerto de Alcudia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16.270,90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124.15</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A.T. para el estudio de alternativas, tramitación ambiental y redacción del proyecto constructivo de "Ampliación de la explanada de Poniente del puerto de Alcudia"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19.469,35</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52.18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A.T. para la redacción del proyecto constructivo y dirección de obra para la remodelación urbanística del paseo marítimo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185.442,19</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56.18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A.T. a la Dirección de obra de “Estación Marítima en Explanada y Muelles Comerciales al abrigo del Dique de </w:t>
            </w:r>
            <w:proofErr w:type="spellStart"/>
            <w:r w:rsidRPr="007131C1">
              <w:rPr>
                <w:rFonts w:ascii="Lucida Bright" w:hAnsi="Lucida Bright" w:cs="Calibri"/>
                <w:color w:val="000000"/>
                <w:sz w:val="14"/>
                <w:szCs w:val="14"/>
                <w:lang w:val="es-ES"/>
              </w:rPr>
              <w:t>Botafoc</w:t>
            </w:r>
            <w:proofErr w:type="spellEnd"/>
            <w:r w:rsidRPr="007131C1">
              <w:rPr>
                <w:rFonts w:ascii="Lucida Bright" w:hAnsi="Lucida Bright" w:cs="Calibri"/>
                <w:color w:val="000000"/>
                <w:sz w:val="14"/>
                <w:szCs w:val="14"/>
                <w:lang w:val="es-ES"/>
              </w:rPr>
              <w:t xml:space="preserve"> (P.O. 1087-G)"</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75.182,49</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1355</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Acondicionamiento y mejora estructural del puente de </w:t>
            </w:r>
            <w:proofErr w:type="spellStart"/>
            <w:r w:rsidRPr="007131C1">
              <w:rPr>
                <w:rFonts w:ascii="Lucida Bright" w:hAnsi="Lucida Bright" w:cs="Calibri"/>
                <w:color w:val="000000"/>
                <w:sz w:val="14"/>
                <w:szCs w:val="14"/>
                <w:lang w:val="es-ES"/>
              </w:rPr>
              <w:t>Ca'n</w:t>
            </w:r>
            <w:proofErr w:type="spellEnd"/>
            <w:r w:rsidRPr="007131C1">
              <w:rPr>
                <w:rFonts w:ascii="Lucida Bright" w:hAnsi="Lucida Bright" w:cs="Calibri"/>
                <w:color w:val="000000"/>
                <w:sz w:val="14"/>
                <w:szCs w:val="14"/>
                <w:lang w:val="es-ES"/>
              </w:rPr>
              <w:t xml:space="preserve"> Barbará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42.016,81</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1353</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Adecuación de accesos superficies y viales en los Muelles de Poniente y </w:t>
            </w:r>
            <w:proofErr w:type="spellStart"/>
            <w:r w:rsidRPr="007131C1">
              <w:rPr>
                <w:rFonts w:ascii="Lucida Bright" w:hAnsi="Lucida Bright" w:cs="Calibri"/>
                <w:color w:val="000000"/>
                <w:sz w:val="14"/>
                <w:szCs w:val="14"/>
                <w:lang w:val="es-ES"/>
              </w:rPr>
              <w:t>Paraires</w:t>
            </w:r>
            <w:proofErr w:type="spellEnd"/>
            <w:r w:rsidRPr="007131C1">
              <w:rPr>
                <w:rFonts w:ascii="Lucida Bright" w:hAnsi="Lucida Bright" w:cs="Calibri"/>
                <w:color w:val="000000"/>
                <w:sz w:val="14"/>
                <w:szCs w:val="14"/>
                <w:lang w:val="es-ES"/>
              </w:rPr>
              <w:t xml:space="preserve">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49.893,34</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1347</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Acondicionamiento de los diques del </w:t>
            </w:r>
            <w:proofErr w:type="spellStart"/>
            <w:r w:rsidRPr="007131C1">
              <w:rPr>
                <w:rFonts w:ascii="Lucida Bright" w:hAnsi="Lucida Bright" w:cs="Calibri"/>
                <w:color w:val="000000"/>
                <w:sz w:val="14"/>
                <w:szCs w:val="14"/>
                <w:lang w:val="es-ES"/>
              </w:rPr>
              <w:t>Portixol</w:t>
            </w:r>
            <w:proofErr w:type="spellEnd"/>
            <w:r w:rsidRPr="007131C1">
              <w:rPr>
                <w:rFonts w:ascii="Lucida Bright" w:hAnsi="Lucida Bright" w:cs="Calibri"/>
                <w:color w:val="000000"/>
                <w:sz w:val="14"/>
                <w:szCs w:val="14"/>
                <w:lang w:val="es-ES"/>
              </w:rPr>
              <w:t xml:space="preserve"> y del Molinar</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22.380,98</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1342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Modificación de las pasarelas fijas en los Muelles de Poniente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90.252,10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1339</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Refuerzo de banqueta y acondicionamiento estructural de los Muelles de </w:t>
            </w:r>
            <w:proofErr w:type="spellStart"/>
            <w:r w:rsidRPr="007131C1">
              <w:rPr>
                <w:rFonts w:ascii="Lucida Bright" w:hAnsi="Lucida Bright" w:cs="Calibri"/>
                <w:color w:val="000000"/>
                <w:sz w:val="14"/>
                <w:szCs w:val="14"/>
                <w:lang w:val="es-ES"/>
              </w:rPr>
              <w:t>Paraires</w:t>
            </w:r>
            <w:proofErr w:type="spellEnd"/>
            <w:r w:rsidRPr="007131C1">
              <w:rPr>
                <w:rFonts w:ascii="Lucida Bright" w:hAnsi="Lucida Bright" w:cs="Calibri"/>
                <w:color w:val="000000"/>
                <w:sz w:val="14"/>
                <w:szCs w:val="14"/>
                <w:lang w:val="es-ES"/>
              </w:rPr>
              <w:t xml:space="preserve"> y Poniente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83.455,06</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1337</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Acondicionamiento y mejora estructural del Muelle de San Magín en 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13.414,61</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1117-G</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Rehabilitación del faro de Conejera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16.806,72</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1116-G</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Rehabilitación de la cubierta y de elementos estructurales del faro de </w:t>
            </w:r>
            <w:proofErr w:type="spellStart"/>
            <w:r w:rsidRPr="007131C1">
              <w:rPr>
                <w:rFonts w:ascii="Lucida Bright" w:hAnsi="Lucida Bright" w:cs="Calibri"/>
                <w:color w:val="000000"/>
                <w:sz w:val="14"/>
                <w:szCs w:val="14"/>
                <w:lang w:val="es-ES"/>
              </w:rPr>
              <w:t>Tagomago</w:t>
            </w:r>
            <w:proofErr w:type="spellEnd"/>
            <w:r w:rsidRPr="007131C1">
              <w:rPr>
                <w:rFonts w:ascii="Lucida Bright" w:hAnsi="Lucida Bright" w:cs="Calibri"/>
                <w:color w:val="000000"/>
                <w:sz w:val="14"/>
                <w:szCs w:val="14"/>
                <w:lang w:val="es-ES"/>
              </w:rPr>
              <w:t xml:space="preserve"> </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18.487,39</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1109-G</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Plan de accesibilidad en los puertos de </w:t>
            </w:r>
            <w:proofErr w:type="spellStart"/>
            <w:r w:rsidRPr="007131C1">
              <w:rPr>
                <w:rFonts w:ascii="Lucida Bright" w:hAnsi="Lucida Bright" w:cs="Calibri"/>
                <w:color w:val="000000"/>
                <w:sz w:val="14"/>
                <w:szCs w:val="14"/>
                <w:lang w:val="es-ES"/>
              </w:rPr>
              <w:t>Eivissa</w:t>
            </w:r>
            <w:proofErr w:type="spellEnd"/>
            <w:r w:rsidRPr="007131C1">
              <w:rPr>
                <w:rFonts w:ascii="Lucida Bright" w:hAnsi="Lucida Bright" w:cs="Calibri"/>
                <w:color w:val="000000"/>
                <w:sz w:val="14"/>
                <w:szCs w:val="14"/>
                <w:lang w:val="es-ES"/>
              </w:rPr>
              <w:t xml:space="preserve">, La </w:t>
            </w:r>
            <w:proofErr w:type="spellStart"/>
            <w:r w:rsidRPr="007131C1">
              <w:rPr>
                <w:rFonts w:ascii="Lucida Bright" w:hAnsi="Lucida Bright" w:cs="Calibri"/>
                <w:color w:val="000000"/>
                <w:sz w:val="14"/>
                <w:szCs w:val="14"/>
                <w:lang w:val="es-ES"/>
              </w:rPr>
              <w:t>Savina</w:t>
            </w:r>
            <w:proofErr w:type="spellEnd"/>
            <w:r w:rsidRPr="007131C1">
              <w:rPr>
                <w:rFonts w:ascii="Lucida Bright" w:hAnsi="Lucida Bright" w:cs="Calibri"/>
                <w:color w:val="000000"/>
                <w:sz w:val="14"/>
                <w:szCs w:val="14"/>
                <w:lang w:val="es-ES"/>
              </w:rPr>
              <w:t xml:space="preserve">, </w:t>
            </w:r>
            <w:proofErr w:type="spellStart"/>
            <w:r w:rsidRPr="007131C1">
              <w:rPr>
                <w:rFonts w:ascii="Lucida Bright" w:hAnsi="Lucida Bright" w:cs="Calibri"/>
                <w:color w:val="000000"/>
                <w:sz w:val="14"/>
                <w:szCs w:val="14"/>
                <w:lang w:val="es-ES"/>
              </w:rPr>
              <w:t>Maó</w:t>
            </w:r>
            <w:proofErr w:type="spellEnd"/>
            <w:r w:rsidRPr="007131C1">
              <w:rPr>
                <w:rFonts w:ascii="Lucida Bright" w:hAnsi="Lucida Bright" w:cs="Calibri"/>
                <w:color w:val="000000"/>
                <w:sz w:val="14"/>
                <w:szCs w:val="14"/>
                <w:lang w:val="es-ES"/>
              </w:rPr>
              <w:t xml:space="preserve"> y Alcudia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28.413,59</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1102-G</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Adecuación del vial de la Ribera de Poniente del puerto de </w:t>
            </w:r>
            <w:proofErr w:type="spellStart"/>
            <w:r w:rsidRPr="007131C1">
              <w:rPr>
                <w:rFonts w:ascii="Lucida Bright" w:hAnsi="Lucida Bright" w:cs="Calibri"/>
                <w:color w:val="000000"/>
                <w:sz w:val="14"/>
                <w:szCs w:val="14"/>
                <w:lang w:val="es-ES"/>
              </w:rPr>
              <w:t>Eivissa</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19.934,47</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1101-G</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Renovación de los sistemas de defensa de los muelles del puerto de </w:t>
            </w:r>
            <w:proofErr w:type="spellStart"/>
            <w:r w:rsidRPr="007131C1">
              <w:rPr>
                <w:rFonts w:ascii="Lucida Bright" w:hAnsi="Lucida Bright" w:cs="Calibri"/>
                <w:color w:val="000000"/>
                <w:sz w:val="14"/>
                <w:szCs w:val="14"/>
                <w:lang w:val="es-ES"/>
              </w:rPr>
              <w:t>Eivissa</w:t>
            </w:r>
            <w:proofErr w:type="spellEnd"/>
            <w:r w:rsidRPr="007131C1">
              <w:rPr>
                <w:rFonts w:ascii="Lucida Bright" w:hAnsi="Lucida Bright" w:cs="Calibri"/>
                <w:color w:val="000000"/>
                <w:sz w:val="14"/>
                <w:szCs w:val="14"/>
                <w:lang w:val="es-ES"/>
              </w:rPr>
              <w:t xml:space="preserve"> (Lote 1: </w:t>
            </w:r>
            <w:proofErr w:type="spellStart"/>
            <w:r w:rsidRPr="007131C1">
              <w:rPr>
                <w:rFonts w:ascii="Lucida Bright" w:hAnsi="Lucida Bright" w:cs="Calibri"/>
                <w:color w:val="000000"/>
                <w:sz w:val="14"/>
                <w:szCs w:val="14"/>
                <w:lang w:val="es-ES"/>
              </w:rPr>
              <w:t>Eivissa</w:t>
            </w:r>
            <w:proofErr w:type="spellEnd"/>
            <w:r w:rsidRPr="007131C1">
              <w:rPr>
                <w:rFonts w:ascii="Lucida Bright" w:hAnsi="Lucida Bright" w:cs="Calibri"/>
                <w:color w:val="000000"/>
                <w:sz w:val="14"/>
                <w:szCs w:val="14"/>
                <w:lang w:val="es-ES"/>
              </w:rPr>
              <w:t>)</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28.519,80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1098-G</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Mejora de la carretera Me-3 entre el PK+0,00 y el PK+800, para el acceso al </w:t>
            </w:r>
            <w:proofErr w:type="spellStart"/>
            <w:r w:rsidRPr="007131C1">
              <w:rPr>
                <w:rFonts w:ascii="Lucida Bright" w:hAnsi="Lucida Bright" w:cs="Calibri"/>
                <w:color w:val="000000"/>
                <w:sz w:val="14"/>
                <w:szCs w:val="14"/>
                <w:lang w:val="es-ES"/>
              </w:rPr>
              <w:t>Cós</w:t>
            </w:r>
            <w:proofErr w:type="spellEnd"/>
            <w:r w:rsidRPr="007131C1">
              <w:rPr>
                <w:rFonts w:ascii="Lucida Bright" w:hAnsi="Lucida Bright" w:cs="Calibri"/>
                <w:color w:val="000000"/>
                <w:sz w:val="14"/>
                <w:szCs w:val="14"/>
                <w:lang w:val="es-ES"/>
              </w:rPr>
              <w:t xml:space="preserve"> </w:t>
            </w:r>
            <w:proofErr w:type="spellStart"/>
            <w:r w:rsidRPr="007131C1">
              <w:rPr>
                <w:rFonts w:ascii="Lucida Bright" w:hAnsi="Lucida Bright" w:cs="Calibri"/>
                <w:color w:val="000000"/>
                <w:sz w:val="14"/>
                <w:szCs w:val="14"/>
                <w:lang w:val="es-ES"/>
              </w:rPr>
              <w:t>Nou</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22.554,62</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lastRenderedPageBreak/>
              <w:t>P.O. 90.18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Acondicionamiento y reparación del muelle des </w:t>
            </w:r>
            <w:proofErr w:type="spellStart"/>
            <w:r w:rsidRPr="007131C1">
              <w:rPr>
                <w:rFonts w:ascii="Lucida Bright" w:hAnsi="Lucida Bright" w:cs="Calibri"/>
                <w:color w:val="000000"/>
                <w:sz w:val="14"/>
                <w:szCs w:val="14"/>
                <w:lang w:val="es-ES"/>
              </w:rPr>
              <w:t>Jonque</w:t>
            </w:r>
            <w:proofErr w:type="spellEnd"/>
            <w:r w:rsidRPr="007131C1">
              <w:rPr>
                <w:rFonts w:ascii="Lucida Bright" w:hAnsi="Lucida Bright" w:cs="Calibri"/>
                <w:color w:val="000000"/>
                <w:sz w:val="14"/>
                <w:szCs w:val="14"/>
                <w:lang w:val="es-ES"/>
              </w:rPr>
              <w:t xml:space="preserve"> del </w:t>
            </w:r>
            <w:proofErr w:type="spellStart"/>
            <w:r w:rsidRPr="007131C1">
              <w:rPr>
                <w:rFonts w:ascii="Lucida Bright" w:hAnsi="Lucida Bright" w:cs="Calibri"/>
                <w:color w:val="000000"/>
                <w:sz w:val="14"/>
                <w:szCs w:val="14"/>
                <w:lang w:val="es-ES"/>
              </w:rPr>
              <w:t>Cos</w:t>
            </w:r>
            <w:proofErr w:type="spellEnd"/>
            <w:r w:rsidRPr="007131C1">
              <w:rPr>
                <w:rFonts w:ascii="Lucida Bright" w:hAnsi="Lucida Bright" w:cs="Calibri"/>
                <w:color w:val="000000"/>
                <w:sz w:val="14"/>
                <w:szCs w:val="14"/>
                <w:lang w:val="es-ES"/>
              </w:rPr>
              <w:t xml:space="preserve"> </w:t>
            </w:r>
            <w:proofErr w:type="spellStart"/>
            <w:r w:rsidRPr="007131C1">
              <w:rPr>
                <w:rFonts w:ascii="Lucida Bright" w:hAnsi="Lucida Bright" w:cs="Calibri"/>
                <w:color w:val="000000"/>
                <w:sz w:val="14"/>
                <w:szCs w:val="14"/>
                <w:lang w:val="es-ES"/>
              </w:rPr>
              <w:t>Nou</w:t>
            </w:r>
            <w:proofErr w:type="spellEnd"/>
            <w:r w:rsidRPr="007131C1">
              <w:rPr>
                <w:rFonts w:ascii="Lucida Bright" w:hAnsi="Lucida Bright" w:cs="Calibri"/>
                <w:color w:val="000000"/>
                <w:sz w:val="14"/>
                <w:szCs w:val="14"/>
                <w:lang w:val="es-ES"/>
              </w:rPr>
              <w:t xml:space="preserve"> del puerto de </w:t>
            </w:r>
            <w:proofErr w:type="spellStart"/>
            <w:r w:rsidRPr="007131C1">
              <w:rPr>
                <w:rFonts w:ascii="Lucida Bright" w:hAnsi="Lucida Bright" w:cs="Calibri"/>
                <w:color w:val="000000"/>
                <w:sz w:val="14"/>
                <w:szCs w:val="14"/>
                <w:lang w:val="es-ES"/>
              </w:rPr>
              <w:t>Maó</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27.356,83 </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31/12/2038</w:t>
            </w:r>
          </w:p>
        </w:tc>
      </w:tr>
      <w:tr w:rsidR="007131C1" w:rsidRPr="007131C1" w:rsidTr="007131C1">
        <w:trPr>
          <w:trHeight w:val="225"/>
        </w:trPr>
        <w:tc>
          <w:tcPr>
            <w:tcW w:w="875" w:type="pct"/>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26"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22"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1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540" w:type="pct"/>
            <w:tcBorders>
              <w:top w:val="nil"/>
              <w:left w:val="single" w:sz="8" w:space="0" w:color="auto"/>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875" w:type="pct"/>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26"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22"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1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540" w:type="pct"/>
            <w:tcBorders>
              <w:top w:val="nil"/>
              <w:left w:val="single" w:sz="8" w:space="0" w:color="auto"/>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875" w:type="pct"/>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26"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22"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1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540" w:type="pct"/>
            <w:tcBorders>
              <w:top w:val="nil"/>
              <w:left w:val="single" w:sz="8" w:space="0" w:color="auto"/>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875" w:type="pct"/>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26"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22"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1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540" w:type="pct"/>
            <w:tcBorders>
              <w:top w:val="nil"/>
              <w:left w:val="single" w:sz="8" w:space="0" w:color="auto"/>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875" w:type="pct"/>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26"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22"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1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540" w:type="pct"/>
            <w:tcBorders>
              <w:top w:val="nil"/>
              <w:left w:val="single" w:sz="8" w:space="0" w:color="auto"/>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615"/>
        </w:trPr>
        <w:tc>
          <w:tcPr>
            <w:tcW w:w="875" w:type="pct"/>
            <w:tcBorders>
              <w:top w:val="nil"/>
              <w:left w:val="single" w:sz="8" w:space="0" w:color="auto"/>
              <w:bottom w:val="nil"/>
              <w:right w:val="nil"/>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40.17 (LOTE3)</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proofErr w:type="spellStart"/>
            <w:r w:rsidRPr="007131C1">
              <w:rPr>
                <w:rFonts w:ascii="Lucida Bright" w:hAnsi="Lucida Bright" w:cs="Calibri"/>
                <w:color w:val="000000"/>
                <w:sz w:val="14"/>
                <w:szCs w:val="14"/>
                <w:lang w:val="es-ES"/>
              </w:rPr>
              <w:t>A.T.para</w:t>
            </w:r>
            <w:proofErr w:type="spellEnd"/>
            <w:r w:rsidRPr="007131C1">
              <w:rPr>
                <w:rFonts w:ascii="Lucida Bright" w:hAnsi="Lucida Bright" w:cs="Calibri"/>
                <w:color w:val="000000"/>
                <w:sz w:val="14"/>
                <w:szCs w:val="14"/>
                <w:lang w:val="es-ES"/>
              </w:rPr>
              <w:t xml:space="preserve"> la redacción del proyecto y dirección de obra de los proyectos de rehabilitación de las infraestructuras de atraque en los muelles </w:t>
            </w:r>
            <w:proofErr w:type="spellStart"/>
            <w:r w:rsidRPr="007131C1">
              <w:rPr>
                <w:rFonts w:ascii="Lucida Bright" w:hAnsi="Lucida Bright" w:cs="Calibri"/>
                <w:color w:val="000000"/>
                <w:sz w:val="14"/>
                <w:szCs w:val="14"/>
                <w:lang w:val="es-ES"/>
              </w:rPr>
              <w:t>Paraires</w:t>
            </w:r>
            <w:proofErr w:type="spellEnd"/>
            <w:r w:rsidRPr="007131C1">
              <w:rPr>
                <w:rFonts w:ascii="Lucida Bright" w:hAnsi="Lucida Bright" w:cs="Calibri"/>
                <w:color w:val="000000"/>
                <w:sz w:val="14"/>
                <w:szCs w:val="14"/>
                <w:lang w:val="es-ES"/>
              </w:rPr>
              <w:t xml:space="preserve"> y Poniente Sur alin.1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24.915,13</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75.22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Suministro y montaje de tren de fondeo sobre los testeros de los pantalanes B</w:t>
            </w:r>
            <w:proofErr w:type="gramStart"/>
            <w:r w:rsidRPr="007131C1">
              <w:rPr>
                <w:rFonts w:ascii="Lucida Bright" w:hAnsi="Lucida Bright" w:cs="Calibri"/>
                <w:color w:val="000000"/>
                <w:sz w:val="14"/>
                <w:szCs w:val="14"/>
                <w:lang w:val="es-ES"/>
              </w:rPr>
              <w:t>,C</w:t>
            </w:r>
            <w:proofErr w:type="gramEnd"/>
            <w:r w:rsidRPr="007131C1">
              <w:rPr>
                <w:rFonts w:ascii="Lucida Bright" w:hAnsi="Lucida Bright" w:cs="Calibri"/>
                <w:color w:val="000000"/>
                <w:sz w:val="14"/>
                <w:szCs w:val="14"/>
                <w:lang w:val="es-ES"/>
              </w:rPr>
              <w:t xml:space="preserve"> y D del </w:t>
            </w:r>
            <w:proofErr w:type="spellStart"/>
            <w:r w:rsidRPr="007131C1">
              <w:rPr>
                <w:rFonts w:ascii="Lucida Bright" w:hAnsi="Lucida Bright" w:cs="Calibri"/>
                <w:color w:val="000000"/>
                <w:sz w:val="14"/>
                <w:szCs w:val="14"/>
                <w:lang w:val="es-ES"/>
              </w:rPr>
              <w:t>Moll</w:t>
            </w:r>
            <w:proofErr w:type="spellEnd"/>
            <w:r w:rsidRPr="007131C1">
              <w:rPr>
                <w:rFonts w:ascii="Lucida Bright" w:hAnsi="Lucida Bright" w:cs="Calibri"/>
                <w:color w:val="000000"/>
                <w:sz w:val="14"/>
                <w:szCs w:val="14"/>
                <w:lang w:val="es-ES"/>
              </w:rPr>
              <w:t xml:space="preserve"> de </w:t>
            </w:r>
            <w:proofErr w:type="spellStart"/>
            <w:r w:rsidRPr="007131C1">
              <w:rPr>
                <w:rFonts w:ascii="Lucida Bright" w:hAnsi="Lucida Bright" w:cs="Calibri"/>
                <w:color w:val="000000"/>
                <w:sz w:val="14"/>
                <w:szCs w:val="14"/>
                <w:lang w:val="es-ES"/>
              </w:rPr>
              <w:t>Llevant</w:t>
            </w:r>
            <w:proofErr w:type="spellEnd"/>
            <w:r w:rsidRPr="007131C1">
              <w:rPr>
                <w:rFonts w:ascii="Lucida Bright" w:hAnsi="Lucida Bright" w:cs="Calibri"/>
                <w:color w:val="000000"/>
                <w:sz w:val="14"/>
                <w:szCs w:val="14"/>
                <w:lang w:val="es-ES"/>
              </w:rPr>
              <w:t xml:space="preserve"> en el puerto de Mao.</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28.240,00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61.19</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Adecuación de la urbanización del entorno del edificio de oficinas de la APB en el puerto de </w:t>
            </w:r>
            <w:proofErr w:type="spellStart"/>
            <w:r w:rsidRPr="007131C1">
              <w:rPr>
                <w:rFonts w:ascii="Lucida Bright" w:hAnsi="Lucida Bright" w:cs="Calibri"/>
                <w:color w:val="000000"/>
                <w:sz w:val="14"/>
                <w:szCs w:val="14"/>
                <w:lang w:val="es-ES"/>
              </w:rPr>
              <w:t>Eivissa</w:t>
            </w:r>
            <w:proofErr w:type="spellEnd"/>
            <w:r w:rsidRPr="007131C1">
              <w:rPr>
                <w:rFonts w:ascii="Lucida Bright" w:hAnsi="Lucida Bright" w:cs="Calibri"/>
                <w:color w:val="000000"/>
                <w:sz w:val="14"/>
                <w:szCs w:val="14"/>
                <w:lang w:val="es-ES"/>
              </w:rPr>
              <w:t>-Ibiza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517.117,68</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93.19</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Adquisición de barreras de contención en los puertos de Palma, </w:t>
            </w:r>
            <w:proofErr w:type="spellStart"/>
            <w:r w:rsidRPr="007131C1">
              <w:rPr>
                <w:rFonts w:ascii="Lucida Bright" w:hAnsi="Lucida Bright" w:cs="Calibri"/>
                <w:color w:val="000000"/>
                <w:sz w:val="14"/>
                <w:szCs w:val="14"/>
                <w:lang w:val="es-ES"/>
              </w:rPr>
              <w:t>Eivissa</w:t>
            </w:r>
            <w:proofErr w:type="spellEnd"/>
            <w:r w:rsidRPr="007131C1">
              <w:rPr>
                <w:rFonts w:ascii="Lucida Bright" w:hAnsi="Lucida Bright" w:cs="Calibri"/>
                <w:color w:val="000000"/>
                <w:sz w:val="14"/>
                <w:szCs w:val="14"/>
                <w:lang w:val="es-ES"/>
              </w:rPr>
              <w:t xml:space="preserve">-Ibiza y </w:t>
            </w:r>
            <w:proofErr w:type="spellStart"/>
            <w:r w:rsidRPr="007131C1">
              <w:rPr>
                <w:rFonts w:ascii="Lucida Bright" w:hAnsi="Lucida Bright" w:cs="Calibri"/>
                <w:color w:val="000000"/>
                <w:sz w:val="14"/>
                <w:szCs w:val="14"/>
                <w:lang w:val="es-ES"/>
              </w:rPr>
              <w:t>Maó</w:t>
            </w:r>
            <w:proofErr w:type="spellEnd"/>
            <w:r w:rsidRPr="007131C1">
              <w:rPr>
                <w:rFonts w:ascii="Lucida Bright" w:hAnsi="Lucida Bright" w:cs="Calibri"/>
                <w:color w:val="000000"/>
                <w:sz w:val="14"/>
                <w:szCs w:val="14"/>
                <w:lang w:val="es-ES"/>
              </w:rPr>
              <w:t>-Mahón. Lote 2. Mao-Mahón</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101.840,00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09.20</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Sustitución de cerramiento del recinto controlado del Puerto de </w:t>
            </w:r>
            <w:proofErr w:type="spellStart"/>
            <w:r w:rsidRPr="007131C1">
              <w:rPr>
                <w:rFonts w:ascii="Lucida Bright" w:hAnsi="Lucida Bright" w:cs="Calibri"/>
                <w:color w:val="000000"/>
                <w:sz w:val="14"/>
                <w:szCs w:val="14"/>
                <w:lang w:val="es-ES"/>
              </w:rPr>
              <w:t>Eivissa</w:t>
            </w:r>
            <w:proofErr w:type="spellEnd"/>
            <w:r w:rsidRPr="007131C1">
              <w:rPr>
                <w:rFonts w:ascii="Lucida Bright" w:hAnsi="Lucida Bright" w:cs="Calibri"/>
                <w:color w:val="000000"/>
                <w:sz w:val="14"/>
                <w:szCs w:val="14"/>
                <w:lang w:val="es-ES"/>
              </w:rPr>
              <w:t>-Ibiza.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254.816,43</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28.20</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A.T. para el levantamiento topográfico y redacción del proyecto de actualización y mejora de las redes de pluviales y residuales de los puertos de la APB</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42.635,99</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01.20</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Actuaciones para la mejora de la accesibilidad de las estaciones marítimas, pasarelas de embarque y oficinas de la APB en 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271.496,29</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1344</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A.T. para la redacción de los proyectos constructivos y la correspondiente tramitación ambiental de los nuevos atraques y explanadas para el </w:t>
            </w:r>
            <w:r w:rsidR="00DD448C" w:rsidRPr="007131C1">
              <w:rPr>
                <w:rFonts w:ascii="Lucida Bright" w:hAnsi="Lucida Bright" w:cs="Calibri"/>
                <w:color w:val="000000"/>
                <w:sz w:val="14"/>
                <w:szCs w:val="14"/>
                <w:lang w:val="es-ES"/>
              </w:rPr>
              <w:t>tráfico</w:t>
            </w:r>
            <w:r w:rsidRPr="007131C1">
              <w:rPr>
                <w:rFonts w:ascii="Lucida Bright" w:hAnsi="Lucida Bright" w:cs="Calibri"/>
                <w:color w:val="000000"/>
                <w:sz w:val="14"/>
                <w:szCs w:val="14"/>
                <w:lang w:val="es-ES"/>
              </w:rPr>
              <w:t xml:space="preserve"> de </w:t>
            </w:r>
            <w:proofErr w:type="spellStart"/>
            <w:r w:rsidRPr="007131C1">
              <w:rPr>
                <w:rFonts w:ascii="Lucida Bright" w:hAnsi="Lucida Bright" w:cs="Calibri"/>
                <w:color w:val="000000"/>
                <w:sz w:val="14"/>
                <w:szCs w:val="14"/>
                <w:lang w:val="es-ES"/>
              </w:rPr>
              <w:t>ferrys</w:t>
            </w:r>
            <w:proofErr w:type="spellEnd"/>
            <w:r w:rsidRPr="007131C1">
              <w:rPr>
                <w:rFonts w:ascii="Lucida Bright" w:hAnsi="Lucida Bright" w:cs="Calibri"/>
                <w:color w:val="000000"/>
                <w:sz w:val="14"/>
                <w:szCs w:val="14"/>
                <w:lang w:val="es-ES"/>
              </w:rPr>
              <w:t xml:space="preserve"> en el dique del Oeste</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323.833,62</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1340.1</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Actuaciones para la mejora de la accesibilidad de los viales y espacios públicos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238.751,93</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40.19</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Adecuación de las pilas de la pasarela de conexión entre las estaciones marítimas 1 y 2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115.194,43</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93.20</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Adecuación del parque infantil en la dársena del Molinar de Levante</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13.456,90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99.20</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Rehabilitación estructural del cajón situado bajo la rampa RO-RO de los muelles comerciales-dique del puerto de La </w:t>
            </w:r>
            <w:proofErr w:type="spellStart"/>
            <w:r w:rsidRPr="007131C1">
              <w:rPr>
                <w:rFonts w:ascii="Lucida Bright" w:hAnsi="Lucida Bright" w:cs="Calibri"/>
                <w:color w:val="000000"/>
                <w:sz w:val="14"/>
                <w:szCs w:val="14"/>
                <w:lang w:val="es-ES"/>
              </w:rPr>
              <w:t>Savina</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73.195,74</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19.21  LOTE 1</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Adecuación de las dependencias del Cuerpo Nacional de Policía y de la Guardia Civil en la Estación Marítima n.2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16.974,12</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19.21 LOTE2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Adecuación de las dependencias del Cuerpo Nacional de Policía y de la Guardia Civil en la Estación Marítima n.2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3.742,68</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07.21</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Instalación de un punto de recarga para vehículos eléctricos en el </w:t>
            </w:r>
            <w:proofErr w:type="spellStart"/>
            <w:r w:rsidRPr="007131C1">
              <w:rPr>
                <w:rFonts w:ascii="Lucida Bright" w:hAnsi="Lucida Bright" w:cs="Calibri"/>
                <w:color w:val="000000"/>
                <w:sz w:val="14"/>
                <w:szCs w:val="14"/>
                <w:lang w:val="es-ES"/>
              </w:rPr>
              <w:t>Moll</w:t>
            </w:r>
            <w:proofErr w:type="spellEnd"/>
            <w:r w:rsidRPr="007131C1">
              <w:rPr>
                <w:rFonts w:ascii="Lucida Bright" w:hAnsi="Lucida Bright" w:cs="Calibri"/>
                <w:color w:val="000000"/>
                <w:sz w:val="14"/>
                <w:szCs w:val="14"/>
                <w:lang w:val="es-ES"/>
              </w:rPr>
              <w:t xml:space="preserve"> </w:t>
            </w:r>
            <w:proofErr w:type="spellStart"/>
            <w:r w:rsidRPr="007131C1">
              <w:rPr>
                <w:rFonts w:ascii="Lucida Bright" w:hAnsi="Lucida Bright" w:cs="Calibri"/>
                <w:color w:val="000000"/>
                <w:sz w:val="14"/>
                <w:szCs w:val="14"/>
                <w:lang w:val="es-ES"/>
              </w:rPr>
              <w:t>Vell</w:t>
            </w:r>
            <w:proofErr w:type="spellEnd"/>
            <w:r w:rsidRPr="007131C1">
              <w:rPr>
                <w:rFonts w:ascii="Lucida Bright" w:hAnsi="Lucida Bright" w:cs="Calibri"/>
                <w:color w:val="000000"/>
                <w:sz w:val="14"/>
                <w:szCs w:val="14"/>
                <w:lang w:val="es-ES"/>
              </w:rPr>
              <w:t xml:space="preserve"> n. 9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8.137,72</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1345</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Remodelación del Paseo Marítimo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829.101,92</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43.21</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Adecuación de la línea aérea de media tensión del faro de Cala Figuera para la protección de la avifauna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11.783,86</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04.22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Suministro de material anticontaminación para los puertos de </w:t>
            </w:r>
            <w:proofErr w:type="spellStart"/>
            <w:r w:rsidRPr="007131C1">
              <w:rPr>
                <w:rFonts w:ascii="Lucida Bright" w:hAnsi="Lucida Bright" w:cs="Calibri"/>
                <w:color w:val="000000"/>
                <w:sz w:val="14"/>
                <w:szCs w:val="14"/>
                <w:lang w:val="es-ES"/>
              </w:rPr>
              <w:t>Eivissa</w:t>
            </w:r>
            <w:proofErr w:type="spellEnd"/>
            <w:r w:rsidRPr="007131C1">
              <w:rPr>
                <w:rFonts w:ascii="Lucida Bright" w:hAnsi="Lucida Bright" w:cs="Calibri"/>
                <w:color w:val="000000"/>
                <w:sz w:val="14"/>
                <w:szCs w:val="14"/>
                <w:lang w:val="es-ES"/>
              </w:rPr>
              <w:t xml:space="preserve">-Ibiza y La </w:t>
            </w:r>
            <w:proofErr w:type="spellStart"/>
            <w:r w:rsidRPr="007131C1">
              <w:rPr>
                <w:rFonts w:ascii="Lucida Bright" w:hAnsi="Lucida Bright" w:cs="Calibri"/>
                <w:color w:val="000000"/>
                <w:sz w:val="14"/>
                <w:szCs w:val="14"/>
                <w:lang w:val="es-ES"/>
              </w:rPr>
              <w:t>Savina</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14.495,45</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lastRenderedPageBreak/>
              <w:t>P.O. 30.22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Elaboración de un video representativo y divulgativo del proyecto constructivo para la remodelación del Paseo Marítimo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14.900,00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16.22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Adecuación del muelle colindante a la Estación Marítima para las operaciones de los transportes turísticos en el Puerto de la </w:t>
            </w:r>
            <w:proofErr w:type="spellStart"/>
            <w:r w:rsidRPr="007131C1">
              <w:rPr>
                <w:rFonts w:ascii="Lucida Bright" w:hAnsi="Lucida Bright" w:cs="Calibri"/>
                <w:color w:val="000000"/>
                <w:sz w:val="14"/>
                <w:szCs w:val="14"/>
                <w:lang w:val="es-ES"/>
              </w:rPr>
              <w:t>Savina</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30.732,60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50.22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Suministro de nuevos equipos para balizamiento de naufragios para los puertos de la Autoridad Portuaria de Baleares - Lote 3 (</w:t>
            </w:r>
            <w:proofErr w:type="spellStart"/>
            <w:r w:rsidRPr="007131C1">
              <w:rPr>
                <w:rFonts w:ascii="Lucida Bright" w:hAnsi="Lucida Bright" w:cs="Calibri"/>
                <w:color w:val="000000"/>
                <w:sz w:val="14"/>
                <w:szCs w:val="14"/>
                <w:lang w:val="es-ES"/>
              </w:rPr>
              <w:t>Eivissa</w:t>
            </w:r>
            <w:proofErr w:type="spellEnd"/>
            <w:r w:rsidRPr="007131C1">
              <w:rPr>
                <w:rFonts w:ascii="Lucida Bright" w:hAnsi="Lucida Bright" w:cs="Calibri"/>
                <w:color w:val="000000"/>
                <w:sz w:val="14"/>
                <w:szCs w:val="14"/>
                <w:lang w:val="es-ES"/>
              </w:rPr>
              <w:t>)</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15.300,00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1079-G</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Acondicionamiento y mejora estructural del atraque de Levante del Muelle de pasajeros</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296.271,02</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1095-G</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Rehabilitación de los elementos de protección de la cimentación del dique de </w:t>
            </w:r>
            <w:proofErr w:type="spellStart"/>
            <w:r w:rsidRPr="007131C1">
              <w:rPr>
                <w:rFonts w:ascii="Lucida Bright" w:hAnsi="Lucida Bright" w:cs="Calibri"/>
                <w:color w:val="000000"/>
                <w:sz w:val="14"/>
                <w:szCs w:val="14"/>
                <w:lang w:val="es-ES"/>
              </w:rPr>
              <w:t>Botafoc</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147.526,72</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1097-G</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Mejora de la urbanización de las calles Teodoro </w:t>
            </w:r>
            <w:proofErr w:type="spellStart"/>
            <w:r w:rsidRPr="007131C1">
              <w:rPr>
                <w:rFonts w:ascii="Lucida Bright" w:hAnsi="Lucida Bright" w:cs="Calibri"/>
                <w:color w:val="000000"/>
                <w:sz w:val="14"/>
                <w:szCs w:val="14"/>
                <w:lang w:val="es-ES"/>
              </w:rPr>
              <w:t>Canet</w:t>
            </w:r>
            <w:proofErr w:type="spellEnd"/>
            <w:r w:rsidRPr="007131C1">
              <w:rPr>
                <w:rFonts w:ascii="Lucida Bright" w:hAnsi="Lucida Bright" w:cs="Calibri"/>
                <w:color w:val="000000"/>
                <w:sz w:val="14"/>
                <w:szCs w:val="14"/>
                <w:lang w:val="es-ES"/>
              </w:rPr>
              <w:t xml:space="preserve"> y Gabriel Roca en el puerto de </w:t>
            </w:r>
            <w:proofErr w:type="spellStart"/>
            <w:r w:rsidRPr="007131C1">
              <w:rPr>
                <w:rFonts w:ascii="Lucida Bright" w:hAnsi="Lucida Bright" w:cs="Calibri"/>
                <w:color w:val="000000"/>
                <w:sz w:val="14"/>
                <w:szCs w:val="14"/>
                <w:lang w:val="es-ES"/>
              </w:rPr>
              <w:t>Alcúdia</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11.566,01</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1330</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Ampliación de la explanada del Muelle de Poniente Norte en 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412.876,34</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1335</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Actuaciones para la mejora de la operatividad y el entorno Puerto-Ciudad en la dársena del Molinar de Levante</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122.769,32</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1339</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Refuerzo de banqueta y acondicionamiento estructural de los muelles de </w:t>
            </w:r>
            <w:proofErr w:type="spellStart"/>
            <w:r w:rsidRPr="007131C1">
              <w:rPr>
                <w:rFonts w:ascii="Lucida Bright" w:hAnsi="Lucida Bright" w:cs="Calibri"/>
                <w:color w:val="000000"/>
                <w:sz w:val="14"/>
                <w:szCs w:val="14"/>
                <w:lang w:val="es-ES"/>
              </w:rPr>
              <w:t>Paraires</w:t>
            </w:r>
            <w:proofErr w:type="spellEnd"/>
            <w:r w:rsidRPr="007131C1">
              <w:rPr>
                <w:rFonts w:ascii="Lucida Bright" w:hAnsi="Lucida Bright" w:cs="Calibri"/>
                <w:color w:val="000000"/>
                <w:sz w:val="14"/>
                <w:szCs w:val="14"/>
                <w:lang w:val="es-ES"/>
              </w:rPr>
              <w:t xml:space="preserve"> y Poniente</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32.268,90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1351</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Ordenación de superficies y viales para el acceso de vehículos y pasajeros al Dique del Oeste en 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41.680,67</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144.15</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A.T. para la dirección de obra del proyecto "Ampliación de la explanada del Muelle de Poniente Norte del puerto de Palma"(P.O. 1330)</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41.017,51</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52.18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A.T. para la redacción del proyecto constructivo y dirección de obra para la remodelación urbanística del paseo marítimo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6.822,99</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56.18-LOTE2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proofErr w:type="spellStart"/>
            <w:r w:rsidRPr="007131C1">
              <w:rPr>
                <w:rFonts w:ascii="Lucida Bright" w:hAnsi="Lucida Bright" w:cs="Calibri"/>
                <w:color w:val="000000"/>
                <w:sz w:val="14"/>
                <w:szCs w:val="14"/>
                <w:lang w:val="es-ES"/>
              </w:rPr>
              <w:t>A.T.a</w:t>
            </w:r>
            <w:proofErr w:type="spellEnd"/>
            <w:r w:rsidRPr="007131C1">
              <w:rPr>
                <w:rFonts w:ascii="Lucida Bright" w:hAnsi="Lucida Bright" w:cs="Calibri"/>
                <w:color w:val="000000"/>
                <w:sz w:val="14"/>
                <w:szCs w:val="14"/>
                <w:lang w:val="es-ES"/>
              </w:rPr>
              <w:t xml:space="preserve"> la dirección de obra de “Acondicionamiento de viales y zonas peatonales de acceso al puerto de la </w:t>
            </w:r>
            <w:proofErr w:type="spellStart"/>
            <w:r w:rsidRPr="007131C1">
              <w:rPr>
                <w:rFonts w:ascii="Lucida Bright" w:hAnsi="Lucida Bright" w:cs="Calibri"/>
                <w:color w:val="000000"/>
                <w:sz w:val="14"/>
                <w:szCs w:val="14"/>
                <w:lang w:val="es-ES"/>
              </w:rPr>
              <w:t>Savina</w:t>
            </w:r>
            <w:proofErr w:type="spellEnd"/>
            <w:r w:rsidRPr="007131C1">
              <w:rPr>
                <w:rFonts w:ascii="Lucida Bright" w:hAnsi="Lucida Bright" w:cs="Calibri"/>
                <w:color w:val="000000"/>
                <w:sz w:val="14"/>
                <w:szCs w:val="14"/>
                <w:lang w:val="es-ES"/>
              </w:rPr>
              <w:t>(P.O.1085-G)</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43.949,65</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56.18-LOTE3</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A.T. a la Dirección de obra de “Estación Marítima en Explanada y Muelles Comerciales al abrigo del Dique de </w:t>
            </w:r>
            <w:proofErr w:type="spellStart"/>
            <w:r w:rsidRPr="007131C1">
              <w:rPr>
                <w:rFonts w:ascii="Lucida Bright" w:hAnsi="Lucida Bright" w:cs="Calibri"/>
                <w:color w:val="000000"/>
                <w:sz w:val="14"/>
                <w:szCs w:val="14"/>
                <w:lang w:val="es-ES"/>
              </w:rPr>
              <w:t>Botafoc</w:t>
            </w:r>
            <w:proofErr w:type="spellEnd"/>
            <w:r w:rsidRPr="007131C1">
              <w:rPr>
                <w:rFonts w:ascii="Lucida Bright" w:hAnsi="Lucida Bright" w:cs="Calibri"/>
                <w:color w:val="000000"/>
                <w:sz w:val="14"/>
                <w:szCs w:val="14"/>
                <w:lang w:val="es-ES"/>
              </w:rPr>
              <w:t xml:space="preserve"> (P.O.1087-G)</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153.785,03</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75.18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Nueva red de drenaje y saneamiento del pavimento del vial de circulación del muelle de ribera del puerto de </w:t>
            </w:r>
            <w:proofErr w:type="spellStart"/>
            <w:r w:rsidRPr="007131C1">
              <w:rPr>
                <w:rFonts w:ascii="Lucida Bright" w:hAnsi="Lucida Bright" w:cs="Calibri"/>
                <w:color w:val="000000"/>
                <w:sz w:val="14"/>
                <w:szCs w:val="14"/>
                <w:lang w:val="es-ES"/>
              </w:rPr>
              <w:t>Alcúdia</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32.929,69</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84.18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Sistema de monitorización de la calidad del aire de los puertos de la APB</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15.936,74</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90.18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Acondicionamiento y reparación del muelle des </w:t>
            </w:r>
            <w:proofErr w:type="spellStart"/>
            <w:r w:rsidRPr="007131C1">
              <w:rPr>
                <w:rFonts w:ascii="Lucida Bright" w:hAnsi="Lucida Bright" w:cs="Calibri"/>
                <w:color w:val="000000"/>
                <w:sz w:val="14"/>
                <w:szCs w:val="14"/>
                <w:lang w:val="es-ES"/>
              </w:rPr>
              <w:t>Jonque</w:t>
            </w:r>
            <w:proofErr w:type="spellEnd"/>
            <w:r w:rsidRPr="007131C1">
              <w:rPr>
                <w:rFonts w:ascii="Lucida Bright" w:hAnsi="Lucida Bright" w:cs="Calibri"/>
                <w:color w:val="000000"/>
                <w:sz w:val="14"/>
                <w:szCs w:val="14"/>
                <w:lang w:val="es-ES"/>
              </w:rPr>
              <w:t xml:space="preserve"> del </w:t>
            </w:r>
            <w:proofErr w:type="spellStart"/>
            <w:r w:rsidRPr="007131C1">
              <w:rPr>
                <w:rFonts w:ascii="Lucida Bright" w:hAnsi="Lucida Bright" w:cs="Calibri"/>
                <w:color w:val="000000"/>
                <w:sz w:val="14"/>
                <w:szCs w:val="14"/>
                <w:lang w:val="es-ES"/>
              </w:rPr>
              <w:t>Cos</w:t>
            </w:r>
            <w:proofErr w:type="spellEnd"/>
            <w:r w:rsidRPr="007131C1">
              <w:rPr>
                <w:rFonts w:ascii="Lucida Bright" w:hAnsi="Lucida Bright" w:cs="Calibri"/>
                <w:color w:val="000000"/>
                <w:sz w:val="14"/>
                <w:szCs w:val="14"/>
                <w:lang w:val="es-ES"/>
              </w:rPr>
              <w:t xml:space="preserve"> </w:t>
            </w:r>
            <w:proofErr w:type="spellStart"/>
            <w:r w:rsidRPr="007131C1">
              <w:rPr>
                <w:rFonts w:ascii="Lucida Bright" w:hAnsi="Lucida Bright" w:cs="Calibri"/>
                <w:color w:val="000000"/>
                <w:sz w:val="14"/>
                <w:szCs w:val="14"/>
                <w:lang w:val="es-ES"/>
              </w:rPr>
              <w:t>Nou</w:t>
            </w:r>
            <w:proofErr w:type="spellEnd"/>
            <w:r w:rsidRPr="007131C1">
              <w:rPr>
                <w:rFonts w:ascii="Lucida Bright" w:hAnsi="Lucida Bright" w:cs="Calibri"/>
                <w:color w:val="000000"/>
                <w:sz w:val="14"/>
                <w:szCs w:val="14"/>
                <w:lang w:val="es-ES"/>
              </w:rPr>
              <w:t xml:space="preserve"> del puerto de </w:t>
            </w:r>
            <w:proofErr w:type="spellStart"/>
            <w:r w:rsidRPr="007131C1">
              <w:rPr>
                <w:rFonts w:ascii="Lucida Bright" w:hAnsi="Lucida Bright" w:cs="Calibri"/>
                <w:color w:val="000000"/>
                <w:sz w:val="14"/>
                <w:szCs w:val="14"/>
                <w:lang w:val="es-ES"/>
              </w:rPr>
              <w:t>Maó</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213.833,53</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31/12/2037</w:t>
            </w:r>
          </w:p>
        </w:tc>
      </w:tr>
      <w:tr w:rsidR="007131C1" w:rsidRPr="007131C1" w:rsidTr="007131C1">
        <w:trPr>
          <w:trHeight w:val="225"/>
        </w:trPr>
        <w:tc>
          <w:tcPr>
            <w:tcW w:w="875" w:type="pct"/>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26"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22"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1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540" w:type="pct"/>
            <w:tcBorders>
              <w:top w:val="nil"/>
              <w:left w:val="single" w:sz="8" w:space="0" w:color="auto"/>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875" w:type="pct"/>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26"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22"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1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540" w:type="pct"/>
            <w:tcBorders>
              <w:top w:val="nil"/>
              <w:left w:val="single" w:sz="8" w:space="0" w:color="auto"/>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875" w:type="pct"/>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26"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22"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1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540" w:type="pct"/>
            <w:tcBorders>
              <w:top w:val="nil"/>
              <w:left w:val="single" w:sz="8" w:space="0" w:color="auto"/>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875" w:type="pct"/>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26"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22"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1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540" w:type="pct"/>
            <w:tcBorders>
              <w:top w:val="nil"/>
              <w:left w:val="single" w:sz="8" w:space="0" w:color="auto"/>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875" w:type="pct"/>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26"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22"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1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540" w:type="pct"/>
            <w:tcBorders>
              <w:top w:val="nil"/>
              <w:left w:val="single" w:sz="8" w:space="0" w:color="auto"/>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36.21</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Contrato de colaboración en I+D entre la Autoridad Portuaria de Baleares y la </w:t>
            </w:r>
            <w:proofErr w:type="spellStart"/>
            <w:r w:rsidRPr="007131C1">
              <w:rPr>
                <w:rFonts w:ascii="Lucida Bright" w:hAnsi="Lucida Bright" w:cs="Calibri"/>
                <w:color w:val="000000"/>
                <w:sz w:val="14"/>
                <w:szCs w:val="14"/>
                <w:lang w:val="es-ES"/>
              </w:rPr>
              <w:t>Universitat</w:t>
            </w:r>
            <w:proofErr w:type="spellEnd"/>
            <w:r w:rsidRPr="007131C1">
              <w:rPr>
                <w:rFonts w:ascii="Lucida Bright" w:hAnsi="Lucida Bright" w:cs="Calibri"/>
                <w:color w:val="000000"/>
                <w:sz w:val="14"/>
                <w:szCs w:val="14"/>
                <w:lang w:val="es-ES"/>
              </w:rPr>
              <w:t xml:space="preserve"> </w:t>
            </w:r>
            <w:proofErr w:type="spellStart"/>
            <w:r w:rsidRPr="007131C1">
              <w:rPr>
                <w:rFonts w:ascii="Lucida Bright" w:hAnsi="Lucida Bright" w:cs="Calibri"/>
                <w:color w:val="000000"/>
                <w:sz w:val="14"/>
                <w:szCs w:val="14"/>
                <w:lang w:val="es-ES"/>
              </w:rPr>
              <w:t>Politècnica</w:t>
            </w:r>
            <w:proofErr w:type="spellEnd"/>
            <w:r w:rsidRPr="007131C1">
              <w:rPr>
                <w:rFonts w:ascii="Lucida Bright" w:hAnsi="Lucida Bright" w:cs="Calibri"/>
                <w:color w:val="000000"/>
                <w:sz w:val="14"/>
                <w:szCs w:val="14"/>
                <w:lang w:val="es-ES"/>
              </w:rPr>
              <w:t xml:space="preserve"> de Catalunya para el DESARROLLO DE UN PLAN DE ADAPTACION AL CAMBIO CLIMÁTICO PARA LOS PUERTOS DE LA AUTORIDAD PORTUARIA DE BALEARES</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49.200,00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615"/>
        </w:trPr>
        <w:tc>
          <w:tcPr>
            <w:tcW w:w="875" w:type="pct"/>
            <w:tcBorders>
              <w:top w:val="nil"/>
              <w:left w:val="single" w:sz="8" w:space="0" w:color="auto"/>
              <w:bottom w:val="nil"/>
              <w:right w:val="nil"/>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40.17 (LOTE3)</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proofErr w:type="spellStart"/>
            <w:r w:rsidRPr="007131C1">
              <w:rPr>
                <w:rFonts w:ascii="Lucida Bright" w:hAnsi="Lucida Bright" w:cs="Calibri"/>
                <w:color w:val="000000"/>
                <w:sz w:val="14"/>
                <w:szCs w:val="14"/>
                <w:lang w:val="es-ES"/>
              </w:rPr>
              <w:t>A.T.para</w:t>
            </w:r>
            <w:proofErr w:type="spellEnd"/>
            <w:r w:rsidRPr="007131C1">
              <w:rPr>
                <w:rFonts w:ascii="Lucida Bright" w:hAnsi="Lucida Bright" w:cs="Calibri"/>
                <w:color w:val="000000"/>
                <w:sz w:val="14"/>
                <w:szCs w:val="14"/>
                <w:lang w:val="es-ES"/>
              </w:rPr>
              <w:t xml:space="preserve"> la redacción del proyecto y dirección de obra de los proyectos de rehabilitación de las infraestructuras de atraque en los muelles </w:t>
            </w:r>
            <w:proofErr w:type="spellStart"/>
            <w:r w:rsidRPr="007131C1">
              <w:rPr>
                <w:rFonts w:ascii="Lucida Bright" w:hAnsi="Lucida Bright" w:cs="Calibri"/>
                <w:color w:val="000000"/>
                <w:sz w:val="14"/>
                <w:szCs w:val="14"/>
                <w:lang w:val="es-ES"/>
              </w:rPr>
              <w:t>Paraires</w:t>
            </w:r>
            <w:proofErr w:type="spellEnd"/>
            <w:r w:rsidRPr="007131C1">
              <w:rPr>
                <w:rFonts w:ascii="Lucida Bright" w:hAnsi="Lucida Bright" w:cs="Calibri"/>
                <w:color w:val="000000"/>
                <w:sz w:val="14"/>
                <w:szCs w:val="14"/>
                <w:lang w:val="es-ES"/>
              </w:rPr>
              <w:t xml:space="preserve"> y Poniente Sur alin.1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7.469,81</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85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lastRenderedPageBreak/>
              <w:t>P.O. 52.21</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ENCARGO AL CENTRO DE ESTUDIOS Y EXPERIMENTACIÓN DE OBRAS PÚBLICAS O.A. Y M.P. (CEDEX) PARA LA REALIZACIÓN DE UNA VALORACIÓN GLOBAL DE LOS INFORMES REALIZADOS PARA EL ESTUDIO DEL ESTADO DE CORROSIÓN DEL DIQUE BOTAFOC, EN EL PUERTO DE IBIZA.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11.312,00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70.18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Mejora del puesto de inspección al pasajero en la EM del Puerto de Alcudia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45.470,98</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630"/>
        </w:trPr>
        <w:tc>
          <w:tcPr>
            <w:tcW w:w="875" w:type="pct"/>
            <w:tcBorders>
              <w:top w:val="nil"/>
              <w:left w:val="single" w:sz="8" w:space="0" w:color="auto"/>
              <w:bottom w:val="nil"/>
              <w:right w:val="nil"/>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93.19 (LOTE1)</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Adquisición de barreras de contención en los puertos de Palma, </w:t>
            </w:r>
            <w:proofErr w:type="spellStart"/>
            <w:r w:rsidRPr="007131C1">
              <w:rPr>
                <w:rFonts w:ascii="Lucida Bright" w:hAnsi="Lucida Bright" w:cs="Calibri"/>
                <w:color w:val="000000"/>
                <w:sz w:val="14"/>
                <w:szCs w:val="14"/>
                <w:lang w:val="es-ES"/>
              </w:rPr>
              <w:t>Eivissa</w:t>
            </w:r>
            <w:proofErr w:type="spellEnd"/>
            <w:r w:rsidRPr="007131C1">
              <w:rPr>
                <w:rFonts w:ascii="Lucida Bright" w:hAnsi="Lucida Bright" w:cs="Calibri"/>
                <w:color w:val="000000"/>
                <w:sz w:val="14"/>
                <w:szCs w:val="14"/>
                <w:lang w:val="es-ES"/>
              </w:rPr>
              <w:t xml:space="preserve"> y Mao. Lote 1.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97.407,00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705"/>
        </w:trPr>
        <w:tc>
          <w:tcPr>
            <w:tcW w:w="875" w:type="pct"/>
            <w:tcBorders>
              <w:top w:val="nil"/>
              <w:left w:val="single" w:sz="8" w:space="0" w:color="auto"/>
              <w:bottom w:val="nil"/>
              <w:right w:val="nil"/>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93.19 (LOTE3)</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Adquisición de barreras de contención en los puertos de Palma, </w:t>
            </w:r>
            <w:proofErr w:type="spellStart"/>
            <w:r w:rsidRPr="007131C1">
              <w:rPr>
                <w:rFonts w:ascii="Lucida Bright" w:hAnsi="Lucida Bright" w:cs="Calibri"/>
                <w:color w:val="000000"/>
                <w:sz w:val="14"/>
                <w:szCs w:val="14"/>
                <w:lang w:val="es-ES"/>
              </w:rPr>
              <w:t>Eivissa</w:t>
            </w:r>
            <w:proofErr w:type="spellEnd"/>
            <w:r w:rsidRPr="007131C1">
              <w:rPr>
                <w:rFonts w:ascii="Lucida Bright" w:hAnsi="Lucida Bright" w:cs="Calibri"/>
                <w:color w:val="000000"/>
                <w:sz w:val="14"/>
                <w:szCs w:val="14"/>
                <w:lang w:val="es-ES"/>
              </w:rPr>
              <w:t xml:space="preserve"> y Mao. Lote 3. </w:t>
            </w:r>
            <w:proofErr w:type="spellStart"/>
            <w:r w:rsidRPr="007131C1">
              <w:rPr>
                <w:rFonts w:ascii="Lucida Bright" w:hAnsi="Lucida Bright" w:cs="Calibri"/>
                <w:color w:val="000000"/>
                <w:sz w:val="14"/>
                <w:szCs w:val="14"/>
                <w:lang w:val="es-ES"/>
              </w:rPr>
              <w:t>Eivissa</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125.440,80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64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06.15</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Mejora de la pavimentación de la acera del lado mar del camino de la escollera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325.276,31</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76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28.20</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A.T. para el levantamiento topográfico y redacción del proyecto de actualización y mejora de las redes de pluviales y residuales de los puertos de la APB</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245.685,39</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79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1344</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A.T. para la redacción de los proyectos constructivos y la correspondiente tramitación ambiental de los nuevos atraques y explanadas para el </w:t>
            </w:r>
            <w:r w:rsidR="00DD448C" w:rsidRPr="007131C1">
              <w:rPr>
                <w:rFonts w:ascii="Lucida Bright" w:hAnsi="Lucida Bright" w:cs="Calibri"/>
                <w:color w:val="000000"/>
                <w:sz w:val="14"/>
                <w:szCs w:val="14"/>
                <w:lang w:val="es-ES"/>
              </w:rPr>
              <w:t>tráfico</w:t>
            </w:r>
            <w:r w:rsidRPr="007131C1">
              <w:rPr>
                <w:rFonts w:ascii="Lucida Bright" w:hAnsi="Lucida Bright" w:cs="Calibri"/>
                <w:color w:val="000000"/>
                <w:sz w:val="14"/>
                <w:szCs w:val="14"/>
                <w:lang w:val="es-ES"/>
              </w:rPr>
              <w:t xml:space="preserve"> de </w:t>
            </w:r>
            <w:proofErr w:type="spellStart"/>
            <w:r w:rsidRPr="007131C1">
              <w:rPr>
                <w:rFonts w:ascii="Lucida Bright" w:hAnsi="Lucida Bright" w:cs="Calibri"/>
                <w:color w:val="000000"/>
                <w:sz w:val="14"/>
                <w:szCs w:val="14"/>
                <w:lang w:val="es-ES"/>
              </w:rPr>
              <w:t>ferrys</w:t>
            </w:r>
            <w:proofErr w:type="spellEnd"/>
            <w:r w:rsidRPr="007131C1">
              <w:rPr>
                <w:rFonts w:ascii="Lucida Bright" w:hAnsi="Lucida Bright" w:cs="Calibri"/>
                <w:color w:val="000000"/>
                <w:sz w:val="14"/>
                <w:szCs w:val="14"/>
                <w:lang w:val="es-ES"/>
              </w:rPr>
              <w:t xml:space="preserve"> en el dique del Oeste</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233.267,39</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600"/>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55.20</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Estudio de micro simulación de los efectos en el </w:t>
            </w:r>
            <w:r w:rsidR="00DD448C" w:rsidRPr="007131C1">
              <w:rPr>
                <w:rFonts w:ascii="Lucida Bright" w:hAnsi="Lucida Bright" w:cs="Calibri"/>
                <w:color w:val="000000"/>
                <w:sz w:val="14"/>
                <w:szCs w:val="14"/>
                <w:lang w:val="es-ES"/>
              </w:rPr>
              <w:t>tráfico</w:t>
            </w:r>
            <w:r w:rsidRPr="007131C1">
              <w:rPr>
                <w:rFonts w:ascii="Lucida Bright" w:hAnsi="Lucida Bright" w:cs="Calibri"/>
                <w:color w:val="000000"/>
                <w:sz w:val="14"/>
                <w:szCs w:val="14"/>
                <w:lang w:val="es-ES"/>
              </w:rPr>
              <w:t xml:space="preserve"> de la reducción de un carril en la capacidad del paseo Marítimo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4.633,22</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55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33.18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Nuevos recintos para el control de pasaportes en las estaciones marítimas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57.799,00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570"/>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68.20</w:t>
            </w:r>
          </w:p>
        </w:tc>
        <w:tc>
          <w:tcPr>
            <w:tcW w:w="1866" w:type="pct"/>
            <w:gridSpan w:val="3"/>
            <w:tcBorders>
              <w:top w:val="nil"/>
              <w:left w:val="nil"/>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Nueva instalación fotovoltaica para el faro </w:t>
            </w:r>
            <w:proofErr w:type="spellStart"/>
            <w:r w:rsidRPr="007131C1">
              <w:rPr>
                <w:rFonts w:ascii="Lucida Bright" w:hAnsi="Lucida Bright" w:cs="Calibri"/>
                <w:color w:val="000000"/>
                <w:sz w:val="14"/>
                <w:szCs w:val="14"/>
                <w:lang w:val="es-ES"/>
              </w:rPr>
              <w:t>dels</w:t>
            </w:r>
            <w:proofErr w:type="spellEnd"/>
            <w:r w:rsidRPr="007131C1">
              <w:rPr>
                <w:rFonts w:ascii="Lucida Bright" w:hAnsi="Lucida Bright" w:cs="Calibri"/>
                <w:color w:val="000000"/>
                <w:sz w:val="14"/>
                <w:szCs w:val="14"/>
                <w:lang w:val="es-ES"/>
              </w:rPr>
              <w:t xml:space="preserve"> </w:t>
            </w:r>
            <w:proofErr w:type="spellStart"/>
            <w:r w:rsidRPr="007131C1">
              <w:rPr>
                <w:rFonts w:ascii="Lucida Bright" w:hAnsi="Lucida Bright" w:cs="Calibri"/>
                <w:color w:val="000000"/>
                <w:sz w:val="14"/>
                <w:szCs w:val="14"/>
                <w:lang w:val="es-ES"/>
              </w:rPr>
              <w:t>Penjats</w:t>
            </w:r>
            <w:proofErr w:type="spellEnd"/>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7.454,08</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52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49.20</w:t>
            </w:r>
          </w:p>
        </w:tc>
        <w:tc>
          <w:tcPr>
            <w:tcW w:w="1866" w:type="pct"/>
            <w:gridSpan w:val="3"/>
            <w:tcBorders>
              <w:top w:val="nil"/>
              <w:left w:val="nil"/>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Reposición de la baliza de punta de </w:t>
            </w:r>
            <w:proofErr w:type="spellStart"/>
            <w:r w:rsidRPr="007131C1">
              <w:rPr>
                <w:rFonts w:ascii="Lucida Bright" w:hAnsi="Lucida Bright" w:cs="Calibri"/>
                <w:color w:val="000000"/>
                <w:sz w:val="14"/>
                <w:szCs w:val="14"/>
                <w:lang w:val="es-ES"/>
              </w:rPr>
              <w:t>s'Espero</w:t>
            </w:r>
            <w:proofErr w:type="spellEnd"/>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59.895,00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64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84.20</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Adquisición de equipos luminosos para la marca lateral de babor 34540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5.989,50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690"/>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26.19</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Suministro y montaje de sistema de compensación de marea para barrera flotante y lonas de protección para carrete y equipo hidráulico en el puerto de Alcudia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19.987,24</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67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88.20</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Sustitución de la linterna del faro de </w:t>
            </w:r>
            <w:proofErr w:type="spellStart"/>
            <w:r w:rsidRPr="007131C1">
              <w:rPr>
                <w:rFonts w:ascii="Lucida Bright" w:hAnsi="Lucida Bright" w:cs="Calibri"/>
                <w:color w:val="000000"/>
                <w:sz w:val="14"/>
                <w:szCs w:val="14"/>
                <w:lang w:val="es-ES"/>
              </w:rPr>
              <w:t>Tramuntana</w:t>
            </w:r>
            <w:proofErr w:type="spellEnd"/>
            <w:r w:rsidRPr="007131C1">
              <w:rPr>
                <w:rFonts w:ascii="Lucida Bright" w:hAnsi="Lucida Bright" w:cs="Calibri"/>
                <w:color w:val="000000"/>
                <w:sz w:val="14"/>
                <w:szCs w:val="14"/>
                <w:lang w:val="es-ES"/>
              </w:rPr>
              <w:t xml:space="preserve"> en la isla de </w:t>
            </w:r>
            <w:proofErr w:type="spellStart"/>
            <w:r w:rsidRPr="007131C1">
              <w:rPr>
                <w:rFonts w:ascii="Lucida Bright" w:hAnsi="Lucida Bright" w:cs="Calibri"/>
                <w:color w:val="000000"/>
                <w:sz w:val="14"/>
                <w:szCs w:val="14"/>
                <w:lang w:val="es-ES"/>
              </w:rPr>
              <w:t>Dragonera</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88.100,10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600"/>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86.20</w:t>
            </w:r>
          </w:p>
        </w:tc>
        <w:tc>
          <w:tcPr>
            <w:tcW w:w="1866" w:type="pct"/>
            <w:gridSpan w:val="3"/>
            <w:tcBorders>
              <w:top w:val="nil"/>
              <w:left w:val="nil"/>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Nuevo grupo electrógeno para el faro de Cala Figuera</w:t>
            </w:r>
          </w:p>
        </w:tc>
        <w:tc>
          <w:tcPr>
            <w:tcW w:w="460" w:type="pct"/>
            <w:tcBorders>
              <w:top w:val="nil"/>
              <w:left w:val="nil"/>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15.719,88</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600"/>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93.20</w:t>
            </w:r>
          </w:p>
        </w:tc>
        <w:tc>
          <w:tcPr>
            <w:tcW w:w="2326" w:type="pct"/>
            <w:gridSpan w:val="4"/>
            <w:tcBorders>
              <w:top w:val="nil"/>
              <w:left w:val="nil"/>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Adecuación del parque infantil en la dársena del Molinar de Levante</w:t>
            </w:r>
          </w:p>
        </w:tc>
        <w:tc>
          <w:tcPr>
            <w:tcW w:w="100" w:type="pct"/>
            <w:tcBorders>
              <w:top w:val="nil"/>
              <w:left w:val="nil"/>
              <w:bottom w:val="nil"/>
              <w:right w:val="single" w:sz="8" w:space="0" w:color="auto"/>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155.652,22</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67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100.20</w:t>
            </w:r>
          </w:p>
        </w:tc>
        <w:tc>
          <w:tcPr>
            <w:tcW w:w="1866" w:type="pct"/>
            <w:gridSpan w:val="3"/>
            <w:tcBorders>
              <w:top w:val="nil"/>
              <w:left w:val="nil"/>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Sustitución de las baterías del faro de la Isla del Aire</w:t>
            </w:r>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33.174,36</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705"/>
        </w:trPr>
        <w:tc>
          <w:tcPr>
            <w:tcW w:w="875" w:type="pct"/>
            <w:tcBorders>
              <w:top w:val="nil"/>
              <w:left w:val="single" w:sz="8" w:space="0" w:color="auto"/>
              <w:bottom w:val="nil"/>
              <w:right w:val="nil"/>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19.21 (LOTE1)</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Adecuación de las dependencias del Cuerpo Nacional de Policía y de la Guardia Civil en la Estación Marítima n.2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43.475,88</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720"/>
        </w:trPr>
        <w:tc>
          <w:tcPr>
            <w:tcW w:w="875" w:type="pct"/>
            <w:tcBorders>
              <w:top w:val="nil"/>
              <w:left w:val="single" w:sz="8" w:space="0" w:color="auto"/>
              <w:bottom w:val="nil"/>
              <w:right w:val="nil"/>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19.21 (LOTE2)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Adecuación de las dependencias del Cuerpo Nacional de Policía y de la Guardia Civil en la Estación Marítima n.2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8.008,29</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64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lastRenderedPageBreak/>
              <w:t>P.O. 27.21</w:t>
            </w:r>
          </w:p>
        </w:tc>
        <w:tc>
          <w:tcPr>
            <w:tcW w:w="2326" w:type="pct"/>
            <w:gridSpan w:val="4"/>
            <w:tcBorders>
              <w:top w:val="nil"/>
              <w:left w:val="nil"/>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Sustitución de la marca lateral de babor de la bocana del Molinar</w:t>
            </w: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7.150,00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32.21</w:t>
            </w:r>
          </w:p>
        </w:tc>
        <w:tc>
          <w:tcPr>
            <w:tcW w:w="2326" w:type="pct"/>
            <w:gridSpan w:val="4"/>
            <w:tcBorders>
              <w:top w:val="nil"/>
              <w:left w:val="nil"/>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Colocación de defensas en el Muelle de Levante del puerto de </w:t>
            </w:r>
            <w:proofErr w:type="spellStart"/>
            <w:r w:rsidRPr="007131C1">
              <w:rPr>
                <w:rFonts w:ascii="Lucida Bright" w:hAnsi="Lucida Bright" w:cs="Calibri"/>
                <w:color w:val="000000"/>
                <w:sz w:val="14"/>
                <w:szCs w:val="14"/>
                <w:lang w:val="es-ES"/>
              </w:rPr>
              <w:t>Eivissa</w:t>
            </w:r>
            <w:proofErr w:type="spellEnd"/>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18.400,00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630"/>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53.21</w:t>
            </w:r>
          </w:p>
        </w:tc>
        <w:tc>
          <w:tcPr>
            <w:tcW w:w="1866" w:type="pct"/>
            <w:gridSpan w:val="3"/>
            <w:tcBorders>
              <w:top w:val="nil"/>
              <w:left w:val="nil"/>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Sustitución de las baterías del faro Den </w:t>
            </w:r>
            <w:proofErr w:type="spellStart"/>
            <w:r w:rsidRPr="007131C1">
              <w:rPr>
                <w:rFonts w:ascii="Lucida Bright" w:hAnsi="Lucida Bright" w:cs="Calibri"/>
                <w:color w:val="000000"/>
                <w:sz w:val="14"/>
                <w:szCs w:val="14"/>
                <w:lang w:val="es-ES"/>
              </w:rPr>
              <w:t>Pou</w:t>
            </w:r>
            <w:proofErr w:type="spellEnd"/>
          </w:p>
        </w:tc>
        <w:tc>
          <w:tcPr>
            <w:tcW w:w="460" w:type="pct"/>
            <w:tcBorders>
              <w:top w:val="nil"/>
              <w:left w:val="nil"/>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8.570,64</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61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1079-G</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Acondicionamiento y mejora estructural del atraque de Levante del Muelle de pasajeros</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2.079,04</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79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109.18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Suministro, instalación y monitorización de tres puertas correderas para acceso a la zona restringida del muelle de cruceros en el puerto de </w:t>
            </w:r>
            <w:proofErr w:type="spellStart"/>
            <w:r w:rsidRPr="007131C1">
              <w:rPr>
                <w:rFonts w:ascii="Lucida Bright" w:hAnsi="Lucida Bright" w:cs="Calibri"/>
                <w:color w:val="000000"/>
                <w:sz w:val="14"/>
                <w:szCs w:val="14"/>
                <w:lang w:val="es-ES"/>
              </w:rPr>
              <w:t>Maó</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11.809,44</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67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1091-G</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Actuaciones para la mejora de la eficiencia energética del alumbrado público en el puerto de </w:t>
            </w:r>
            <w:proofErr w:type="spellStart"/>
            <w:r w:rsidRPr="007131C1">
              <w:rPr>
                <w:rFonts w:ascii="Lucida Bright" w:hAnsi="Lucida Bright" w:cs="Calibri"/>
                <w:color w:val="000000"/>
                <w:sz w:val="14"/>
                <w:szCs w:val="14"/>
                <w:lang w:val="es-ES"/>
              </w:rPr>
              <w:t>Maó</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741.157,29</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73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1097-G</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Mejora de la urbanización de las calles Teodoro </w:t>
            </w:r>
            <w:proofErr w:type="spellStart"/>
            <w:r w:rsidRPr="007131C1">
              <w:rPr>
                <w:rFonts w:ascii="Lucida Bright" w:hAnsi="Lucida Bright" w:cs="Calibri"/>
                <w:color w:val="000000"/>
                <w:sz w:val="14"/>
                <w:szCs w:val="14"/>
                <w:lang w:val="es-ES"/>
              </w:rPr>
              <w:t>Canet</w:t>
            </w:r>
            <w:proofErr w:type="spellEnd"/>
            <w:r w:rsidRPr="007131C1">
              <w:rPr>
                <w:rFonts w:ascii="Lucida Bright" w:hAnsi="Lucida Bright" w:cs="Calibri"/>
                <w:color w:val="000000"/>
                <w:sz w:val="14"/>
                <w:szCs w:val="14"/>
                <w:lang w:val="es-ES"/>
              </w:rPr>
              <w:t xml:space="preserve"> y Gabriel Roca en el puerto de </w:t>
            </w:r>
            <w:proofErr w:type="spellStart"/>
            <w:r w:rsidRPr="007131C1">
              <w:rPr>
                <w:rFonts w:ascii="Lucida Bright" w:hAnsi="Lucida Bright" w:cs="Calibri"/>
                <w:color w:val="000000"/>
                <w:sz w:val="14"/>
                <w:szCs w:val="14"/>
                <w:lang w:val="es-ES"/>
              </w:rPr>
              <w:t>Alcúdia</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802.725,13</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67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11.19</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Canalización de servicios en los muelles de </w:t>
            </w:r>
            <w:proofErr w:type="spellStart"/>
            <w:r w:rsidRPr="007131C1">
              <w:rPr>
                <w:rFonts w:ascii="Lucida Bright" w:hAnsi="Lucida Bright" w:cs="Calibri"/>
                <w:color w:val="000000"/>
                <w:sz w:val="14"/>
                <w:szCs w:val="14"/>
                <w:lang w:val="es-ES"/>
              </w:rPr>
              <w:t>Paraires</w:t>
            </w:r>
            <w:proofErr w:type="spellEnd"/>
            <w:r w:rsidRPr="007131C1">
              <w:rPr>
                <w:rFonts w:ascii="Lucida Bright" w:hAnsi="Lucida Bright" w:cs="Calibri"/>
                <w:color w:val="000000"/>
                <w:sz w:val="14"/>
                <w:szCs w:val="14"/>
                <w:lang w:val="es-ES"/>
              </w:rPr>
              <w:t xml:space="preserve"> y de Poniente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203.265,48</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125.18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A.T. para la redacción del proyecto básico para la integración puerto-ciudad en la zona del contramuelle </w:t>
            </w:r>
            <w:proofErr w:type="spellStart"/>
            <w:r w:rsidRPr="007131C1">
              <w:rPr>
                <w:rFonts w:ascii="Lucida Bright" w:hAnsi="Lucida Bright" w:cs="Calibri"/>
                <w:color w:val="000000"/>
                <w:sz w:val="14"/>
                <w:szCs w:val="14"/>
                <w:lang w:val="es-ES"/>
              </w:rPr>
              <w:t>Mollet</w:t>
            </w:r>
            <w:proofErr w:type="spellEnd"/>
            <w:r w:rsidRPr="007131C1">
              <w:rPr>
                <w:rFonts w:ascii="Lucida Bright" w:hAnsi="Lucida Bright" w:cs="Calibri"/>
                <w:color w:val="000000"/>
                <w:sz w:val="14"/>
                <w:szCs w:val="14"/>
                <w:lang w:val="es-ES"/>
              </w:rPr>
              <w:t xml:space="preserve"> y redacción del proyecto constructivo de los espacios libres de edificación de los jardines de </w:t>
            </w:r>
            <w:proofErr w:type="spellStart"/>
            <w:r w:rsidRPr="007131C1">
              <w:rPr>
                <w:rFonts w:ascii="Lucida Bright" w:hAnsi="Lucida Bright" w:cs="Calibri"/>
                <w:color w:val="000000"/>
                <w:sz w:val="14"/>
                <w:szCs w:val="14"/>
                <w:lang w:val="es-ES"/>
              </w:rPr>
              <w:t>Sant</w:t>
            </w:r>
            <w:proofErr w:type="spellEnd"/>
            <w:r w:rsidRPr="007131C1">
              <w:rPr>
                <w:rFonts w:ascii="Lucida Bright" w:hAnsi="Lucida Bright" w:cs="Calibri"/>
                <w:color w:val="000000"/>
                <w:sz w:val="14"/>
                <w:szCs w:val="14"/>
                <w:lang w:val="es-ES"/>
              </w:rPr>
              <w:t xml:space="preserve"> </w:t>
            </w:r>
            <w:proofErr w:type="spellStart"/>
            <w:r w:rsidRPr="007131C1">
              <w:rPr>
                <w:rFonts w:ascii="Lucida Bright" w:hAnsi="Lucida Bright" w:cs="Calibri"/>
                <w:color w:val="000000"/>
                <w:sz w:val="14"/>
                <w:szCs w:val="14"/>
                <w:lang w:val="es-ES"/>
              </w:rPr>
              <w:t>Elm</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50.567,10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690"/>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1335</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Actuaciones para la mejora de la operatividad y el entorno  puerto-ciudad en la dársena del Molinar de Levante</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259.383,17</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70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14.19</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Sustitución de la antena y su estructura soporte de la estación transmisora DGPS del faro de </w:t>
            </w:r>
            <w:proofErr w:type="spellStart"/>
            <w:r w:rsidRPr="007131C1">
              <w:rPr>
                <w:rFonts w:ascii="Lucida Bright" w:hAnsi="Lucida Bright" w:cs="Calibri"/>
                <w:color w:val="000000"/>
                <w:sz w:val="14"/>
                <w:szCs w:val="14"/>
                <w:lang w:val="es-ES"/>
              </w:rPr>
              <w:t>Maó</w:t>
            </w:r>
            <w:proofErr w:type="spellEnd"/>
            <w:r w:rsidRPr="007131C1">
              <w:rPr>
                <w:rFonts w:ascii="Lucida Bright" w:hAnsi="Lucida Bright" w:cs="Calibri"/>
                <w:color w:val="000000"/>
                <w:sz w:val="14"/>
                <w:szCs w:val="14"/>
                <w:lang w:val="es-ES"/>
              </w:rPr>
              <w:t xml:space="preserve"> en la punta de </w:t>
            </w:r>
            <w:proofErr w:type="spellStart"/>
            <w:r w:rsidRPr="007131C1">
              <w:rPr>
                <w:rFonts w:ascii="Lucida Bright" w:hAnsi="Lucida Bright" w:cs="Calibri"/>
                <w:color w:val="000000"/>
                <w:sz w:val="14"/>
                <w:szCs w:val="14"/>
                <w:lang w:val="es-ES"/>
              </w:rPr>
              <w:t>Sant</w:t>
            </w:r>
            <w:proofErr w:type="spellEnd"/>
            <w:r w:rsidRPr="007131C1">
              <w:rPr>
                <w:rFonts w:ascii="Lucida Bright" w:hAnsi="Lucida Bright" w:cs="Calibri"/>
                <w:color w:val="000000"/>
                <w:sz w:val="14"/>
                <w:szCs w:val="14"/>
                <w:lang w:val="es-ES"/>
              </w:rPr>
              <w:t xml:space="preserve"> Carles</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16.810,75</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780"/>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27.18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A.T. para la redacción del proyecto constructivo de mejora del entorno puerto-ciudad y de la operatividad en el puerto del Molinar</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7.292,54</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82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31.19</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Suministro y colocación de puertas para el acceso restringido a pantalanes de gestión directa en el puerto de </w:t>
            </w:r>
            <w:proofErr w:type="spellStart"/>
            <w:r w:rsidRPr="007131C1">
              <w:rPr>
                <w:rFonts w:ascii="Lucida Bright" w:hAnsi="Lucida Bright" w:cs="Calibri"/>
                <w:color w:val="000000"/>
                <w:sz w:val="14"/>
                <w:szCs w:val="14"/>
                <w:lang w:val="es-ES"/>
              </w:rPr>
              <w:t>Maó</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5.199,98</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690"/>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34.19</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Nuevo recinto para el aparcamiento de vehículos en la parcela del antiguo economato de marina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154.631,86</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870"/>
        </w:trPr>
        <w:tc>
          <w:tcPr>
            <w:tcW w:w="875" w:type="pct"/>
            <w:tcBorders>
              <w:top w:val="nil"/>
              <w:left w:val="single" w:sz="8" w:space="0" w:color="auto"/>
              <w:bottom w:val="nil"/>
              <w:right w:val="nil"/>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40.17 (LOTE2)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A.T. para la redacción del proyecto y dirección de obra de los proyectos de rehabilitación de las estructuras de atraque en los muelles dique Oeste </w:t>
            </w:r>
            <w:proofErr w:type="spellStart"/>
            <w:r w:rsidRPr="007131C1">
              <w:rPr>
                <w:rFonts w:ascii="Lucida Bright" w:hAnsi="Lucida Bright" w:cs="Calibri"/>
                <w:color w:val="000000"/>
                <w:sz w:val="14"/>
                <w:szCs w:val="14"/>
                <w:lang w:val="es-ES"/>
              </w:rPr>
              <w:t>alin</w:t>
            </w:r>
            <w:proofErr w:type="spellEnd"/>
            <w:r w:rsidRPr="007131C1">
              <w:rPr>
                <w:rFonts w:ascii="Lucida Bright" w:hAnsi="Lucida Bright" w:cs="Calibri"/>
                <w:color w:val="000000"/>
                <w:sz w:val="14"/>
                <w:szCs w:val="14"/>
                <w:lang w:val="es-ES"/>
              </w:rPr>
              <w:t>. 2 y Ribera San Carlos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31.468,58</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795"/>
        </w:trPr>
        <w:tc>
          <w:tcPr>
            <w:tcW w:w="875" w:type="pct"/>
            <w:tcBorders>
              <w:top w:val="nil"/>
              <w:left w:val="single" w:sz="8" w:space="0" w:color="auto"/>
              <w:bottom w:val="nil"/>
              <w:right w:val="nil"/>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40.17 (LOTE1)</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A.T. para la redacción del proyecto y dirección de obra de los proyectos de rehabilitación de las infraestructuras de atraque en el muelle adosado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8.084,60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870"/>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52.18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A.T. para la redacción del proyecto constructivo y dirección de obra para la remodelación urbanística del paseo marítimo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44.858,78</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930"/>
        </w:trPr>
        <w:tc>
          <w:tcPr>
            <w:tcW w:w="875" w:type="pct"/>
            <w:tcBorders>
              <w:top w:val="nil"/>
              <w:left w:val="single" w:sz="8" w:space="0" w:color="auto"/>
              <w:bottom w:val="nil"/>
              <w:right w:val="nil"/>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lastRenderedPageBreak/>
              <w:t>P.O. 56.18 (LOTE2)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proofErr w:type="spellStart"/>
            <w:r w:rsidRPr="007131C1">
              <w:rPr>
                <w:rFonts w:ascii="Lucida Bright" w:hAnsi="Lucida Bright" w:cs="Calibri"/>
                <w:color w:val="000000"/>
                <w:sz w:val="14"/>
                <w:szCs w:val="14"/>
                <w:lang w:val="es-ES"/>
              </w:rPr>
              <w:t>A.T.a</w:t>
            </w:r>
            <w:proofErr w:type="spellEnd"/>
            <w:r w:rsidRPr="007131C1">
              <w:rPr>
                <w:rFonts w:ascii="Lucida Bright" w:hAnsi="Lucida Bright" w:cs="Calibri"/>
                <w:color w:val="000000"/>
                <w:sz w:val="14"/>
                <w:szCs w:val="14"/>
                <w:lang w:val="es-ES"/>
              </w:rPr>
              <w:t xml:space="preserve"> la dirección de obra de “Acondicionamiento de viales y zonas peatonales de acceso al puerto de la </w:t>
            </w:r>
            <w:proofErr w:type="spellStart"/>
            <w:r w:rsidRPr="007131C1">
              <w:rPr>
                <w:rFonts w:ascii="Lucida Bright" w:hAnsi="Lucida Bright" w:cs="Calibri"/>
                <w:color w:val="000000"/>
                <w:sz w:val="14"/>
                <w:szCs w:val="14"/>
                <w:lang w:val="es-ES"/>
              </w:rPr>
              <w:t>Savina</w:t>
            </w:r>
            <w:proofErr w:type="spellEnd"/>
            <w:r w:rsidRPr="007131C1">
              <w:rPr>
                <w:rFonts w:ascii="Lucida Bright" w:hAnsi="Lucida Bright" w:cs="Calibri"/>
                <w:color w:val="000000"/>
                <w:sz w:val="14"/>
                <w:szCs w:val="14"/>
                <w:lang w:val="es-ES"/>
              </w:rPr>
              <w:t>(P.O.1085-G)</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70.722,04</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900"/>
        </w:trPr>
        <w:tc>
          <w:tcPr>
            <w:tcW w:w="875" w:type="pct"/>
            <w:tcBorders>
              <w:top w:val="nil"/>
              <w:left w:val="single" w:sz="8" w:space="0" w:color="auto"/>
              <w:bottom w:val="nil"/>
              <w:right w:val="nil"/>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56.18 (LOTE3)</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A.T. a la Dirección de obra de Estación Marítima en Explanada y Muelles Comerciales al abrigo del Dique de </w:t>
            </w:r>
            <w:proofErr w:type="spellStart"/>
            <w:r w:rsidRPr="007131C1">
              <w:rPr>
                <w:rFonts w:ascii="Lucida Bright" w:hAnsi="Lucida Bright" w:cs="Calibri"/>
                <w:color w:val="000000"/>
                <w:sz w:val="14"/>
                <w:szCs w:val="14"/>
                <w:lang w:val="es-ES"/>
              </w:rPr>
              <w:t>Botafoc</w:t>
            </w:r>
            <w:proofErr w:type="spellEnd"/>
            <w:r w:rsidRPr="007131C1">
              <w:rPr>
                <w:rFonts w:ascii="Lucida Bright" w:hAnsi="Lucida Bright" w:cs="Calibri"/>
                <w:color w:val="000000"/>
                <w:sz w:val="14"/>
                <w:szCs w:val="14"/>
                <w:lang w:val="es-ES"/>
              </w:rPr>
              <w:t xml:space="preserve"> (P.O. 1087-G)</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130.514,93</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76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64.18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Prolongación del muelle de </w:t>
            </w:r>
            <w:proofErr w:type="spellStart"/>
            <w:r w:rsidRPr="007131C1">
              <w:rPr>
                <w:rFonts w:ascii="Lucida Bright" w:hAnsi="Lucida Bright" w:cs="Calibri"/>
                <w:color w:val="000000"/>
                <w:sz w:val="14"/>
                <w:szCs w:val="14"/>
                <w:lang w:val="es-ES"/>
              </w:rPr>
              <w:t>Ses</w:t>
            </w:r>
            <w:proofErr w:type="spellEnd"/>
            <w:r w:rsidRPr="007131C1">
              <w:rPr>
                <w:rFonts w:ascii="Lucida Bright" w:hAnsi="Lucida Bright" w:cs="Calibri"/>
                <w:color w:val="000000"/>
                <w:sz w:val="14"/>
                <w:szCs w:val="14"/>
                <w:lang w:val="es-ES"/>
              </w:rPr>
              <w:t xml:space="preserve"> </w:t>
            </w:r>
            <w:proofErr w:type="spellStart"/>
            <w:r w:rsidRPr="007131C1">
              <w:rPr>
                <w:rFonts w:ascii="Lucida Bright" w:hAnsi="Lucida Bright" w:cs="Calibri"/>
                <w:color w:val="000000"/>
                <w:sz w:val="14"/>
                <w:szCs w:val="14"/>
                <w:lang w:val="es-ES"/>
              </w:rPr>
              <w:t>Figuerasses</w:t>
            </w:r>
            <w:proofErr w:type="spellEnd"/>
            <w:r w:rsidRPr="007131C1">
              <w:rPr>
                <w:rFonts w:ascii="Lucida Bright" w:hAnsi="Lucida Bright" w:cs="Calibri"/>
                <w:color w:val="000000"/>
                <w:sz w:val="14"/>
                <w:szCs w:val="14"/>
                <w:lang w:val="es-ES"/>
              </w:rPr>
              <w:t xml:space="preserve"> en el puerto de </w:t>
            </w:r>
            <w:proofErr w:type="spellStart"/>
            <w:r w:rsidRPr="007131C1">
              <w:rPr>
                <w:rFonts w:ascii="Lucida Bright" w:hAnsi="Lucida Bright" w:cs="Calibri"/>
                <w:color w:val="000000"/>
                <w:sz w:val="14"/>
                <w:szCs w:val="14"/>
                <w:lang w:val="es-ES"/>
              </w:rPr>
              <w:t>Maó</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38.389,57</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780"/>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78.19</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Protección de la banqueta del muelle de transición en la ampliación del muelle de Poniente Norte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85.768,49</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810"/>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77.19</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Actuaciones para la estabilización del acantilado de </w:t>
            </w:r>
            <w:proofErr w:type="spellStart"/>
            <w:r w:rsidRPr="007131C1">
              <w:rPr>
                <w:rFonts w:ascii="Lucida Bright" w:hAnsi="Lucida Bright" w:cs="Calibri"/>
                <w:color w:val="000000"/>
                <w:sz w:val="14"/>
                <w:szCs w:val="14"/>
                <w:lang w:val="es-ES"/>
              </w:rPr>
              <w:t>Ses</w:t>
            </w:r>
            <w:proofErr w:type="spellEnd"/>
            <w:r w:rsidRPr="007131C1">
              <w:rPr>
                <w:rFonts w:ascii="Lucida Bright" w:hAnsi="Lucida Bright" w:cs="Calibri"/>
                <w:color w:val="000000"/>
                <w:sz w:val="14"/>
                <w:szCs w:val="14"/>
                <w:lang w:val="es-ES"/>
              </w:rPr>
              <w:t xml:space="preserve"> </w:t>
            </w:r>
            <w:proofErr w:type="spellStart"/>
            <w:r w:rsidRPr="007131C1">
              <w:rPr>
                <w:rFonts w:ascii="Lucida Bright" w:hAnsi="Lucida Bright" w:cs="Calibri"/>
                <w:color w:val="000000"/>
                <w:sz w:val="14"/>
                <w:szCs w:val="14"/>
                <w:lang w:val="es-ES"/>
              </w:rPr>
              <w:t>Figuerasses</w:t>
            </w:r>
            <w:proofErr w:type="spellEnd"/>
            <w:r w:rsidRPr="007131C1">
              <w:rPr>
                <w:rFonts w:ascii="Lucida Bright" w:hAnsi="Lucida Bright" w:cs="Calibri"/>
                <w:color w:val="000000"/>
                <w:sz w:val="14"/>
                <w:szCs w:val="14"/>
                <w:lang w:val="es-ES"/>
              </w:rPr>
              <w:t xml:space="preserve"> en el puerto de </w:t>
            </w:r>
            <w:proofErr w:type="spellStart"/>
            <w:r w:rsidRPr="007131C1">
              <w:rPr>
                <w:rFonts w:ascii="Lucida Bright" w:hAnsi="Lucida Bright" w:cs="Calibri"/>
                <w:color w:val="000000"/>
                <w:sz w:val="14"/>
                <w:szCs w:val="14"/>
                <w:lang w:val="es-ES"/>
              </w:rPr>
              <w:t>Maó</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311.466,85</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79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82.18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Instalación de un sistema de control de accesos para vehículos al área de operación en la estación marítima nº6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12.135,51</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82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84.18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Sistema de monitorización de la calidad del aire de los puertos de la APB</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39.260,27</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82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90.18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Acondicionamiento y reparación del muelle des </w:t>
            </w:r>
            <w:proofErr w:type="spellStart"/>
            <w:r w:rsidRPr="007131C1">
              <w:rPr>
                <w:rFonts w:ascii="Lucida Bright" w:hAnsi="Lucida Bright" w:cs="Calibri"/>
                <w:color w:val="000000"/>
                <w:sz w:val="14"/>
                <w:szCs w:val="14"/>
                <w:lang w:val="es-ES"/>
              </w:rPr>
              <w:t>Jonquet</w:t>
            </w:r>
            <w:proofErr w:type="spellEnd"/>
            <w:r w:rsidRPr="007131C1">
              <w:rPr>
                <w:rFonts w:ascii="Lucida Bright" w:hAnsi="Lucida Bright" w:cs="Calibri"/>
                <w:color w:val="000000"/>
                <w:sz w:val="14"/>
                <w:szCs w:val="14"/>
                <w:lang w:val="es-ES"/>
              </w:rPr>
              <w:t xml:space="preserve"> del </w:t>
            </w:r>
            <w:proofErr w:type="spellStart"/>
            <w:r w:rsidRPr="007131C1">
              <w:rPr>
                <w:rFonts w:ascii="Lucida Bright" w:hAnsi="Lucida Bright" w:cs="Calibri"/>
                <w:color w:val="000000"/>
                <w:sz w:val="14"/>
                <w:szCs w:val="14"/>
                <w:lang w:val="es-ES"/>
              </w:rPr>
              <w:t>Cos</w:t>
            </w:r>
            <w:proofErr w:type="spellEnd"/>
            <w:r w:rsidRPr="007131C1">
              <w:rPr>
                <w:rFonts w:ascii="Lucida Bright" w:hAnsi="Lucida Bright" w:cs="Calibri"/>
                <w:color w:val="000000"/>
                <w:sz w:val="14"/>
                <w:szCs w:val="14"/>
                <w:lang w:val="es-ES"/>
              </w:rPr>
              <w:t xml:space="preserve"> </w:t>
            </w:r>
            <w:proofErr w:type="spellStart"/>
            <w:r w:rsidRPr="007131C1">
              <w:rPr>
                <w:rFonts w:ascii="Lucida Bright" w:hAnsi="Lucida Bright" w:cs="Calibri"/>
                <w:color w:val="000000"/>
                <w:sz w:val="14"/>
                <w:szCs w:val="14"/>
                <w:lang w:val="es-ES"/>
              </w:rPr>
              <w:t>Nou</w:t>
            </w:r>
            <w:proofErr w:type="spellEnd"/>
            <w:r w:rsidRPr="007131C1">
              <w:rPr>
                <w:rFonts w:ascii="Lucida Bright" w:hAnsi="Lucida Bright" w:cs="Calibri"/>
                <w:color w:val="000000"/>
                <w:sz w:val="14"/>
                <w:szCs w:val="14"/>
                <w:lang w:val="es-ES"/>
              </w:rPr>
              <w:t xml:space="preserve"> del puerto de </w:t>
            </w:r>
            <w:proofErr w:type="spellStart"/>
            <w:r w:rsidRPr="007131C1">
              <w:rPr>
                <w:rFonts w:ascii="Lucida Bright" w:hAnsi="Lucida Bright" w:cs="Calibri"/>
                <w:color w:val="000000"/>
                <w:sz w:val="14"/>
                <w:szCs w:val="14"/>
                <w:lang w:val="es-ES"/>
              </w:rPr>
              <w:t>Maó</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19.989,34</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98.17</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Sustitución de la tubería de agua potable en galería de servicios y tendido de la red de Media Tensión en una nueva canalización en el dique del Oeste y el muelle de Ribera de San Carlos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134.207,17</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930"/>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1338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Actuaciones para la mejora de la eficiencia energética del alumbrado </w:t>
            </w:r>
            <w:r w:rsidR="00DD448C" w:rsidRPr="007131C1">
              <w:rPr>
                <w:rFonts w:ascii="Lucida Bright" w:hAnsi="Lucida Bright" w:cs="Calibri"/>
                <w:color w:val="000000"/>
                <w:sz w:val="14"/>
                <w:szCs w:val="14"/>
                <w:lang w:val="es-ES"/>
              </w:rPr>
              <w:t>público</w:t>
            </w:r>
            <w:r w:rsidRPr="007131C1">
              <w:rPr>
                <w:rFonts w:ascii="Lucida Bright" w:hAnsi="Lucida Bright" w:cs="Calibri"/>
                <w:color w:val="000000"/>
                <w:sz w:val="14"/>
                <w:szCs w:val="14"/>
                <w:lang w:val="es-ES"/>
              </w:rPr>
              <w:t xml:space="preserve"> en 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13.916,10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31/12/2036</w:t>
            </w:r>
          </w:p>
        </w:tc>
      </w:tr>
      <w:tr w:rsidR="007131C1" w:rsidRPr="007131C1" w:rsidTr="007131C1">
        <w:trPr>
          <w:trHeight w:val="225"/>
        </w:trPr>
        <w:tc>
          <w:tcPr>
            <w:tcW w:w="875" w:type="pct"/>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26"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22"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1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540" w:type="pct"/>
            <w:tcBorders>
              <w:top w:val="nil"/>
              <w:left w:val="single" w:sz="8" w:space="0" w:color="auto"/>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875" w:type="pct"/>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26"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22"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1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540" w:type="pct"/>
            <w:tcBorders>
              <w:top w:val="nil"/>
              <w:left w:val="single" w:sz="8" w:space="0" w:color="auto"/>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875" w:type="pct"/>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26"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22"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1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540" w:type="pct"/>
            <w:tcBorders>
              <w:top w:val="nil"/>
              <w:left w:val="single" w:sz="8" w:space="0" w:color="auto"/>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875" w:type="pct"/>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26"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22"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1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540" w:type="pct"/>
            <w:tcBorders>
              <w:top w:val="nil"/>
              <w:left w:val="single" w:sz="8" w:space="0" w:color="auto"/>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875" w:type="pct"/>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26"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22"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1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540" w:type="pct"/>
            <w:tcBorders>
              <w:top w:val="nil"/>
              <w:left w:val="single" w:sz="8" w:space="0" w:color="auto"/>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875" w:type="pct"/>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26"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22"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1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540" w:type="pct"/>
            <w:tcBorders>
              <w:top w:val="nil"/>
              <w:left w:val="single" w:sz="8" w:space="0" w:color="auto"/>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225"/>
        </w:trPr>
        <w:tc>
          <w:tcPr>
            <w:tcW w:w="875" w:type="pct"/>
            <w:tcBorders>
              <w:top w:val="nil"/>
              <w:left w:val="single" w:sz="8" w:space="0" w:color="auto"/>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626"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22"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1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115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c>
          <w:tcPr>
            <w:tcW w:w="540" w:type="pct"/>
            <w:tcBorders>
              <w:top w:val="nil"/>
              <w:left w:val="single" w:sz="8" w:space="0" w:color="auto"/>
              <w:bottom w:val="nil"/>
              <w:right w:val="single" w:sz="8" w:space="0" w:color="auto"/>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14.20</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Mejora de canalizaciones pluviales en diversas dependencias del Muelle Comercial del puerto de Mao</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6.090,00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1091-G</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Actuaciones para la mejora de la eficiencia energética del alumbrado público en el puerto de </w:t>
            </w:r>
            <w:proofErr w:type="spellStart"/>
            <w:r w:rsidRPr="007131C1">
              <w:rPr>
                <w:rFonts w:ascii="Lucida Bright" w:hAnsi="Lucida Bright" w:cs="Calibri"/>
                <w:color w:val="000000"/>
                <w:sz w:val="14"/>
                <w:szCs w:val="14"/>
                <w:lang w:val="es-ES"/>
              </w:rPr>
              <w:t>Maó</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389.333,28</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1092-G</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Adecuación de superficies en el Muelle Ribera del puerto de </w:t>
            </w:r>
            <w:proofErr w:type="spellStart"/>
            <w:r w:rsidRPr="007131C1">
              <w:rPr>
                <w:rFonts w:ascii="Lucida Bright" w:hAnsi="Lucida Bright" w:cs="Calibri"/>
                <w:color w:val="000000"/>
                <w:sz w:val="14"/>
                <w:szCs w:val="14"/>
                <w:lang w:val="es-ES"/>
              </w:rPr>
              <w:t>Eivissa</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84.591,22</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lastRenderedPageBreak/>
              <w:t>P.O. 1093-G</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Pantalanes para embarcaciones deportivas en Cala </w:t>
            </w:r>
            <w:proofErr w:type="spellStart"/>
            <w:r w:rsidRPr="007131C1">
              <w:rPr>
                <w:rFonts w:ascii="Lucida Bright" w:hAnsi="Lucida Bright" w:cs="Calibri"/>
                <w:color w:val="000000"/>
                <w:sz w:val="14"/>
                <w:szCs w:val="14"/>
                <w:lang w:val="es-ES"/>
              </w:rPr>
              <w:t>Corb</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348.853,74</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110.18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Suministro e instalación de trenes de fondeo para embarcaciones recreativas en el muelle de </w:t>
            </w:r>
            <w:proofErr w:type="spellStart"/>
            <w:r w:rsidRPr="007131C1">
              <w:rPr>
                <w:rFonts w:ascii="Lucida Bright" w:hAnsi="Lucida Bright" w:cs="Calibri"/>
                <w:color w:val="000000"/>
                <w:sz w:val="14"/>
                <w:szCs w:val="14"/>
                <w:lang w:val="es-ES"/>
              </w:rPr>
              <w:t>Ses</w:t>
            </w:r>
            <w:proofErr w:type="spellEnd"/>
            <w:r w:rsidRPr="007131C1">
              <w:rPr>
                <w:rFonts w:ascii="Lucida Bright" w:hAnsi="Lucida Bright" w:cs="Calibri"/>
                <w:color w:val="000000"/>
                <w:sz w:val="14"/>
                <w:szCs w:val="14"/>
                <w:lang w:val="es-ES"/>
              </w:rPr>
              <w:t xml:space="preserve"> </w:t>
            </w:r>
            <w:proofErr w:type="spellStart"/>
            <w:r w:rsidRPr="007131C1">
              <w:rPr>
                <w:rFonts w:ascii="Lucida Bright" w:hAnsi="Lucida Bright" w:cs="Calibri"/>
                <w:color w:val="000000"/>
                <w:sz w:val="14"/>
                <w:szCs w:val="14"/>
                <w:lang w:val="es-ES"/>
              </w:rPr>
              <w:t>Figuerasses</w:t>
            </w:r>
            <w:proofErr w:type="spellEnd"/>
            <w:r w:rsidRPr="007131C1">
              <w:rPr>
                <w:rFonts w:ascii="Lucida Bright" w:hAnsi="Lucida Bright" w:cs="Calibri"/>
                <w:color w:val="000000"/>
                <w:sz w:val="14"/>
                <w:szCs w:val="14"/>
                <w:lang w:val="es-ES"/>
              </w:rPr>
              <w:t xml:space="preserve"> y la pasarela de Cala </w:t>
            </w:r>
            <w:proofErr w:type="spellStart"/>
            <w:r w:rsidRPr="007131C1">
              <w:rPr>
                <w:rFonts w:ascii="Lucida Bright" w:hAnsi="Lucida Bright" w:cs="Calibri"/>
                <w:color w:val="000000"/>
                <w:sz w:val="14"/>
                <w:szCs w:val="14"/>
                <w:lang w:val="es-ES"/>
              </w:rPr>
              <w:t>Corb</w:t>
            </w:r>
            <w:proofErr w:type="spellEnd"/>
            <w:r w:rsidRPr="007131C1">
              <w:rPr>
                <w:rFonts w:ascii="Lucida Bright" w:hAnsi="Lucida Bright" w:cs="Calibri"/>
                <w:color w:val="000000"/>
                <w:sz w:val="14"/>
                <w:szCs w:val="14"/>
                <w:lang w:val="es-ES"/>
              </w:rPr>
              <w:t xml:space="preserve"> del Puerto de </w:t>
            </w:r>
            <w:proofErr w:type="spellStart"/>
            <w:r w:rsidRPr="007131C1">
              <w:rPr>
                <w:rFonts w:ascii="Lucida Bright" w:hAnsi="Lucida Bright" w:cs="Calibri"/>
                <w:color w:val="000000"/>
                <w:sz w:val="14"/>
                <w:szCs w:val="14"/>
                <w:lang w:val="es-ES"/>
              </w:rPr>
              <w:t>Maó</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216.469,54</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122.18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Mejora y adecuación del itinerario peatonal en el interior de los muelles de Poniente y de </w:t>
            </w:r>
            <w:proofErr w:type="spellStart"/>
            <w:r w:rsidRPr="007131C1">
              <w:rPr>
                <w:rFonts w:ascii="Lucida Bright" w:hAnsi="Lucida Bright" w:cs="Calibri"/>
                <w:color w:val="000000"/>
                <w:sz w:val="14"/>
                <w:szCs w:val="14"/>
                <w:lang w:val="es-ES"/>
              </w:rPr>
              <w:t>Paraires</w:t>
            </w:r>
            <w:proofErr w:type="spellEnd"/>
            <w:r w:rsidRPr="007131C1">
              <w:rPr>
                <w:rFonts w:ascii="Lucida Bright" w:hAnsi="Lucida Bright" w:cs="Calibri"/>
                <w:color w:val="000000"/>
                <w:sz w:val="14"/>
                <w:szCs w:val="14"/>
                <w:lang w:val="es-ES"/>
              </w:rPr>
              <w:t xml:space="preserve">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31.545,41</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129.18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Adecuación del cerramiento de acceso y de la barandilla en el paseo lado mar del Dique del Oeste y en el torrente de </w:t>
            </w:r>
            <w:proofErr w:type="spellStart"/>
            <w:r w:rsidRPr="007131C1">
              <w:rPr>
                <w:rFonts w:ascii="Lucida Bright" w:hAnsi="Lucida Bright" w:cs="Calibri"/>
                <w:color w:val="000000"/>
                <w:sz w:val="14"/>
                <w:szCs w:val="14"/>
                <w:lang w:val="es-ES"/>
              </w:rPr>
              <w:t>Sa</w:t>
            </w:r>
            <w:proofErr w:type="spellEnd"/>
            <w:r w:rsidRPr="007131C1">
              <w:rPr>
                <w:rFonts w:ascii="Lucida Bright" w:hAnsi="Lucida Bright" w:cs="Calibri"/>
                <w:color w:val="000000"/>
                <w:sz w:val="14"/>
                <w:szCs w:val="14"/>
                <w:lang w:val="es-ES"/>
              </w:rPr>
              <w:t xml:space="preserve"> Riera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489.803,08</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1335</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Actuaciones para la mejora de la operatividad y el entorno puerto-ciudad del Molinar</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1.646.487,60</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1336</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sz w:val="14"/>
                <w:szCs w:val="14"/>
                <w:lang w:val="es-ES"/>
              </w:rPr>
            </w:pPr>
            <w:r w:rsidRPr="007131C1">
              <w:rPr>
                <w:rFonts w:ascii="Lucida Bright" w:hAnsi="Lucida Bright" w:cs="Calibri"/>
                <w:sz w:val="14"/>
                <w:szCs w:val="14"/>
                <w:lang w:val="es-ES"/>
              </w:rPr>
              <w:t>Infraestructuras eléctricas para la conexión eléctrica de los buques a tierra en 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17.560,62</w:t>
            </w:r>
          </w:p>
        </w:tc>
        <w:tc>
          <w:tcPr>
            <w:tcW w:w="540" w:type="pct"/>
            <w:tcBorders>
              <w:top w:val="nil"/>
              <w:left w:val="single" w:sz="8"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1339</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sz w:val="14"/>
                <w:szCs w:val="14"/>
                <w:lang w:val="es-ES"/>
              </w:rPr>
            </w:pPr>
            <w:r w:rsidRPr="007131C1">
              <w:rPr>
                <w:rFonts w:ascii="Lucida Bright" w:hAnsi="Lucida Bright" w:cs="Calibri"/>
                <w:sz w:val="14"/>
                <w:szCs w:val="14"/>
                <w:lang w:val="es-ES"/>
              </w:rPr>
              <w:t xml:space="preserve">Refuerzo de banqueta y acondicionamiento estructural de los Muelles de </w:t>
            </w:r>
            <w:proofErr w:type="spellStart"/>
            <w:r w:rsidRPr="007131C1">
              <w:rPr>
                <w:rFonts w:ascii="Lucida Bright" w:hAnsi="Lucida Bright" w:cs="Calibri"/>
                <w:sz w:val="14"/>
                <w:szCs w:val="14"/>
                <w:lang w:val="es-ES"/>
              </w:rPr>
              <w:t>Paraires</w:t>
            </w:r>
            <w:proofErr w:type="spellEnd"/>
            <w:r w:rsidRPr="007131C1">
              <w:rPr>
                <w:rFonts w:ascii="Lucida Bright" w:hAnsi="Lucida Bright" w:cs="Calibri"/>
                <w:sz w:val="14"/>
                <w:szCs w:val="14"/>
                <w:lang w:val="es-ES"/>
              </w:rPr>
              <w:t xml:space="preserve"> y Poniente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18.151,26</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1342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Modificación de las pasarelas fijas en los Muelles de Poniente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40.840,34</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16.19</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sz w:val="14"/>
                <w:szCs w:val="14"/>
                <w:lang w:val="es-ES"/>
              </w:rPr>
            </w:pPr>
            <w:r w:rsidRPr="007131C1">
              <w:rPr>
                <w:rFonts w:ascii="Lucida Bright" w:hAnsi="Lucida Bright" w:cs="Calibri"/>
                <w:sz w:val="14"/>
                <w:szCs w:val="14"/>
                <w:lang w:val="es-ES"/>
              </w:rPr>
              <w:t xml:space="preserve">Puerto-ciudad en la dársena del Molinar de Levante  </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187.562,74</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20.12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Adecuación del recinto controlado del puerto de la </w:t>
            </w:r>
            <w:proofErr w:type="spellStart"/>
            <w:r w:rsidRPr="007131C1">
              <w:rPr>
                <w:rFonts w:ascii="Lucida Bright" w:hAnsi="Lucida Bright" w:cs="Calibri"/>
                <w:color w:val="000000"/>
                <w:sz w:val="14"/>
                <w:szCs w:val="14"/>
                <w:lang w:val="es-ES"/>
              </w:rPr>
              <w:t>Savina</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29.973,37</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29.20</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Acondicionamiento estructural del tramo del carril bici del puente de </w:t>
            </w:r>
            <w:proofErr w:type="spellStart"/>
            <w:r w:rsidRPr="007131C1">
              <w:rPr>
                <w:rFonts w:ascii="Lucida Bright" w:hAnsi="Lucida Bright" w:cs="Calibri"/>
                <w:color w:val="000000"/>
                <w:sz w:val="14"/>
                <w:szCs w:val="14"/>
                <w:lang w:val="es-ES"/>
              </w:rPr>
              <w:t>Sa</w:t>
            </w:r>
            <w:proofErr w:type="spellEnd"/>
            <w:r w:rsidRPr="007131C1">
              <w:rPr>
                <w:rFonts w:ascii="Lucida Bright" w:hAnsi="Lucida Bright" w:cs="Calibri"/>
                <w:color w:val="000000"/>
                <w:sz w:val="14"/>
                <w:szCs w:val="14"/>
                <w:lang w:val="es-ES"/>
              </w:rPr>
              <w:t xml:space="preserve"> Riera en 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30.445,00</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31.18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Instalación de un sistema de control de accesos para vehículos en los Muelles Sur del puerto de </w:t>
            </w:r>
            <w:proofErr w:type="spellStart"/>
            <w:r w:rsidRPr="007131C1">
              <w:rPr>
                <w:rFonts w:ascii="Lucida Bright" w:hAnsi="Lucida Bright" w:cs="Calibri"/>
                <w:color w:val="000000"/>
                <w:sz w:val="14"/>
                <w:szCs w:val="14"/>
                <w:lang w:val="es-ES"/>
              </w:rPr>
              <w:t>Eivissa</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44.359,68</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32.18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Instalación de puntos de recarga de vehículo eléctrico en el puerto de </w:t>
            </w:r>
            <w:proofErr w:type="spellStart"/>
            <w:r w:rsidRPr="007131C1">
              <w:rPr>
                <w:rFonts w:ascii="Lucida Bright" w:hAnsi="Lucida Bright" w:cs="Calibri"/>
                <w:color w:val="000000"/>
                <w:sz w:val="14"/>
                <w:szCs w:val="14"/>
                <w:lang w:val="es-ES"/>
              </w:rPr>
              <w:t>Eivissa</w:t>
            </w:r>
            <w:proofErr w:type="spellEnd"/>
            <w:r w:rsidRPr="007131C1">
              <w:rPr>
                <w:rFonts w:ascii="Lucida Bright" w:hAnsi="Lucida Bright" w:cs="Calibri"/>
                <w:color w:val="000000"/>
                <w:sz w:val="14"/>
                <w:szCs w:val="14"/>
                <w:lang w:val="es-ES"/>
              </w:rPr>
              <w:t xml:space="preserve"> y La </w:t>
            </w:r>
            <w:proofErr w:type="spellStart"/>
            <w:r w:rsidRPr="007131C1">
              <w:rPr>
                <w:rFonts w:ascii="Lucida Bright" w:hAnsi="Lucida Bright" w:cs="Calibri"/>
                <w:color w:val="000000"/>
                <w:sz w:val="14"/>
                <w:szCs w:val="14"/>
                <w:lang w:val="es-ES"/>
              </w:rPr>
              <w:t>Savina</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9.055,36</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32.19</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Acondicionamiento estructural de la pasarela de Cales </w:t>
            </w:r>
            <w:proofErr w:type="spellStart"/>
            <w:r w:rsidRPr="007131C1">
              <w:rPr>
                <w:rFonts w:ascii="Lucida Bright" w:hAnsi="Lucida Bright" w:cs="Calibri"/>
                <w:color w:val="000000"/>
                <w:sz w:val="14"/>
                <w:szCs w:val="14"/>
                <w:lang w:val="es-ES"/>
              </w:rPr>
              <w:t>Fonts</w:t>
            </w:r>
            <w:proofErr w:type="spellEnd"/>
            <w:r w:rsidRPr="007131C1">
              <w:rPr>
                <w:rFonts w:ascii="Lucida Bright" w:hAnsi="Lucida Bright" w:cs="Calibri"/>
                <w:color w:val="000000"/>
                <w:sz w:val="14"/>
                <w:szCs w:val="14"/>
                <w:lang w:val="es-ES"/>
              </w:rPr>
              <w:t xml:space="preserve"> en el puerto de </w:t>
            </w:r>
            <w:proofErr w:type="spellStart"/>
            <w:r w:rsidRPr="007131C1">
              <w:rPr>
                <w:rFonts w:ascii="Lucida Bright" w:hAnsi="Lucida Bright" w:cs="Calibri"/>
                <w:color w:val="000000"/>
                <w:sz w:val="14"/>
                <w:szCs w:val="14"/>
                <w:lang w:val="es-ES"/>
              </w:rPr>
              <w:t>Maó</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93.246,19</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lastRenderedPageBreak/>
              <w:t>P.O. 33.19</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Plataforma adosada al muelle Testero del Martillo en el puerto de </w:t>
            </w:r>
            <w:proofErr w:type="spellStart"/>
            <w:r w:rsidRPr="007131C1">
              <w:rPr>
                <w:rFonts w:ascii="Lucida Bright" w:hAnsi="Lucida Bright" w:cs="Calibri"/>
                <w:color w:val="000000"/>
                <w:sz w:val="14"/>
                <w:szCs w:val="14"/>
                <w:lang w:val="es-ES"/>
              </w:rPr>
              <w:t>Eivissa</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131.778,90</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37.18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Limpieza de fondos en la dársena del Molinar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2.900,30</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39.18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Limpieza de fondos en la dársena comercial del puerto de Alcudia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36.590,07</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47.20</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Peatonalización parcial de los viales del </w:t>
            </w:r>
            <w:proofErr w:type="spellStart"/>
            <w:r w:rsidRPr="007131C1">
              <w:rPr>
                <w:rFonts w:ascii="Lucida Bright" w:hAnsi="Lucida Bright" w:cs="Calibri"/>
                <w:color w:val="000000"/>
                <w:sz w:val="14"/>
                <w:szCs w:val="14"/>
                <w:lang w:val="es-ES"/>
              </w:rPr>
              <w:t>Moll</w:t>
            </w:r>
            <w:proofErr w:type="spellEnd"/>
            <w:r w:rsidRPr="007131C1">
              <w:rPr>
                <w:rFonts w:ascii="Lucida Bright" w:hAnsi="Lucida Bright" w:cs="Calibri"/>
                <w:color w:val="000000"/>
                <w:sz w:val="14"/>
                <w:szCs w:val="14"/>
                <w:lang w:val="es-ES"/>
              </w:rPr>
              <w:t xml:space="preserve"> de </w:t>
            </w:r>
            <w:proofErr w:type="spellStart"/>
            <w:r w:rsidRPr="007131C1">
              <w:rPr>
                <w:rFonts w:ascii="Lucida Bright" w:hAnsi="Lucida Bright" w:cs="Calibri"/>
                <w:color w:val="000000"/>
                <w:sz w:val="14"/>
                <w:szCs w:val="14"/>
                <w:lang w:val="es-ES"/>
              </w:rPr>
              <w:t>Llevant</w:t>
            </w:r>
            <w:proofErr w:type="spellEnd"/>
            <w:r w:rsidRPr="007131C1">
              <w:rPr>
                <w:rFonts w:ascii="Lucida Bright" w:hAnsi="Lucida Bright" w:cs="Calibri"/>
                <w:color w:val="000000"/>
                <w:sz w:val="14"/>
                <w:szCs w:val="14"/>
                <w:lang w:val="es-ES"/>
              </w:rPr>
              <w:t xml:space="preserve"> y </w:t>
            </w:r>
            <w:proofErr w:type="spellStart"/>
            <w:r w:rsidRPr="007131C1">
              <w:rPr>
                <w:rFonts w:ascii="Lucida Bright" w:hAnsi="Lucida Bright" w:cs="Calibri"/>
                <w:color w:val="000000"/>
                <w:sz w:val="14"/>
                <w:szCs w:val="14"/>
                <w:lang w:val="es-ES"/>
              </w:rPr>
              <w:t>Moll</w:t>
            </w:r>
            <w:proofErr w:type="spellEnd"/>
            <w:r w:rsidRPr="007131C1">
              <w:rPr>
                <w:rFonts w:ascii="Lucida Bright" w:hAnsi="Lucida Bright" w:cs="Calibri"/>
                <w:color w:val="000000"/>
                <w:sz w:val="14"/>
                <w:szCs w:val="14"/>
                <w:lang w:val="es-ES"/>
              </w:rPr>
              <w:t xml:space="preserve"> de </w:t>
            </w:r>
            <w:proofErr w:type="spellStart"/>
            <w:r w:rsidRPr="007131C1">
              <w:rPr>
                <w:rFonts w:ascii="Lucida Bright" w:hAnsi="Lucida Bright" w:cs="Calibri"/>
                <w:color w:val="000000"/>
                <w:sz w:val="14"/>
                <w:szCs w:val="14"/>
                <w:lang w:val="es-ES"/>
              </w:rPr>
              <w:t>Creuers</w:t>
            </w:r>
            <w:proofErr w:type="spellEnd"/>
            <w:r w:rsidRPr="007131C1">
              <w:rPr>
                <w:rFonts w:ascii="Lucida Bright" w:hAnsi="Lucida Bright" w:cs="Calibri"/>
                <w:color w:val="000000"/>
                <w:sz w:val="14"/>
                <w:szCs w:val="14"/>
                <w:lang w:val="es-ES"/>
              </w:rPr>
              <w:t xml:space="preserve"> en el puerto de Mao, a raíz de la contingencia ocurrida del COVID-19, que ha desencadenado en el Estado de Alarma nacional declarado por el RD 463/202</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150.362,29</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62.20</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Trabajos para la ocupación del carril derecho de circulación del Paseo Marítimo de Palma en sentido aeropuerto por desplazamiento del carril bici y aparcamientos</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39.917,26</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64.18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Prolongación del muelle de </w:t>
            </w:r>
            <w:proofErr w:type="spellStart"/>
            <w:r w:rsidRPr="007131C1">
              <w:rPr>
                <w:rFonts w:ascii="Lucida Bright" w:hAnsi="Lucida Bright" w:cs="Calibri"/>
                <w:color w:val="000000"/>
                <w:sz w:val="14"/>
                <w:szCs w:val="14"/>
                <w:lang w:val="es-ES"/>
              </w:rPr>
              <w:t>Ses</w:t>
            </w:r>
            <w:proofErr w:type="spellEnd"/>
            <w:r w:rsidRPr="007131C1">
              <w:rPr>
                <w:rFonts w:ascii="Lucida Bright" w:hAnsi="Lucida Bright" w:cs="Calibri"/>
                <w:color w:val="000000"/>
                <w:sz w:val="14"/>
                <w:szCs w:val="14"/>
                <w:lang w:val="es-ES"/>
              </w:rPr>
              <w:t xml:space="preserve"> </w:t>
            </w:r>
            <w:proofErr w:type="spellStart"/>
            <w:r w:rsidRPr="007131C1">
              <w:rPr>
                <w:rFonts w:ascii="Lucida Bright" w:hAnsi="Lucida Bright" w:cs="Calibri"/>
                <w:color w:val="000000"/>
                <w:sz w:val="14"/>
                <w:szCs w:val="14"/>
                <w:lang w:val="es-ES"/>
              </w:rPr>
              <w:t>Figuerasses</w:t>
            </w:r>
            <w:proofErr w:type="spellEnd"/>
            <w:r w:rsidRPr="007131C1">
              <w:rPr>
                <w:rFonts w:ascii="Lucida Bright" w:hAnsi="Lucida Bright" w:cs="Calibri"/>
                <w:color w:val="000000"/>
                <w:sz w:val="14"/>
                <w:szCs w:val="14"/>
                <w:lang w:val="es-ES"/>
              </w:rPr>
              <w:t xml:space="preserve"> en el Puerto de </w:t>
            </w:r>
            <w:proofErr w:type="spellStart"/>
            <w:r w:rsidRPr="007131C1">
              <w:rPr>
                <w:rFonts w:ascii="Lucida Bright" w:hAnsi="Lucida Bright" w:cs="Calibri"/>
                <w:color w:val="000000"/>
                <w:sz w:val="14"/>
                <w:szCs w:val="14"/>
                <w:lang w:val="es-ES"/>
              </w:rPr>
              <w:t>Maó</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383.933,63</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68.18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Actualización y mejoras del sistema de control de accesos de la Estación Marítima nº 6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16.779,80</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69.18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Adecuación de las salas destinadas a Policía Nacional, Guardia Civil y cuarto de registro de equipajes en la estación marítima nº6 del Puerto de Palma</w:t>
            </w:r>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20.469,42</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71.19</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Adecuación del balizamiento de los puertos de </w:t>
            </w:r>
            <w:proofErr w:type="spellStart"/>
            <w:r w:rsidRPr="007131C1">
              <w:rPr>
                <w:rFonts w:ascii="Lucida Bright" w:hAnsi="Lucida Bright" w:cs="Calibri"/>
                <w:color w:val="000000"/>
                <w:sz w:val="14"/>
                <w:szCs w:val="14"/>
                <w:lang w:val="es-ES"/>
              </w:rPr>
              <w:t>Eivissa</w:t>
            </w:r>
            <w:proofErr w:type="spellEnd"/>
            <w:r w:rsidRPr="007131C1">
              <w:rPr>
                <w:rFonts w:ascii="Lucida Bright" w:hAnsi="Lucida Bright" w:cs="Calibri"/>
                <w:color w:val="000000"/>
                <w:sz w:val="14"/>
                <w:szCs w:val="14"/>
                <w:lang w:val="es-ES"/>
              </w:rPr>
              <w:t xml:space="preserve"> y La </w:t>
            </w:r>
            <w:proofErr w:type="spellStart"/>
            <w:r w:rsidRPr="007131C1">
              <w:rPr>
                <w:rFonts w:ascii="Lucida Bright" w:hAnsi="Lucida Bright" w:cs="Calibri"/>
                <w:color w:val="000000"/>
                <w:sz w:val="14"/>
                <w:szCs w:val="14"/>
                <w:lang w:val="es-ES"/>
              </w:rPr>
              <w:t>Savina</w:t>
            </w:r>
            <w:proofErr w:type="spellEnd"/>
          </w:p>
        </w:tc>
        <w:tc>
          <w:tcPr>
            <w:tcW w:w="1159" w:type="pct"/>
            <w:tcBorders>
              <w:top w:val="nil"/>
              <w:left w:val="nil"/>
              <w:bottom w:val="nil"/>
              <w:right w:val="nil"/>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22.542,30</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74.18L1</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Renovación de instalaciones de servicios y torretas de suministro en Muelle Viejo, Muelle de tráfico local y Muelle pesquero del puerto de </w:t>
            </w:r>
            <w:proofErr w:type="spellStart"/>
            <w:r w:rsidRPr="007131C1">
              <w:rPr>
                <w:rFonts w:ascii="Lucida Bright" w:hAnsi="Lucida Bright" w:cs="Calibri"/>
                <w:color w:val="000000"/>
                <w:sz w:val="14"/>
                <w:szCs w:val="14"/>
                <w:lang w:val="es-ES"/>
              </w:rPr>
              <w:t>Alcúdia</w:t>
            </w:r>
            <w:proofErr w:type="spellEnd"/>
          </w:p>
        </w:tc>
        <w:tc>
          <w:tcPr>
            <w:tcW w:w="1159" w:type="pct"/>
            <w:tcBorders>
              <w:top w:val="nil"/>
              <w:left w:val="nil"/>
              <w:bottom w:val="nil"/>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274.207,64</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74.18L2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Renovación de instalaciones de servicios y torretas de suministro en Muelle Viejo, Muelle de tráfico local y Muelle pesquero del puerto de </w:t>
            </w:r>
            <w:proofErr w:type="spellStart"/>
            <w:r w:rsidRPr="007131C1">
              <w:rPr>
                <w:rFonts w:ascii="Lucida Bright" w:hAnsi="Lucida Bright" w:cs="Calibri"/>
                <w:color w:val="000000"/>
                <w:sz w:val="14"/>
                <w:szCs w:val="14"/>
                <w:lang w:val="es-ES"/>
              </w:rPr>
              <w:t>Alcúdia</w:t>
            </w:r>
            <w:proofErr w:type="spellEnd"/>
          </w:p>
        </w:tc>
        <w:tc>
          <w:tcPr>
            <w:tcW w:w="1159" w:type="pct"/>
            <w:tcBorders>
              <w:top w:val="nil"/>
              <w:left w:val="nil"/>
              <w:bottom w:val="nil"/>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104.905,05</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75.18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Nueva red de drenaje y saneo del pavimento del vial de circulación del muelle de Ribera del Puerto de Alcudia</w:t>
            </w:r>
          </w:p>
        </w:tc>
        <w:tc>
          <w:tcPr>
            <w:tcW w:w="1159" w:type="pct"/>
            <w:tcBorders>
              <w:top w:val="nil"/>
              <w:left w:val="nil"/>
              <w:bottom w:val="nil"/>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386.746,41</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77.19</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Actuaciones para la estabilización del acantilado de </w:t>
            </w:r>
            <w:proofErr w:type="spellStart"/>
            <w:r w:rsidRPr="007131C1">
              <w:rPr>
                <w:rFonts w:ascii="Lucida Bright" w:hAnsi="Lucida Bright" w:cs="Calibri"/>
                <w:color w:val="000000"/>
                <w:sz w:val="14"/>
                <w:szCs w:val="14"/>
                <w:lang w:val="es-ES"/>
              </w:rPr>
              <w:t>Ses</w:t>
            </w:r>
            <w:proofErr w:type="spellEnd"/>
            <w:r w:rsidRPr="007131C1">
              <w:rPr>
                <w:rFonts w:ascii="Lucida Bright" w:hAnsi="Lucida Bright" w:cs="Calibri"/>
                <w:color w:val="000000"/>
                <w:sz w:val="14"/>
                <w:szCs w:val="14"/>
                <w:lang w:val="es-ES"/>
              </w:rPr>
              <w:t xml:space="preserve"> </w:t>
            </w:r>
            <w:proofErr w:type="spellStart"/>
            <w:r w:rsidRPr="007131C1">
              <w:rPr>
                <w:rFonts w:ascii="Lucida Bright" w:hAnsi="Lucida Bright" w:cs="Calibri"/>
                <w:color w:val="000000"/>
                <w:sz w:val="14"/>
                <w:szCs w:val="14"/>
                <w:lang w:val="es-ES"/>
              </w:rPr>
              <w:t>Figuerasses</w:t>
            </w:r>
            <w:proofErr w:type="spellEnd"/>
            <w:r w:rsidRPr="007131C1">
              <w:rPr>
                <w:rFonts w:ascii="Lucida Bright" w:hAnsi="Lucida Bright" w:cs="Calibri"/>
                <w:color w:val="000000"/>
                <w:sz w:val="14"/>
                <w:szCs w:val="14"/>
                <w:lang w:val="es-ES"/>
              </w:rPr>
              <w:t xml:space="preserve"> en el puerto de </w:t>
            </w:r>
            <w:proofErr w:type="spellStart"/>
            <w:r w:rsidRPr="007131C1">
              <w:rPr>
                <w:rFonts w:ascii="Lucida Bright" w:hAnsi="Lucida Bright" w:cs="Calibri"/>
                <w:color w:val="000000"/>
                <w:sz w:val="14"/>
                <w:szCs w:val="14"/>
                <w:lang w:val="es-ES"/>
              </w:rPr>
              <w:t>Maó</w:t>
            </w:r>
            <w:proofErr w:type="spellEnd"/>
          </w:p>
        </w:tc>
        <w:tc>
          <w:tcPr>
            <w:tcW w:w="1159" w:type="pct"/>
            <w:tcBorders>
              <w:top w:val="nil"/>
              <w:left w:val="nil"/>
              <w:bottom w:val="nil"/>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25.289,96</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78.19</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Protección de la banqueta del muelle de Transición en la ampliación del muelle de Poniente Norte del puerto de Palma</w:t>
            </w:r>
          </w:p>
        </w:tc>
        <w:tc>
          <w:tcPr>
            <w:tcW w:w="1159" w:type="pct"/>
            <w:tcBorders>
              <w:top w:val="nil"/>
              <w:left w:val="nil"/>
              <w:bottom w:val="nil"/>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17.255,70</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lastRenderedPageBreak/>
              <w:t>P.O. 82.18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Instalación de un sistema de control de accesos para vehículos al área de operación en la estación marítima nº6 del puerto de Palma</w:t>
            </w:r>
          </w:p>
        </w:tc>
        <w:tc>
          <w:tcPr>
            <w:tcW w:w="1159" w:type="pct"/>
            <w:tcBorders>
              <w:top w:val="nil"/>
              <w:left w:val="nil"/>
              <w:bottom w:val="nil"/>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92.760,80</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90.18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Acondicionamiento y reparación del muelle des </w:t>
            </w:r>
            <w:proofErr w:type="spellStart"/>
            <w:r w:rsidRPr="007131C1">
              <w:rPr>
                <w:rFonts w:ascii="Lucida Bright" w:hAnsi="Lucida Bright" w:cs="Calibri"/>
                <w:color w:val="000000"/>
                <w:sz w:val="14"/>
                <w:szCs w:val="14"/>
                <w:lang w:val="es-ES"/>
              </w:rPr>
              <w:t>Jonquet</w:t>
            </w:r>
            <w:proofErr w:type="spellEnd"/>
            <w:r w:rsidRPr="007131C1">
              <w:rPr>
                <w:rFonts w:ascii="Lucida Bright" w:hAnsi="Lucida Bright" w:cs="Calibri"/>
                <w:color w:val="000000"/>
                <w:sz w:val="14"/>
                <w:szCs w:val="14"/>
                <w:lang w:val="es-ES"/>
              </w:rPr>
              <w:t xml:space="preserve"> del </w:t>
            </w:r>
            <w:proofErr w:type="spellStart"/>
            <w:r w:rsidRPr="007131C1">
              <w:rPr>
                <w:rFonts w:ascii="Lucida Bright" w:hAnsi="Lucida Bright" w:cs="Calibri"/>
                <w:color w:val="000000"/>
                <w:sz w:val="14"/>
                <w:szCs w:val="14"/>
                <w:lang w:val="es-ES"/>
              </w:rPr>
              <w:t>Cos</w:t>
            </w:r>
            <w:proofErr w:type="spellEnd"/>
            <w:r w:rsidRPr="007131C1">
              <w:rPr>
                <w:rFonts w:ascii="Lucida Bright" w:hAnsi="Lucida Bright" w:cs="Calibri"/>
                <w:color w:val="000000"/>
                <w:sz w:val="14"/>
                <w:szCs w:val="14"/>
                <w:lang w:val="es-ES"/>
              </w:rPr>
              <w:t xml:space="preserve"> </w:t>
            </w:r>
            <w:proofErr w:type="spellStart"/>
            <w:r w:rsidRPr="007131C1">
              <w:rPr>
                <w:rFonts w:ascii="Lucida Bright" w:hAnsi="Lucida Bright" w:cs="Calibri"/>
                <w:color w:val="000000"/>
                <w:sz w:val="14"/>
                <w:szCs w:val="14"/>
                <w:lang w:val="es-ES"/>
              </w:rPr>
              <w:t>Nou</w:t>
            </w:r>
            <w:proofErr w:type="spellEnd"/>
            <w:r w:rsidRPr="007131C1">
              <w:rPr>
                <w:rFonts w:ascii="Lucida Bright" w:hAnsi="Lucida Bright" w:cs="Calibri"/>
                <w:color w:val="000000"/>
                <w:sz w:val="14"/>
                <w:szCs w:val="14"/>
                <w:lang w:val="es-ES"/>
              </w:rPr>
              <w:t xml:space="preserve"> del puerto de </w:t>
            </w:r>
            <w:proofErr w:type="spellStart"/>
            <w:r w:rsidRPr="007131C1">
              <w:rPr>
                <w:rFonts w:ascii="Lucida Bright" w:hAnsi="Lucida Bright" w:cs="Calibri"/>
                <w:color w:val="000000"/>
                <w:sz w:val="14"/>
                <w:szCs w:val="14"/>
                <w:lang w:val="es-ES"/>
              </w:rPr>
              <w:t>Maó</w:t>
            </w:r>
            <w:proofErr w:type="spellEnd"/>
          </w:p>
        </w:tc>
        <w:tc>
          <w:tcPr>
            <w:tcW w:w="1159" w:type="pct"/>
            <w:tcBorders>
              <w:top w:val="nil"/>
              <w:left w:val="nil"/>
              <w:bottom w:val="nil"/>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316.927,25</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98.17</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Sustitución de la tubería de agua potable en galería de servicios y tendido de la red de Media Tensión en una nueva canalización en el Dique del Oeste y el Muelle de Ribera de San Carlos del puerto de Palma</w:t>
            </w:r>
          </w:p>
        </w:tc>
        <w:tc>
          <w:tcPr>
            <w:tcW w:w="1159" w:type="pct"/>
            <w:tcBorders>
              <w:top w:val="nil"/>
              <w:left w:val="nil"/>
              <w:bottom w:val="nil"/>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392.104,26</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126.18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Adecuación de la pasarela nº5 del muelle Ribera de </w:t>
            </w:r>
            <w:proofErr w:type="spellStart"/>
            <w:r w:rsidRPr="007131C1">
              <w:rPr>
                <w:rFonts w:ascii="Lucida Bright" w:hAnsi="Lucida Bright" w:cs="Calibri"/>
                <w:color w:val="000000"/>
                <w:sz w:val="14"/>
                <w:szCs w:val="14"/>
                <w:lang w:val="es-ES"/>
              </w:rPr>
              <w:t>Botafoc</w:t>
            </w:r>
            <w:proofErr w:type="spellEnd"/>
            <w:r w:rsidRPr="007131C1">
              <w:rPr>
                <w:rFonts w:ascii="Lucida Bright" w:hAnsi="Lucida Bright" w:cs="Calibri"/>
                <w:color w:val="000000"/>
                <w:sz w:val="14"/>
                <w:szCs w:val="14"/>
                <w:lang w:val="es-ES"/>
              </w:rPr>
              <w:t xml:space="preserve"> en el puerto de </w:t>
            </w:r>
            <w:proofErr w:type="spellStart"/>
            <w:r w:rsidRPr="007131C1">
              <w:rPr>
                <w:rFonts w:ascii="Lucida Bright" w:hAnsi="Lucida Bright" w:cs="Calibri"/>
                <w:color w:val="000000"/>
                <w:sz w:val="14"/>
                <w:szCs w:val="14"/>
                <w:lang w:val="es-ES"/>
              </w:rPr>
              <w:t>Eivissa</w:t>
            </w:r>
            <w:proofErr w:type="spellEnd"/>
          </w:p>
        </w:tc>
        <w:tc>
          <w:tcPr>
            <w:tcW w:w="1159" w:type="pct"/>
            <w:tcBorders>
              <w:top w:val="nil"/>
              <w:left w:val="nil"/>
              <w:bottom w:val="nil"/>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139.332,17</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40.17L1</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A.T. para la redacción del proyecto y dirección de obra de los proyectos de rehabilitación de las infraestructuras de atraque en el muelle adosado del Puerto de Palma</w:t>
            </w:r>
          </w:p>
        </w:tc>
        <w:tc>
          <w:tcPr>
            <w:tcW w:w="1159" w:type="pct"/>
            <w:tcBorders>
              <w:top w:val="nil"/>
              <w:left w:val="nil"/>
              <w:bottom w:val="nil"/>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6.063,46</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40.17L2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A.T. para la redacción del proyecto y dirección de obra de los proyectos de rehabilitación de las estructuras de atraque en los muelles Dique del oeste </w:t>
            </w:r>
            <w:proofErr w:type="spellStart"/>
            <w:r w:rsidRPr="007131C1">
              <w:rPr>
                <w:rFonts w:ascii="Lucida Bright" w:hAnsi="Lucida Bright" w:cs="Calibri"/>
                <w:color w:val="000000"/>
                <w:sz w:val="14"/>
                <w:szCs w:val="14"/>
                <w:lang w:val="es-ES"/>
              </w:rPr>
              <w:t>alin</w:t>
            </w:r>
            <w:proofErr w:type="spellEnd"/>
            <w:r w:rsidRPr="007131C1">
              <w:rPr>
                <w:rFonts w:ascii="Lucida Bright" w:hAnsi="Lucida Bright" w:cs="Calibri"/>
                <w:color w:val="000000"/>
                <w:sz w:val="14"/>
                <w:szCs w:val="14"/>
                <w:lang w:val="es-ES"/>
              </w:rPr>
              <w:t>. 2 y Ribera San Carlos Puerto de Palma</w:t>
            </w:r>
          </w:p>
        </w:tc>
        <w:tc>
          <w:tcPr>
            <w:tcW w:w="1159" w:type="pct"/>
            <w:tcBorders>
              <w:top w:val="nil"/>
              <w:left w:val="nil"/>
              <w:bottom w:val="nil"/>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17.269,99</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40.17L3</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proofErr w:type="spellStart"/>
            <w:r w:rsidRPr="007131C1">
              <w:rPr>
                <w:rFonts w:ascii="Lucida Bright" w:hAnsi="Lucida Bright" w:cs="Calibri"/>
                <w:color w:val="000000"/>
                <w:sz w:val="14"/>
                <w:szCs w:val="14"/>
                <w:lang w:val="es-ES"/>
              </w:rPr>
              <w:t>A.T.para</w:t>
            </w:r>
            <w:proofErr w:type="spellEnd"/>
            <w:r w:rsidRPr="007131C1">
              <w:rPr>
                <w:rFonts w:ascii="Lucida Bright" w:hAnsi="Lucida Bright" w:cs="Calibri"/>
                <w:color w:val="000000"/>
                <w:sz w:val="14"/>
                <w:szCs w:val="14"/>
                <w:lang w:val="es-ES"/>
              </w:rPr>
              <w:t xml:space="preserve"> la redacción del proyecto y dirección de obra de los proyectos de rehabilitación de las infraestructuras de atraque en los muelles </w:t>
            </w:r>
            <w:proofErr w:type="spellStart"/>
            <w:r w:rsidRPr="007131C1">
              <w:rPr>
                <w:rFonts w:ascii="Lucida Bright" w:hAnsi="Lucida Bright" w:cs="Calibri"/>
                <w:color w:val="000000"/>
                <w:sz w:val="14"/>
                <w:szCs w:val="14"/>
                <w:lang w:val="es-ES"/>
              </w:rPr>
              <w:t>Paraires</w:t>
            </w:r>
            <w:proofErr w:type="spellEnd"/>
            <w:r w:rsidRPr="007131C1">
              <w:rPr>
                <w:rFonts w:ascii="Lucida Bright" w:hAnsi="Lucida Bright" w:cs="Calibri"/>
                <w:color w:val="000000"/>
                <w:sz w:val="14"/>
                <w:szCs w:val="14"/>
                <w:lang w:val="es-ES"/>
              </w:rPr>
              <w:t xml:space="preserve"> y Poniente Sur alin.1 del Puerto de Palma</w:t>
            </w:r>
          </w:p>
        </w:tc>
        <w:tc>
          <w:tcPr>
            <w:tcW w:w="1159" w:type="pct"/>
            <w:tcBorders>
              <w:top w:val="nil"/>
              <w:left w:val="nil"/>
              <w:bottom w:val="nil"/>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7.469,81</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69.20</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A.T. para la redacción del estudio de alternativas para la mejora de la operatividad para el uso pesquero en el Muelle Ro-Ro Sur del puerto de </w:t>
            </w:r>
            <w:proofErr w:type="spellStart"/>
            <w:r w:rsidRPr="007131C1">
              <w:rPr>
                <w:rFonts w:ascii="Lucida Bright" w:hAnsi="Lucida Bright" w:cs="Calibri"/>
                <w:color w:val="000000"/>
                <w:sz w:val="14"/>
                <w:szCs w:val="14"/>
                <w:lang w:val="es-ES"/>
              </w:rPr>
              <w:t>Eivissa</w:t>
            </w:r>
            <w:proofErr w:type="spellEnd"/>
          </w:p>
        </w:tc>
        <w:tc>
          <w:tcPr>
            <w:tcW w:w="1159" w:type="pct"/>
            <w:tcBorders>
              <w:top w:val="nil"/>
              <w:left w:val="nil"/>
              <w:bottom w:val="nil"/>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9.768,00</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124.15</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A.T. para el estudio de alternativas, tramitación ambiental y redacción del proyecto constructivo de "Ampliación de la explanada de Poniente del puerto de Alcudia"</w:t>
            </w:r>
          </w:p>
        </w:tc>
        <w:tc>
          <w:tcPr>
            <w:tcW w:w="1159" w:type="pct"/>
            <w:tcBorders>
              <w:top w:val="nil"/>
              <w:left w:val="nil"/>
              <w:bottom w:val="nil"/>
              <w:right w:val="single" w:sz="4" w:space="0" w:color="auto"/>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4.288,76</w:t>
            </w:r>
          </w:p>
        </w:tc>
        <w:tc>
          <w:tcPr>
            <w:tcW w:w="540" w:type="pct"/>
            <w:tcBorders>
              <w:top w:val="nil"/>
              <w:left w:val="nil"/>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125.18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A.T. para la redacción del proyecto básico para la integración puerto-ciudad en la zona del contramuelle </w:t>
            </w:r>
            <w:proofErr w:type="spellStart"/>
            <w:r w:rsidRPr="007131C1">
              <w:rPr>
                <w:rFonts w:ascii="Lucida Bright" w:hAnsi="Lucida Bright" w:cs="Calibri"/>
                <w:color w:val="000000"/>
                <w:sz w:val="14"/>
                <w:szCs w:val="14"/>
                <w:lang w:val="es-ES"/>
              </w:rPr>
              <w:t>Mollet</w:t>
            </w:r>
            <w:proofErr w:type="spellEnd"/>
            <w:r w:rsidRPr="007131C1">
              <w:rPr>
                <w:rFonts w:ascii="Lucida Bright" w:hAnsi="Lucida Bright" w:cs="Calibri"/>
                <w:color w:val="000000"/>
                <w:sz w:val="14"/>
                <w:szCs w:val="14"/>
                <w:lang w:val="es-ES"/>
              </w:rPr>
              <w:t xml:space="preserve"> y redacción del proyecto constructivo de los espacios libres de edificación de los jardines de </w:t>
            </w:r>
            <w:proofErr w:type="spellStart"/>
            <w:r w:rsidRPr="007131C1">
              <w:rPr>
                <w:rFonts w:ascii="Lucida Bright" w:hAnsi="Lucida Bright" w:cs="Calibri"/>
                <w:color w:val="000000"/>
                <w:sz w:val="14"/>
                <w:szCs w:val="14"/>
                <w:lang w:val="es-ES"/>
              </w:rPr>
              <w:t>Sant</w:t>
            </w:r>
            <w:proofErr w:type="spellEnd"/>
            <w:r w:rsidRPr="007131C1">
              <w:rPr>
                <w:rFonts w:ascii="Lucida Bright" w:hAnsi="Lucida Bright" w:cs="Calibri"/>
                <w:color w:val="000000"/>
                <w:sz w:val="14"/>
                <w:szCs w:val="14"/>
                <w:lang w:val="es-ES"/>
              </w:rPr>
              <w:t xml:space="preserve"> </w:t>
            </w:r>
            <w:proofErr w:type="spellStart"/>
            <w:r w:rsidRPr="007131C1">
              <w:rPr>
                <w:rFonts w:ascii="Lucida Bright" w:hAnsi="Lucida Bright" w:cs="Calibri"/>
                <w:color w:val="000000"/>
                <w:sz w:val="14"/>
                <w:szCs w:val="14"/>
                <w:lang w:val="es-ES"/>
              </w:rPr>
              <w:t>Elm</w:t>
            </w:r>
            <w:proofErr w:type="spellEnd"/>
          </w:p>
        </w:tc>
        <w:tc>
          <w:tcPr>
            <w:tcW w:w="1159" w:type="pct"/>
            <w:tcBorders>
              <w:top w:val="nil"/>
              <w:left w:val="nil"/>
              <w:bottom w:val="nil"/>
              <w:right w:val="single" w:sz="4" w:space="0" w:color="auto"/>
            </w:tcBorders>
            <w:shd w:val="clear" w:color="auto" w:fill="auto"/>
            <w:noWrap/>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39.326,93</w:t>
            </w:r>
          </w:p>
        </w:tc>
        <w:tc>
          <w:tcPr>
            <w:tcW w:w="540" w:type="pct"/>
            <w:tcBorders>
              <w:top w:val="nil"/>
              <w:left w:val="nil"/>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144.15</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A.T. para la dirección de obra del proyecto "Ampliación de la explanada del Muelle de Poniente Norte del puerto de Palma"(P.O. 1330)</w:t>
            </w:r>
          </w:p>
        </w:tc>
        <w:tc>
          <w:tcPr>
            <w:tcW w:w="1159" w:type="pct"/>
            <w:tcBorders>
              <w:top w:val="nil"/>
              <w:left w:val="nil"/>
              <w:bottom w:val="nil"/>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86.282,18</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52.18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A.T. para la redacción del proyecto constructivo y dirección de obra para la remodelación urbanística del paseo marítimo de Palma</w:t>
            </w:r>
          </w:p>
        </w:tc>
        <w:tc>
          <w:tcPr>
            <w:tcW w:w="1159" w:type="pct"/>
            <w:tcBorders>
              <w:top w:val="nil"/>
              <w:left w:val="nil"/>
              <w:bottom w:val="nil"/>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210.950,51</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56.18L2</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A.T. para la dirección de obra de varias obras incluidas en el plan de inversiones de la APB)- </w:t>
            </w:r>
            <w:proofErr w:type="spellStart"/>
            <w:r w:rsidRPr="007131C1">
              <w:rPr>
                <w:rFonts w:ascii="Lucida Bright" w:hAnsi="Lucida Bright" w:cs="Calibri"/>
                <w:color w:val="000000"/>
                <w:sz w:val="14"/>
                <w:szCs w:val="14"/>
                <w:lang w:val="es-ES"/>
              </w:rPr>
              <w:t>A.T.a</w:t>
            </w:r>
            <w:proofErr w:type="spellEnd"/>
            <w:r w:rsidRPr="007131C1">
              <w:rPr>
                <w:rFonts w:ascii="Lucida Bright" w:hAnsi="Lucida Bright" w:cs="Calibri"/>
                <w:color w:val="000000"/>
                <w:sz w:val="14"/>
                <w:szCs w:val="14"/>
                <w:lang w:val="es-ES"/>
              </w:rPr>
              <w:t xml:space="preserve"> la dirección de obra de “Acondicionamiento de viales y zonas peatonales de acceso al puerto de la </w:t>
            </w:r>
            <w:proofErr w:type="spellStart"/>
            <w:r w:rsidRPr="007131C1">
              <w:rPr>
                <w:rFonts w:ascii="Lucida Bright" w:hAnsi="Lucida Bright" w:cs="Calibri"/>
                <w:color w:val="000000"/>
                <w:sz w:val="14"/>
                <w:szCs w:val="14"/>
                <w:lang w:val="es-ES"/>
              </w:rPr>
              <w:t>Savina</w:t>
            </w:r>
            <w:proofErr w:type="spellEnd"/>
            <w:r w:rsidRPr="007131C1">
              <w:rPr>
                <w:rFonts w:ascii="Lucida Bright" w:hAnsi="Lucida Bright" w:cs="Calibri"/>
                <w:color w:val="000000"/>
                <w:sz w:val="14"/>
                <w:szCs w:val="14"/>
                <w:lang w:val="es-ES"/>
              </w:rPr>
              <w:t>(p.o.1085-G)</w:t>
            </w:r>
          </w:p>
        </w:tc>
        <w:tc>
          <w:tcPr>
            <w:tcW w:w="1159" w:type="pct"/>
            <w:tcBorders>
              <w:top w:val="nil"/>
              <w:left w:val="nil"/>
              <w:bottom w:val="nil"/>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90.288,68</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56.18L3</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A.T. a la Dirección de obra de “Estación Marítima en Explanada y Muelles Comerciales al abrigo del Dique de </w:t>
            </w:r>
            <w:proofErr w:type="spellStart"/>
            <w:r w:rsidRPr="007131C1">
              <w:rPr>
                <w:rFonts w:ascii="Lucida Bright" w:hAnsi="Lucida Bright" w:cs="Calibri"/>
                <w:color w:val="000000"/>
                <w:sz w:val="14"/>
                <w:szCs w:val="14"/>
                <w:lang w:val="es-ES"/>
              </w:rPr>
              <w:t>Botafoc</w:t>
            </w:r>
            <w:proofErr w:type="spellEnd"/>
            <w:r w:rsidRPr="007131C1">
              <w:rPr>
                <w:rFonts w:ascii="Lucida Bright" w:hAnsi="Lucida Bright" w:cs="Calibri"/>
                <w:color w:val="000000"/>
                <w:sz w:val="14"/>
                <w:szCs w:val="14"/>
                <w:lang w:val="es-ES"/>
              </w:rPr>
              <w:t xml:space="preserve"> (P.O. 1087-G)</w:t>
            </w:r>
          </w:p>
        </w:tc>
        <w:tc>
          <w:tcPr>
            <w:tcW w:w="1159" w:type="pct"/>
            <w:tcBorders>
              <w:top w:val="nil"/>
              <w:left w:val="nil"/>
              <w:bottom w:val="nil"/>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128.177,28</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lastRenderedPageBreak/>
              <w:t>P.O. 63.17</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A.T. para la realización del plan de vigilancia ambiental, en fase de explotación, del proyecto de "Explanada de los Muelles Comerciales al abrigo del Dique de </w:t>
            </w:r>
            <w:proofErr w:type="spellStart"/>
            <w:r w:rsidRPr="007131C1">
              <w:rPr>
                <w:rFonts w:ascii="Lucida Bright" w:hAnsi="Lucida Bright" w:cs="Calibri"/>
                <w:color w:val="000000"/>
                <w:sz w:val="14"/>
                <w:szCs w:val="14"/>
                <w:lang w:val="es-ES"/>
              </w:rPr>
              <w:t>Botafoc</w:t>
            </w:r>
            <w:proofErr w:type="spellEnd"/>
            <w:r w:rsidRPr="007131C1">
              <w:rPr>
                <w:rFonts w:ascii="Lucida Bright" w:hAnsi="Lucida Bright" w:cs="Calibri"/>
                <w:color w:val="000000"/>
                <w:sz w:val="14"/>
                <w:szCs w:val="14"/>
                <w:lang w:val="es-ES"/>
              </w:rPr>
              <w:t xml:space="preserve">" del puerto de </w:t>
            </w:r>
            <w:proofErr w:type="spellStart"/>
            <w:r w:rsidRPr="007131C1">
              <w:rPr>
                <w:rFonts w:ascii="Lucida Bright" w:hAnsi="Lucida Bright" w:cs="Calibri"/>
                <w:color w:val="000000"/>
                <w:sz w:val="14"/>
                <w:szCs w:val="14"/>
                <w:lang w:val="es-ES"/>
              </w:rPr>
              <w:t>Eivissa</w:t>
            </w:r>
            <w:proofErr w:type="spellEnd"/>
            <w:r w:rsidRPr="007131C1">
              <w:rPr>
                <w:rFonts w:ascii="Lucida Bright" w:hAnsi="Lucida Bright" w:cs="Calibri"/>
                <w:color w:val="000000"/>
                <w:sz w:val="14"/>
                <w:szCs w:val="14"/>
                <w:lang w:val="es-ES"/>
              </w:rPr>
              <w:t xml:space="preserve"> en el periodo 2017-2019</w:t>
            </w:r>
          </w:p>
        </w:tc>
        <w:tc>
          <w:tcPr>
            <w:tcW w:w="1159" w:type="pct"/>
            <w:tcBorders>
              <w:top w:val="nil"/>
              <w:left w:val="nil"/>
              <w:bottom w:val="nil"/>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50.800,00</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36.20</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Suministro de cámara termo gráfica de gran capacidad para el control de temperatura (COVID-19) colectivo en el puerto de Ibiza, para el </w:t>
            </w:r>
            <w:r w:rsidR="00DD448C" w:rsidRPr="007131C1">
              <w:rPr>
                <w:rFonts w:ascii="Lucida Bright" w:hAnsi="Lucida Bright" w:cs="Calibri"/>
                <w:color w:val="000000"/>
                <w:sz w:val="14"/>
                <w:szCs w:val="14"/>
                <w:lang w:val="es-ES"/>
              </w:rPr>
              <w:t>tráfico</w:t>
            </w:r>
            <w:r w:rsidRPr="007131C1">
              <w:rPr>
                <w:rFonts w:ascii="Lucida Bright" w:hAnsi="Lucida Bright" w:cs="Calibri"/>
                <w:color w:val="000000"/>
                <w:sz w:val="14"/>
                <w:szCs w:val="14"/>
                <w:lang w:val="es-ES"/>
              </w:rPr>
              <w:t xml:space="preserve"> </w:t>
            </w:r>
            <w:proofErr w:type="spellStart"/>
            <w:r w:rsidRPr="007131C1">
              <w:rPr>
                <w:rFonts w:ascii="Lucida Bright" w:hAnsi="Lucida Bright" w:cs="Calibri"/>
                <w:color w:val="000000"/>
                <w:sz w:val="14"/>
                <w:szCs w:val="14"/>
                <w:lang w:val="es-ES"/>
              </w:rPr>
              <w:t>Eivissa</w:t>
            </w:r>
            <w:proofErr w:type="spellEnd"/>
            <w:r w:rsidRPr="007131C1">
              <w:rPr>
                <w:rFonts w:ascii="Lucida Bright" w:hAnsi="Lucida Bright" w:cs="Calibri"/>
                <w:color w:val="000000"/>
                <w:sz w:val="14"/>
                <w:szCs w:val="14"/>
                <w:lang w:val="es-ES"/>
              </w:rPr>
              <w:t xml:space="preserve">-la </w:t>
            </w:r>
            <w:proofErr w:type="spellStart"/>
            <w:r w:rsidRPr="007131C1">
              <w:rPr>
                <w:rFonts w:ascii="Lucida Bright" w:hAnsi="Lucida Bright" w:cs="Calibri"/>
                <w:color w:val="000000"/>
                <w:sz w:val="14"/>
                <w:szCs w:val="14"/>
                <w:lang w:val="es-ES"/>
              </w:rPr>
              <w:t>Savina</w:t>
            </w:r>
            <w:proofErr w:type="spellEnd"/>
          </w:p>
        </w:tc>
        <w:tc>
          <w:tcPr>
            <w:tcW w:w="1159" w:type="pct"/>
            <w:tcBorders>
              <w:top w:val="nil"/>
              <w:left w:val="nil"/>
              <w:bottom w:val="nil"/>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14.910,00</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35.20</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Suministro de cámaras termo gráficas de mano para el control individual de temperatura (COVID-19) en el puerto de Ibiza, para el </w:t>
            </w:r>
            <w:r w:rsidR="00DD448C" w:rsidRPr="007131C1">
              <w:rPr>
                <w:rFonts w:ascii="Lucida Bright" w:hAnsi="Lucida Bright" w:cs="Calibri"/>
                <w:color w:val="000000"/>
                <w:sz w:val="14"/>
                <w:szCs w:val="14"/>
                <w:lang w:val="es-ES"/>
              </w:rPr>
              <w:t>tráfico</w:t>
            </w:r>
            <w:r w:rsidRPr="007131C1">
              <w:rPr>
                <w:rFonts w:ascii="Lucida Bright" w:hAnsi="Lucida Bright" w:cs="Calibri"/>
                <w:color w:val="000000"/>
                <w:sz w:val="14"/>
                <w:szCs w:val="14"/>
                <w:lang w:val="es-ES"/>
              </w:rPr>
              <w:t xml:space="preserve"> </w:t>
            </w:r>
            <w:proofErr w:type="spellStart"/>
            <w:r w:rsidRPr="007131C1">
              <w:rPr>
                <w:rFonts w:ascii="Lucida Bright" w:hAnsi="Lucida Bright" w:cs="Calibri"/>
                <w:color w:val="000000"/>
                <w:sz w:val="14"/>
                <w:szCs w:val="14"/>
                <w:lang w:val="es-ES"/>
              </w:rPr>
              <w:t>Eivissa</w:t>
            </w:r>
            <w:proofErr w:type="spellEnd"/>
            <w:r w:rsidRPr="007131C1">
              <w:rPr>
                <w:rFonts w:ascii="Lucida Bright" w:hAnsi="Lucida Bright" w:cs="Calibri"/>
                <w:color w:val="000000"/>
                <w:sz w:val="14"/>
                <w:szCs w:val="14"/>
                <w:lang w:val="es-ES"/>
              </w:rPr>
              <w:t xml:space="preserve">-La </w:t>
            </w:r>
            <w:proofErr w:type="spellStart"/>
            <w:r w:rsidRPr="007131C1">
              <w:rPr>
                <w:rFonts w:ascii="Lucida Bright" w:hAnsi="Lucida Bright" w:cs="Calibri"/>
                <w:color w:val="000000"/>
                <w:sz w:val="14"/>
                <w:szCs w:val="14"/>
                <w:lang w:val="es-ES"/>
              </w:rPr>
              <w:t>Savina</w:t>
            </w:r>
            <w:proofErr w:type="spellEnd"/>
          </w:p>
        </w:tc>
        <w:tc>
          <w:tcPr>
            <w:tcW w:w="1159" w:type="pct"/>
            <w:tcBorders>
              <w:top w:val="nil"/>
              <w:left w:val="nil"/>
              <w:bottom w:val="nil"/>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6.230,00</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39.20</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Suministro de equipamiento para la toma de temperatura en cumplimiento del Decreto 2/2020 de la CAIB, en los puertos de Palma, Alcudia y Mao</w:t>
            </w:r>
          </w:p>
        </w:tc>
        <w:tc>
          <w:tcPr>
            <w:tcW w:w="1159" w:type="pct"/>
            <w:tcBorders>
              <w:top w:val="nil"/>
              <w:left w:val="nil"/>
              <w:bottom w:val="nil"/>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10.725,00</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46.20</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Suministro de módulos de sombra para las colas de espera del pasaje en exterior durante los controles sanitarios en cumplimiento del Decreto 2/2020 de la CAIB, en los puertos de </w:t>
            </w:r>
            <w:proofErr w:type="spellStart"/>
            <w:r w:rsidRPr="007131C1">
              <w:rPr>
                <w:rFonts w:ascii="Lucida Bright" w:hAnsi="Lucida Bright" w:cs="Calibri"/>
                <w:color w:val="000000"/>
                <w:sz w:val="14"/>
                <w:szCs w:val="14"/>
                <w:lang w:val="es-ES"/>
              </w:rPr>
              <w:t>Eivissa</w:t>
            </w:r>
            <w:proofErr w:type="spellEnd"/>
            <w:r w:rsidRPr="007131C1">
              <w:rPr>
                <w:rFonts w:ascii="Lucida Bright" w:hAnsi="Lucida Bright" w:cs="Calibri"/>
                <w:color w:val="000000"/>
                <w:sz w:val="14"/>
                <w:szCs w:val="14"/>
                <w:lang w:val="es-ES"/>
              </w:rPr>
              <w:t xml:space="preserve"> y La </w:t>
            </w:r>
            <w:proofErr w:type="spellStart"/>
            <w:r w:rsidRPr="007131C1">
              <w:rPr>
                <w:rFonts w:ascii="Lucida Bright" w:hAnsi="Lucida Bright" w:cs="Calibri"/>
                <w:color w:val="000000"/>
                <w:sz w:val="14"/>
                <w:szCs w:val="14"/>
                <w:lang w:val="es-ES"/>
              </w:rPr>
              <w:t>Savina</w:t>
            </w:r>
            <w:proofErr w:type="spellEnd"/>
            <w:r w:rsidRPr="007131C1">
              <w:rPr>
                <w:rFonts w:ascii="Lucida Bright" w:hAnsi="Lucida Bright" w:cs="Calibri"/>
                <w:color w:val="000000"/>
                <w:sz w:val="14"/>
                <w:szCs w:val="14"/>
                <w:lang w:val="es-ES"/>
              </w:rPr>
              <w:t>.</w:t>
            </w:r>
          </w:p>
        </w:tc>
        <w:tc>
          <w:tcPr>
            <w:tcW w:w="1159" w:type="pct"/>
            <w:tcBorders>
              <w:top w:val="nil"/>
              <w:left w:val="nil"/>
              <w:bottom w:val="nil"/>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12.900,00</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109.18</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Suministro, instalación y monitorización de tres puertas correderas para acceso a la zona restringida del muelle de cruceros en el puerto de </w:t>
            </w:r>
            <w:proofErr w:type="spellStart"/>
            <w:r w:rsidRPr="007131C1">
              <w:rPr>
                <w:rFonts w:ascii="Lucida Bright" w:hAnsi="Lucida Bright" w:cs="Calibri"/>
                <w:color w:val="000000"/>
                <w:sz w:val="14"/>
                <w:szCs w:val="14"/>
                <w:lang w:val="es-ES"/>
              </w:rPr>
              <w:t>Maó</w:t>
            </w:r>
            <w:proofErr w:type="spellEnd"/>
          </w:p>
        </w:tc>
        <w:tc>
          <w:tcPr>
            <w:tcW w:w="1159" w:type="pct"/>
            <w:tcBorders>
              <w:top w:val="nil"/>
              <w:left w:val="nil"/>
              <w:bottom w:val="nil"/>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122.228,06</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14.19</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Sustitución de la antena y su estructura soporte de la estación transmisora DGPS del faro de </w:t>
            </w:r>
            <w:proofErr w:type="spellStart"/>
            <w:r w:rsidRPr="007131C1">
              <w:rPr>
                <w:rFonts w:ascii="Lucida Bright" w:hAnsi="Lucida Bright" w:cs="Calibri"/>
                <w:color w:val="000000"/>
                <w:sz w:val="14"/>
                <w:szCs w:val="14"/>
                <w:lang w:val="es-ES"/>
              </w:rPr>
              <w:t>Maó</w:t>
            </w:r>
            <w:proofErr w:type="spellEnd"/>
            <w:r w:rsidRPr="007131C1">
              <w:rPr>
                <w:rFonts w:ascii="Lucida Bright" w:hAnsi="Lucida Bright" w:cs="Calibri"/>
                <w:color w:val="000000"/>
                <w:sz w:val="14"/>
                <w:szCs w:val="14"/>
                <w:lang w:val="es-ES"/>
              </w:rPr>
              <w:t xml:space="preserve"> en la punta de </w:t>
            </w:r>
            <w:proofErr w:type="spellStart"/>
            <w:r w:rsidRPr="007131C1">
              <w:rPr>
                <w:rFonts w:ascii="Lucida Bright" w:hAnsi="Lucida Bright" w:cs="Calibri"/>
                <w:color w:val="000000"/>
                <w:sz w:val="14"/>
                <w:szCs w:val="14"/>
                <w:lang w:val="es-ES"/>
              </w:rPr>
              <w:t>Sant</w:t>
            </w:r>
            <w:proofErr w:type="spellEnd"/>
            <w:r w:rsidRPr="007131C1">
              <w:rPr>
                <w:rFonts w:ascii="Lucida Bright" w:hAnsi="Lucida Bright" w:cs="Calibri"/>
                <w:color w:val="000000"/>
                <w:sz w:val="14"/>
                <w:szCs w:val="14"/>
                <w:lang w:val="es-ES"/>
              </w:rPr>
              <w:t xml:space="preserve"> Carles</w:t>
            </w:r>
          </w:p>
        </w:tc>
        <w:tc>
          <w:tcPr>
            <w:tcW w:w="1159" w:type="pct"/>
            <w:tcBorders>
              <w:top w:val="nil"/>
              <w:left w:val="nil"/>
              <w:bottom w:val="nil"/>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162.564,66</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885"/>
        </w:trPr>
        <w:tc>
          <w:tcPr>
            <w:tcW w:w="875" w:type="pct"/>
            <w:tcBorders>
              <w:top w:val="nil"/>
              <w:left w:val="single" w:sz="8" w:space="0" w:color="auto"/>
              <w:bottom w:val="nil"/>
              <w:right w:val="nil"/>
            </w:tcBorders>
            <w:shd w:val="clear" w:color="auto" w:fill="auto"/>
            <w:noWrap/>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P.O. 31.19</w:t>
            </w:r>
          </w:p>
        </w:tc>
        <w:tc>
          <w:tcPr>
            <w:tcW w:w="2427" w:type="pct"/>
            <w:gridSpan w:val="5"/>
            <w:tcBorders>
              <w:top w:val="nil"/>
              <w:left w:val="nil"/>
              <w:bottom w:val="nil"/>
              <w:right w:val="single" w:sz="8" w:space="0" w:color="000000"/>
            </w:tcBorders>
            <w:shd w:val="clear" w:color="auto" w:fill="auto"/>
            <w:vAlign w:val="center"/>
            <w:hideMark/>
          </w:tcPr>
          <w:p w:rsidR="007131C1" w:rsidRPr="007131C1" w:rsidRDefault="007131C1" w:rsidP="007131C1">
            <w:pP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 xml:space="preserve">Suministro y colocación de puertas para el acceso restringido a pantalanes de gestión directa en el puerto de </w:t>
            </w:r>
            <w:proofErr w:type="spellStart"/>
            <w:r w:rsidRPr="007131C1">
              <w:rPr>
                <w:rFonts w:ascii="Lucida Bright" w:hAnsi="Lucida Bright" w:cs="Calibri"/>
                <w:color w:val="000000"/>
                <w:sz w:val="14"/>
                <w:szCs w:val="14"/>
                <w:lang w:val="es-ES"/>
              </w:rPr>
              <w:t>Maó</w:t>
            </w:r>
            <w:proofErr w:type="spellEnd"/>
          </w:p>
        </w:tc>
        <w:tc>
          <w:tcPr>
            <w:tcW w:w="1159" w:type="pct"/>
            <w:tcBorders>
              <w:top w:val="nil"/>
              <w:left w:val="nil"/>
              <w:bottom w:val="single" w:sz="8" w:space="0" w:color="auto"/>
              <w:right w:val="nil"/>
            </w:tcBorders>
            <w:shd w:val="clear" w:color="auto" w:fill="auto"/>
            <w:vAlign w:val="center"/>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52.700,00</w:t>
            </w:r>
          </w:p>
        </w:tc>
        <w:tc>
          <w:tcPr>
            <w:tcW w:w="540" w:type="pct"/>
            <w:tcBorders>
              <w:top w:val="nil"/>
              <w:left w:val="single" w:sz="4" w:space="0" w:color="auto"/>
              <w:bottom w:val="nil"/>
              <w:right w:val="single" w:sz="8" w:space="0" w:color="auto"/>
            </w:tcBorders>
            <w:shd w:val="clear" w:color="auto" w:fill="auto"/>
            <w:noWrap/>
            <w:vAlign w:val="center"/>
            <w:hideMark/>
          </w:tcPr>
          <w:p w:rsidR="007131C1" w:rsidRPr="007131C1" w:rsidRDefault="007131C1" w:rsidP="007131C1">
            <w:pPr>
              <w:jc w:val="center"/>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31/12/2035</w:t>
            </w:r>
          </w:p>
        </w:tc>
      </w:tr>
      <w:tr w:rsidR="007131C1" w:rsidRPr="007131C1" w:rsidTr="007131C1">
        <w:trPr>
          <w:trHeight w:val="240"/>
        </w:trPr>
        <w:tc>
          <w:tcPr>
            <w:tcW w:w="875"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26"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22"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619"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46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0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c>
          <w:tcPr>
            <w:tcW w:w="1159" w:type="pct"/>
            <w:tcBorders>
              <w:top w:val="nil"/>
              <w:left w:val="single" w:sz="8" w:space="0" w:color="auto"/>
              <w:bottom w:val="single" w:sz="8" w:space="0" w:color="auto"/>
              <w:right w:val="single" w:sz="8" w:space="0" w:color="auto"/>
            </w:tcBorders>
            <w:shd w:val="clear" w:color="auto" w:fill="auto"/>
            <w:noWrap/>
            <w:vAlign w:val="bottom"/>
            <w:hideMark/>
          </w:tcPr>
          <w:p w:rsidR="007131C1" w:rsidRPr="007131C1" w:rsidRDefault="007131C1" w:rsidP="007131C1">
            <w:pPr>
              <w:jc w:val="right"/>
              <w:rPr>
                <w:rFonts w:ascii="Lucida Bright" w:hAnsi="Lucida Bright" w:cs="Calibri"/>
                <w:color w:val="000000"/>
                <w:sz w:val="14"/>
                <w:szCs w:val="14"/>
                <w:lang w:val="es-ES"/>
              </w:rPr>
            </w:pPr>
            <w:r w:rsidRPr="007131C1">
              <w:rPr>
                <w:rFonts w:ascii="Lucida Bright" w:hAnsi="Lucida Bright" w:cs="Calibri"/>
                <w:color w:val="000000"/>
                <w:sz w:val="14"/>
                <w:szCs w:val="14"/>
                <w:lang w:val="es-ES"/>
              </w:rPr>
              <w:t>32.363.503,07</w:t>
            </w:r>
          </w:p>
        </w:tc>
        <w:tc>
          <w:tcPr>
            <w:tcW w:w="540" w:type="pct"/>
            <w:tcBorders>
              <w:top w:val="nil"/>
              <w:left w:val="nil"/>
              <w:bottom w:val="nil"/>
              <w:right w:val="nil"/>
            </w:tcBorders>
            <w:shd w:val="clear" w:color="auto" w:fill="auto"/>
            <w:noWrap/>
            <w:vAlign w:val="bottom"/>
            <w:hideMark/>
          </w:tcPr>
          <w:p w:rsidR="007131C1" w:rsidRPr="007131C1" w:rsidRDefault="007131C1" w:rsidP="007131C1">
            <w:pPr>
              <w:rPr>
                <w:rFonts w:ascii="Lucida Bright" w:hAnsi="Lucida Bright" w:cs="Calibri"/>
                <w:color w:val="000000"/>
                <w:sz w:val="14"/>
                <w:szCs w:val="14"/>
                <w:lang w:val="es-ES"/>
              </w:rPr>
            </w:pPr>
          </w:p>
        </w:tc>
      </w:tr>
    </w:tbl>
    <w:p w:rsidR="00BD6CD8" w:rsidRDefault="00BD6CD8" w:rsidP="00BD6CD8">
      <w:pPr>
        <w:tabs>
          <w:tab w:val="right" w:pos="8364"/>
        </w:tabs>
        <w:jc w:val="both"/>
        <w:rPr>
          <w:bCs/>
          <w:noProof/>
          <w:lang w:val="es-ES"/>
        </w:rPr>
      </w:pPr>
    </w:p>
    <w:p w:rsidR="00BD6CD8" w:rsidRDefault="00BD6CD8">
      <w:pPr>
        <w:tabs>
          <w:tab w:val="right" w:pos="8364"/>
        </w:tabs>
        <w:ind w:firstLine="540"/>
        <w:jc w:val="both"/>
        <w:rPr>
          <w:bCs/>
          <w:noProof/>
          <w:lang w:val="es-ES"/>
        </w:rPr>
      </w:pPr>
    </w:p>
    <w:p w:rsidR="003C1CA3" w:rsidRDefault="003C1CA3">
      <w:pPr>
        <w:tabs>
          <w:tab w:val="right" w:pos="8364"/>
        </w:tabs>
        <w:ind w:firstLine="540"/>
        <w:jc w:val="both"/>
        <w:rPr>
          <w:bCs/>
        </w:rPr>
      </w:pPr>
    </w:p>
    <w:p w:rsidR="007131C1" w:rsidRDefault="007131C1">
      <w:pPr>
        <w:tabs>
          <w:tab w:val="right" w:pos="8364"/>
        </w:tabs>
        <w:ind w:firstLine="540"/>
        <w:jc w:val="both"/>
        <w:rPr>
          <w:bCs/>
        </w:rPr>
      </w:pPr>
      <w:r>
        <w:rPr>
          <w:bCs/>
        </w:rPr>
        <w:t>No se han aplicado en el ejercicio 2023 deducciones pendientes de tomar de ejercicios anteriores.</w:t>
      </w:r>
    </w:p>
    <w:p w:rsidR="003C1CA3" w:rsidRDefault="003C1CA3">
      <w:pPr>
        <w:tabs>
          <w:tab w:val="right" w:pos="8364"/>
        </w:tabs>
        <w:ind w:firstLine="540"/>
        <w:jc w:val="both"/>
        <w:rPr>
          <w:bCs/>
        </w:rPr>
      </w:pPr>
    </w:p>
    <w:p w:rsidR="00BD6CD8" w:rsidRDefault="00BD6CD8" w:rsidP="00D14CEC">
      <w:pPr>
        <w:tabs>
          <w:tab w:val="right" w:pos="8364"/>
        </w:tabs>
        <w:jc w:val="both"/>
        <w:rPr>
          <w:bCs/>
        </w:rPr>
      </w:pPr>
    </w:p>
    <w:p w:rsidR="005A503C" w:rsidRPr="00865CED" w:rsidRDefault="005A503C">
      <w:pPr>
        <w:tabs>
          <w:tab w:val="right" w:pos="8364"/>
        </w:tabs>
        <w:ind w:firstLine="540"/>
        <w:jc w:val="both"/>
        <w:rPr>
          <w:rFonts w:ascii="NewBaskerville" w:hAnsi="NewBaskerville"/>
          <w:bCs/>
        </w:rPr>
      </w:pPr>
      <w:r w:rsidRPr="00865CED">
        <w:rPr>
          <w:rFonts w:ascii="NewBaskerville" w:hAnsi="NewBaskerville"/>
          <w:bCs/>
          <w:u w:val="single"/>
        </w:rPr>
        <w:t>Pasivos por impuesto diferido.</w:t>
      </w:r>
    </w:p>
    <w:p w:rsidR="005A503C" w:rsidRPr="00865CED" w:rsidRDefault="005A503C">
      <w:pPr>
        <w:tabs>
          <w:tab w:val="right" w:pos="8364"/>
        </w:tabs>
        <w:ind w:firstLine="540"/>
        <w:jc w:val="both"/>
        <w:rPr>
          <w:rFonts w:ascii="NewBaskerville" w:hAnsi="NewBaskerville"/>
          <w:bCs/>
        </w:rPr>
      </w:pPr>
    </w:p>
    <w:p w:rsidR="005A503C" w:rsidRDefault="005A503C">
      <w:pPr>
        <w:tabs>
          <w:tab w:val="right" w:pos="8364"/>
        </w:tabs>
        <w:ind w:firstLine="540"/>
        <w:jc w:val="both"/>
        <w:rPr>
          <w:rFonts w:ascii="NewBaskerville" w:hAnsi="NewBaskerville"/>
          <w:bCs/>
        </w:rPr>
      </w:pPr>
      <w:r w:rsidRPr="00865CED">
        <w:rPr>
          <w:rFonts w:ascii="NewBaskerville" w:hAnsi="NewBaskerville"/>
          <w:bCs/>
        </w:rPr>
        <w:t>El detalle del saldo de esta cuenta al cierre del ejercicio 202</w:t>
      </w:r>
      <w:r w:rsidR="00FE0936">
        <w:rPr>
          <w:rFonts w:ascii="NewBaskerville" w:hAnsi="NewBaskerville"/>
          <w:bCs/>
        </w:rPr>
        <w:t>3</w:t>
      </w:r>
      <w:r w:rsidRPr="00865CED">
        <w:rPr>
          <w:rFonts w:ascii="NewBaskerville" w:hAnsi="NewBaskerville"/>
          <w:bCs/>
        </w:rPr>
        <w:t xml:space="preserve"> y 20</w:t>
      </w:r>
      <w:r w:rsidR="00865CED">
        <w:rPr>
          <w:rFonts w:ascii="NewBaskerville" w:hAnsi="NewBaskerville"/>
          <w:bCs/>
        </w:rPr>
        <w:t>2</w:t>
      </w:r>
      <w:r w:rsidR="00FE0936">
        <w:rPr>
          <w:rFonts w:ascii="NewBaskerville" w:hAnsi="NewBaskerville"/>
          <w:bCs/>
        </w:rPr>
        <w:t>2</w:t>
      </w:r>
      <w:r w:rsidRPr="00865CED">
        <w:rPr>
          <w:rFonts w:ascii="NewBaskerville" w:hAnsi="NewBaskerville"/>
          <w:bCs/>
        </w:rPr>
        <w:t xml:space="preserve"> es el siguiente:</w:t>
      </w:r>
    </w:p>
    <w:p w:rsidR="00865CED" w:rsidRPr="00865CED" w:rsidRDefault="00865CED">
      <w:pPr>
        <w:tabs>
          <w:tab w:val="right" w:pos="8364"/>
        </w:tabs>
        <w:ind w:firstLine="540"/>
        <w:jc w:val="both"/>
        <w:rPr>
          <w:rFonts w:ascii="NewBaskerville" w:hAnsi="NewBaskerville"/>
          <w:bCs/>
        </w:rPr>
      </w:pPr>
    </w:p>
    <w:tbl>
      <w:tblPr>
        <w:tblW w:w="0" w:type="auto"/>
        <w:tblInd w:w="55" w:type="dxa"/>
        <w:tblCellMar>
          <w:left w:w="70" w:type="dxa"/>
          <w:right w:w="70" w:type="dxa"/>
        </w:tblCellMar>
        <w:tblLook w:val="04A0" w:firstRow="1" w:lastRow="0" w:firstColumn="1" w:lastColumn="0" w:noHBand="0" w:noVBand="1"/>
      </w:tblPr>
      <w:tblGrid>
        <w:gridCol w:w="1008"/>
        <w:gridCol w:w="1008"/>
        <w:gridCol w:w="978"/>
        <w:gridCol w:w="1018"/>
        <w:gridCol w:w="1018"/>
      </w:tblGrid>
      <w:tr w:rsidR="00FE0936" w:rsidRPr="00FE0936" w:rsidTr="00FE0936">
        <w:trPr>
          <w:trHeight w:val="240"/>
        </w:trPr>
        <w:tc>
          <w:tcPr>
            <w:tcW w:w="0" w:type="auto"/>
            <w:gridSpan w:val="3"/>
            <w:tcBorders>
              <w:top w:val="nil"/>
              <w:left w:val="nil"/>
              <w:bottom w:val="nil"/>
              <w:right w:val="nil"/>
            </w:tcBorders>
            <w:shd w:val="clear" w:color="auto" w:fill="auto"/>
            <w:noWrap/>
            <w:vAlign w:val="bottom"/>
            <w:hideMark/>
          </w:tcPr>
          <w:p w:rsidR="00FE0936" w:rsidRPr="00FE0936" w:rsidRDefault="00FE0936" w:rsidP="00FE0936">
            <w:pPr>
              <w:rPr>
                <w:rFonts w:ascii="Lucida Bright" w:hAnsi="Lucida Bright" w:cs="Calibri"/>
                <w:b/>
                <w:bCs/>
                <w:color w:val="000000"/>
                <w:sz w:val="16"/>
                <w:szCs w:val="16"/>
                <w:lang w:val="es-ES"/>
              </w:rPr>
            </w:pPr>
            <w:r w:rsidRPr="00FE0936">
              <w:rPr>
                <w:rFonts w:ascii="Lucida Bright" w:hAnsi="Lucida Bright" w:cs="Calibri"/>
                <w:b/>
                <w:bCs/>
                <w:color w:val="000000"/>
                <w:sz w:val="16"/>
                <w:szCs w:val="16"/>
                <w:lang w:val="es-ES"/>
              </w:rPr>
              <w:t>Pasivos por impuesto diferido</w:t>
            </w:r>
          </w:p>
        </w:tc>
        <w:tc>
          <w:tcPr>
            <w:tcW w:w="0" w:type="auto"/>
            <w:tcBorders>
              <w:top w:val="nil"/>
              <w:left w:val="nil"/>
              <w:bottom w:val="nil"/>
              <w:right w:val="nil"/>
            </w:tcBorders>
            <w:shd w:val="clear" w:color="auto" w:fill="auto"/>
            <w:noWrap/>
            <w:vAlign w:val="bottom"/>
            <w:hideMark/>
          </w:tcPr>
          <w:p w:rsidR="00FE0936" w:rsidRPr="00FE0936" w:rsidRDefault="00FE0936" w:rsidP="00FE0936">
            <w:pPr>
              <w:rPr>
                <w:rFonts w:ascii="Lucida Bright" w:hAnsi="Lucida Bright" w:cs="Calibri"/>
                <w:color w:val="000000"/>
                <w:sz w:val="16"/>
                <w:szCs w:val="16"/>
                <w:lang w:val="es-ES"/>
              </w:rPr>
            </w:pPr>
          </w:p>
        </w:tc>
        <w:tc>
          <w:tcPr>
            <w:tcW w:w="0" w:type="auto"/>
            <w:tcBorders>
              <w:top w:val="nil"/>
              <w:left w:val="nil"/>
              <w:bottom w:val="nil"/>
              <w:right w:val="nil"/>
            </w:tcBorders>
            <w:shd w:val="clear" w:color="auto" w:fill="auto"/>
            <w:noWrap/>
            <w:vAlign w:val="bottom"/>
            <w:hideMark/>
          </w:tcPr>
          <w:p w:rsidR="00FE0936" w:rsidRPr="00FE0936" w:rsidRDefault="00FE0936" w:rsidP="00FE0936">
            <w:pPr>
              <w:rPr>
                <w:rFonts w:ascii="Lucida Bright" w:hAnsi="Lucida Bright" w:cs="Calibri"/>
                <w:color w:val="000000"/>
                <w:sz w:val="16"/>
                <w:szCs w:val="16"/>
                <w:lang w:val="es-ES"/>
              </w:rPr>
            </w:pPr>
          </w:p>
        </w:tc>
      </w:tr>
      <w:tr w:rsidR="00FE0936" w:rsidRPr="00FE0936" w:rsidTr="00FE0936">
        <w:trPr>
          <w:trHeight w:val="240"/>
        </w:trPr>
        <w:tc>
          <w:tcPr>
            <w:tcW w:w="0" w:type="auto"/>
            <w:tcBorders>
              <w:top w:val="single" w:sz="8" w:space="0" w:color="auto"/>
              <w:left w:val="single" w:sz="8" w:space="0" w:color="auto"/>
              <w:bottom w:val="nil"/>
              <w:right w:val="nil"/>
            </w:tcBorders>
            <w:shd w:val="clear" w:color="000000" w:fill="CCFFCC"/>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c>
          <w:tcPr>
            <w:tcW w:w="0" w:type="auto"/>
            <w:tcBorders>
              <w:top w:val="single" w:sz="8" w:space="0" w:color="auto"/>
              <w:left w:val="nil"/>
              <w:bottom w:val="nil"/>
              <w:right w:val="nil"/>
            </w:tcBorders>
            <w:shd w:val="clear" w:color="000000" w:fill="CCFFCC"/>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c>
          <w:tcPr>
            <w:tcW w:w="0" w:type="auto"/>
            <w:tcBorders>
              <w:top w:val="single" w:sz="8" w:space="0" w:color="auto"/>
              <w:left w:val="nil"/>
              <w:bottom w:val="nil"/>
              <w:right w:val="single" w:sz="8" w:space="0" w:color="auto"/>
            </w:tcBorders>
            <w:shd w:val="clear" w:color="000000" w:fill="CCFFCC"/>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c>
          <w:tcPr>
            <w:tcW w:w="0" w:type="auto"/>
            <w:gridSpan w:val="2"/>
            <w:tcBorders>
              <w:top w:val="single" w:sz="8" w:space="0" w:color="auto"/>
              <w:left w:val="nil"/>
              <w:bottom w:val="single" w:sz="8" w:space="0" w:color="auto"/>
              <w:right w:val="single" w:sz="8" w:space="0" w:color="000000"/>
            </w:tcBorders>
            <w:shd w:val="clear" w:color="000000" w:fill="CCFFCC"/>
            <w:noWrap/>
            <w:vAlign w:val="center"/>
            <w:hideMark/>
          </w:tcPr>
          <w:p w:rsidR="00FE0936" w:rsidRPr="00FE0936" w:rsidRDefault="00FE0936" w:rsidP="00FE0936">
            <w:pPr>
              <w:jc w:val="cente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Euros</w:t>
            </w:r>
          </w:p>
        </w:tc>
      </w:tr>
      <w:tr w:rsidR="00FE0936" w:rsidRPr="00FE0936" w:rsidTr="00FE0936">
        <w:trPr>
          <w:trHeight w:val="240"/>
        </w:trPr>
        <w:tc>
          <w:tcPr>
            <w:tcW w:w="0" w:type="auto"/>
            <w:tcBorders>
              <w:top w:val="nil"/>
              <w:left w:val="single" w:sz="8" w:space="0" w:color="auto"/>
              <w:bottom w:val="single" w:sz="8" w:space="0" w:color="auto"/>
              <w:right w:val="nil"/>
            </w:tcBorders>
            <w:shd w:val="clear" w:color="000000" w:fill="CCFFCC"/>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c>
          <w:tcPr>
            <w:tcW w:w="0" w:type="auto"/>
            <w:tcBorders>
              <w:top w:val="nil"/>
              <w:left w:val="nil"/>
              <w:bottom w:val="single" w:sz="8" w:space="0" w:color="auto"/>
              <w:right w:val="nil"/>
            </w:tcBorders>
            <w:shd w:val="clear" w:color="000000" w:fill="CCFFCC"/>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c>
          <w:tcPr>
            <w:tcW w:w="0" w:type="auto"/>
            <w:tcBorders>
              <w:top w:val="nil"/>
              <w:left w:val="nil"/>
              <w:bottom w:val="single" w:sz="8" w:space="0" w:color="auto"/>
              <w:right w:val="single" w:sz="8" w:space="0" w:color="auto"/>
            </w:tcBorders>
            <w:shd w:val="clear" w:color="000000" w:fill="CCFFCC"/>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c>
          <w:tcPr>
            <w:tcW w:w="0" w:type="auto"/>
            <w:tcBorders>
              <w:top w:val="nil"/>
              <w:left w:val="nil"/>
              <w:bottom w:val="single" w:sz="8" w:space="0" w:color="auto"/>
              <w:right w:val="single" w:sz="8" w:space="0" w:color="auto"/>
            </w:tcBorders>
            <w:shd w:val="clear" w:color="000000" w:fill="CCFFCC"/>
            <w:noWrap/>
            <w:vAlign w:val="bottom"/>
            <w:hideMark/>
          </w:tcPr>
          <w:p w:rsidR="00FE0936" w:rsidRPr="00FE0936" w:rsidRDefault="00FE0936" w:rsidP="00FE0936">
            <w:pPr>
              <w:jc w:val="cente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2023</w:t>
            </w:r>
          </w:p>
        </w:tc>
        <w:tc>
          <w:tcPr>
            <w:tcW w:w="0" w:type="auto"/>
            <w:tcBorders>
              <w:top w:val="nil"/>
              <w:left w:val="nil"/>
              <w:bottom w:val="single" w:sz="8" w:space="0" w:color="auto"/>
              <w:right w:val="single" w:sz="8" w:space="0" w:color="auto"/>
            </w:tcBorders>
            <w:shd w:val="clear" w:color="000000" w:fill="CCFFCC"/>
            <w:noWrap/>
            <w:vAlign w:val="bottom"/>
            <w:hideMark/>
          </w:tcPr>
          <w:p w:rsidR="00FE0936" w:rsidRPr="00FE0936" w:rsidRDefault="00FE0936" w:rsidP="00FE0936">
            <w:pPr>
              <w:jc w:val="cente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2022</w:t>
            </w:r>
          </w:p>
        </w:tc>
      </w:tr>
      <w:tr w:rsidR="00FE0936" w:rsidRPr="00FE0936" w:rsidTr="00FE0936">
        <w:trPr>
          <w:trHeight w:val="225"/>
        </w:trPr>
        <w:tc>
          <w:tcPr>
            <w:tcW w:w="0" w:type="auto"/>
            <w:gridSpan w:val="2"/>
            <w:tcBorders>
              <w:top w:val="single" w:sz="8" w:space="0" w:color="auto"/>
              <w:left w:val="single" w:sz="8" w:space="0" w:color="auto"/>
              <w:bottom w:val="nil"/>
              <w:right w:val="nil"/>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Subvenciones de capital</w:t>
            </w:r>
          </w:p>
        </w:tc>
        <w:tc>
          <w:tcPr>
            <w:tcW w:w="0" w:type="auto"/>
            <w:tcBorders>
              <w:top w:val="nil"/>
              <w:left w:val="nil"/>
              <w:bottom w:val="nil"/>
              <w:right w:val="single" w:sz="8" w:space="0" w:color="auto"/>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FE0936" w:rsidRPr="00FE0936" w:rsidRDefault="00FE0936" w:rsidP="00FE0936">
            <w:pPr>
              <w:jc w:val="right"/>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6.378.501,11</w:t>
            </w:r>
          </w:p>
        </w:tc>
        <w:tc>
          <w:tcPr>
            <w:tcW w:w="0" w:type="auto"/>
            <w:tcBorders>
              <w:top w:val="nil"/>
              <w:left w:val="nil"/>
              <w:bottom w:val="nil"/>
              <w:right w:val="single" w:sz="8" w:space="0" w:color="auto"/>
            </w:tcBorders>
            <w:shd w:val="clear" w:color="auto" w:fill="auto"/>
            <w:noWrap/>
            <w:vAlign w:val="bottom"/>
            <w:hideMark/>
          </w:tcPr>
          <w:p w:rsidR="00FE0936" w:rsidRPr="00FE0936" w:rsidRDefault="00FE0936" w:rsidP="00FE0936">
            <w:pPr>
              <w:jc w:val="right"/>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6.279.175,42</w:t>
            </w:r>
          </w:p>
        </w:tc>
      </w:tr>
      <w:tr w:rsidR="00FE0936" w:rsidRPr="00FE0936" w:rsidTr="00FE0936">
        <w:trPr>
          <w:trHeight w:val="225"/>
        </w:trPr>
        <w:tc>
          <w:tcPr>
            <w:tcW w:w="0" w:type="auto"/>
            <w:tcBorders>
              <w:top w:val="nil"/>
              <w:left w:val="single" w:sz="8" w:space="0" w:color="auto"/>
              <w:bottom w:val="nil"/>
              <w:right w:val="nil"/>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c>
          <w:tcPr>
            <w:tcW w:w="0" w:type="auto"/>
            <w:tcBorders>
              <w:top w:val="nil"/>
              <w:left w:val="nil"/>
              <w:bottom w:val="nil"/>
              <w:right w:val="nil"/>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p>
        </w:tc>
        <w:tc>
          <w:tcPr>
            <w:tcW w:w="0" w:type="auto"/>
            <w:tcBorders>
              <w:top w:val="nil"/>
              <w:left w:val="nil"/>
              <w:bottom w:val="nil"/>
              <w:right w:val="single" w:sz="8" w:space="0" w:color="auto"/>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r>
      <w:tr w:rsidR="00FE0936" w:rsidRPr="00FE0936" w:rsidTr="00FE0936">
        <w:trPr>
          <w:trHeight w:val="225"/>
        </w:trPr>
        <w:tc>
          <w:tcPr>
            <w:tcW w:w="0" w:type="auto"/>
            <w:gridSpan w:val="3"/>
            <w:tcBorders>
              <w:top w:val="nil"/>
              <w:left w:val="single" w:sz="8" w:space="0" w:color="auto"/>
              <w:bottom w:val="nil"/>
              <w:right w:val="single" w:sz="8" w:space="0" w:color="000000"/>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Diferencias amortización contable y fiscal</w:t>
            </w:r>
          </w:p>
        </w:tc>
        <w:tc>
          <w:tcPr>
            <w:tcW w:w="0" w:type="auto"/>
            <w:tcBorders>
              <w:top w:val="nil"/>
              <w:left w:val="nil"/>
              <w:bottom w:val="nil"/>
              <w:right w:val="single" w:sz="8" w:space="0" w:color="auto"/>
            </w:tcBorders>
            <w:shd w:val="clear" w:color="auto" w:fill="auto"/>
            <w:noWrap/>
            <w:vAlign w:val="bottom"/>
            <w:hideMark/>
          </w:tcPr>
          <w:p w:rsidR="00FE0936" w:rsidRPr="00FE0936" w:rsidRDefault="00FE0936" w:rsidP="00FE0936">
            <w:pPr>
              <w:jc w:val="right"/>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767,47</w:t>
            </w:r>
          </w:p>
        </w:tc>
        <w:tc>
          <w:tcPr>
            <w:tcW w:w="0" w:type="auto"/>
            <w:tcBorders>
              <w:top w:val="nil"/>
              <w:left w:val="nil"/>
              <w:bottom w:val="nil"/>
              <w:right w:val="single" w:sz="8" w:space="0" w:color="auto"/>
            </w:tcBorders>
            <w:shd w:val="clear" w:color="auto" w:fill="auto"/>
            <w:noWrap/>
            <w:vAlign w:val="bottom"/>
            <w:hideMark/>
          </w:tcPr>
          <w:p w:rsidR="00FE0936" w:rsidRPr="00FE0936" w:rsidRDefault="00FE0936" w:rsidP="00FE0936">
            <w:pPr>
              <w:jc w:val="right"/>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884,37</w:t>
            </w:r>
          </w:p>
        </w:tc>
      </w:tr>
      <w:tr w:rsidR="00FE0936" w:rsidRPr="00FE0936" w:rsidTr="00FE0936">
        <w:trPr>
          <w:trHeight w:val="225"/>
        </w:trPr>
        <w:tc>
          <w:tcPr>
            <w:tcW w:w="0" w:type="auto"/>
            <w:tcBorders>
              <w:top w:val="nil"/>
              <w:left w:val="single" w:sz="8" w:space="0" w:color="auto"/>
              <w:bottom w:val="nil"/>
              <w:right w:val="nil"/>
            </w:tcBorders>
            <w:shd w:val="clear" w:color="auto" w:fill="auto"/>
            <w:noWrap/>
            <w:vAlign w:val="bottom"/>
            <w:hideMark/>
          </w:tcPr>
          <w:p w:rsidR="00FE0936" w:rsidRPr="00FE0936" w:rsidRDefault="00FE0936" w:rsidP="00FE0936">
            <w:pPr>
              <w:rPr>
                <w:rFonts w:ascii="Lucida Bright" w:hAnsi="Lucida Bright" w:cs="Calibri"/>
                <w:i/>
                <w:iCs/>
                <w:color w:val="000000"/>
                <w:sz w:val="14"/>
                <w:szCs w:val="14"/>
                <w:lang w:val="es-ES"/>
              </w:rPr>
            </w:pPr>
            <w:r w:rsidRPr="00FE0936">
              <w:rPr>
                <w:rFonts w:ascii="Lucida Bright" w:hAnsi="Lucida Bright" w:cs="Calibri"/>
                <w:i/>
                <w:iCs/>
                <w:color w:val="000000"/>
                <w:sz w:val="14"/>
                <w:szCs w:val="14"/>
                <w:lang w:val="es-ES"/>
              </w:rPr>
              <w:t> </w:t>
            </w:r>
          </w:p>
        </w:tc>
        <w:tc>
          <w:tcPr>
            <w:tcW w:w="0" w:type="auto"/>
            <w:tcBorders>
              <w:top w:val="nil"/>
              <w:left w:val="nil"/>
              <w:bottom w:val="nil"/>
              <w:right w:val="nil"/>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p>
        </w:tc>
        <w:tc>
          <w:tcPr>
            <w:tcW w:w="0" w:type="auto"/>
            <w:tcBorders>
              <w:top w:val="nil"/>
              <w:left w:val="nil"/>
              <w:bottom w:val="nil"/>
              <w:right w:val="single" w:sz="8" w:space="0" w:color="auto"/>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r>
      <w:tr w:rsidR="00FE0936" w:rsidRPr="00FE0936" w:rsidTr="00FE0936">
        <w:trPr>
          <w:trHeight w:val="225"/>
        </w:trPr>
        <w:tc>
          <w:tcPr>
            <w:tcW w:w="0" w:type="auto"/>
            <w:tcBorders>
              <w:top w:val="nil"/>
              <w:left w:val="single" w:sz="8" w:space="0" w:color="auto"/>
              <w:bottom w:val="nil"/>
              <w:right w:val="nil"/>
            </w:tcBorders>
            <w:shd w:val="clear" w:color="auto" w:fill="auto"/>
            <w:noWrap/>
            <w:vAlign w:val="bottom"/>
            <w:hideMark/>
          </w:tcPr>
          <w:p w:rsidR="00FE0936" w:rsidRPr="00FE0936" w:rsidRDefault="00FE0936" w:rsidP="00FE0936">
            <w:pPr>
              <w:rPr>
                <w:rFonts w:ascii="Lucida Bright" w:hAnsi="Lucida Bright" w:cs="Calibri"/>
                <w:i/>
                <w:iCs/>
                <w:color w:val="000000"/>
                <w:sz w:val="14"/>
                <w:szCs w:val="14"/>
                <w:lang w:val="es-ES"/>
              </w:rPr>
            </w:pPr>
            <w:r w:rsidRPr="00FE0936">
              <w:rPr>
                <w:rFonts w:ascii="Lucida Bright" w:hAnsi="Lucida Bright" w:cs="Calibri"/>
                <w:i/>
                <w:iCs/>
                <w:color w:val="000000"/>
                <w:sz w:val="14"/>
                <w:szCs w:val="14"/>
                <w:lang w:val="es-ES"/>
              </w:rPr>
              <w:t> </w:t>
            </w:r>
          </w:p>
        </w:tc>
        <w:tc>
          <w:tcPr>
            <w:tcW w:w="0" w:type="auto"/>
            <w:tcBorders>
              <w:top w:val="nil"/>
              <w:left w:val="nil"/>
              <w:bottom w:val="nil"/>
              <w:right w:val="nil"/>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p>
        </w:tc>
        <w:tc>
          <w:tcPr>
            <w:tcW w:w="0" w:type="auto"/>
            <w:tcBorders>
              <w:top w:val="nil"/>
              <w:left w:val="nil"/>
              <w:bottom w:val="nil"/>
              <w:right w:val="single" w:sz="8" w:space="0" w:color="auto"/>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r>
      <w:tr w:rsidR="00FE0936" w:rsidRPr="00FE0936" w:rsidTr="00FE0936">
        <w:trPr>
          <w:trHeight w:val="225"/>
        </w:trPr>
        <w:tc>
          <w:tcPr>
            <w:tcW w:w="0" w:type="auto"/>
            <w:tcBorders>
              <w:top w:val="nil"/>
              <w:left w:val="single" w:sz="8" w:space="0" w:color="auto"/>
              <w:bottom w:val="nil"/>
              <w:right w:val="nil"/>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c>
          <w:tcPr>
            <w:tcW w:w="0" w:type="auto"/>
            <w:tcBorders>
              <w:top w:val="nil"/>
              <w:left w:val="nil"/>
              <w:bottom w:val="nil"/>
              <w:right w:val="nil"/>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p>
        </w:tc>
        <w:tc>
          <w:tcPr>
            <w:tcW w:w="0" w:type="auto"/>
            <w:tcBorders>
              <w:top w:val="nil"/>
              <w:left w:val="nil"/>
              <w:bottom w:val="nil"/>
              <w:right w:val="single" w:sz="8" w:space="0" w:color="auto"/>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r>
      <w:tr w:rsidR="00FE0936" w:rsidRPr="00FE0936" w:rsidTr="00FE0936">
        <w:trPr>
          <w:trHeight w:val="225"/>
        </w:trPr>
        <w:tc>
          <w:tcPr>
            <w:tcW w:w="0" w:type="auto"/>
            <w:tcBorders>
              <w:top w:val="nil"/>
              <w:left w:val="single" w:sz="8" w:space="0" w:color="auto"/>
              <w:bottom w:val="nil"/>
              <w:right w:val="nil"/>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c>
          <w:tcPr>
            <w:tcW w:w="0" w:type="auto"/>
            <w:tcBorders>
              <w:top w:val="nil"/>
              <w:left w:val="nil"/>
              <w:bottom w:val="nil"/>
              <w:right w:val="nil"/>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p>
        </w:tc>
        <w:tc>
          <w:tcPr>
            <w:tcW w:w="0" w:type="auto"/>
            <w:tcBorders>
              <w:top w:val="nil"/>
              <w:left w:val="nil"/>
              <w:bottom w:val="nil"/>
              <w:right w:val="single" w:sz="8" w:space="0" w:color="auto"/>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c>
          <w:tcPr>
            <w:tcW w:w="0" w:type="auto"/>
            <w:tcBorders>
              <w:top w:val="nil"/>
              <w:left w:val="nil"/>
              <w:bottom w:val="nil"/>
              <w:right w:val="single" w:sz="8" w:space="0" w:color="auto"/>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r>
      <w:tr w:rsidR="00FE0936" w:rsidRPr="00FE0936" w:rsidTr="00FE0936">
        <w:trPr>
          <w:trHeight w:val="240"/>
        </w:trPr>
        <w:tc>
          <w:tcPr>
            <w:tcW w:w="0" w:type="auto"/>
            <w:tcBorders>
              <w:top w:val="nil"/>
              <w:left w:val="single" w:sz="8" w:space="0" w:color="auto"/>
              <w:bottom w:val="single" w:sz="8" w:space="0" w:color="auto"/>
              <w:right w:val="nil"/>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c>
          <w:tcPr>
            <w:tcW w:w="0" w:type="auto"/>
            <w:tcBorders>
              <w:top w:val="nil"/>
              <w:left w:val="nil"/>
              <w:bottom w:val="single" w:sz="8" w:space="0" w:color="auto"/>
              <w:right w:val="nil"/>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c>
          <w:tcPr>
            <w:tcW w:w="0" w:type="auto"/>
            <w:tcBorders>
              <w:top w:val="nil"/>
              <w:left w:val="nil"/>
              <w:bottom w:val="single" w:sz="8" w:space="0" w:color="auto"/>
              <w:right w:val="single" w:sz="8" w:space="0" w:color="auto"/>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c>
          <w:tcPr>
            <w:tcW w:w="0" w:type="auto"/>
            <w:tcBorders>
              <w:top w:val="nil"/>
              <w:left w:val="nil"/>
              <w:bottom w:val="single" w:sz="8" w:space="0" w:color="auto"/>
              <w:right w:val="single" w:sz="8" w:space="0" w:color="auto"/>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c>
          <w:tcPr>
            <w:tcW w:w="0" w:type="auto"/>
            <w:tcBorders>
              <w:top w:val="nil"/>
              <w:left w:val="nil"/>
              <w:bottom w:val="single" w:sz="8" w:space="0" w:color="auto"/>
              <w:right w:val="single" w:sz="8" w:space="0" w:color="auto"/>
            </w:tcBorders>
            <w:shd w:val="clear" w:color="auto" w:fill="auto"/>
            <w:noWrap/>
            <w:vAlign w:val="bottom"/>
            <w:hideMark/>
          </w:tcPr>
          <w:p w:rsidR="00FE0936" w:rsidRPr="00FE0936" w:rsidRDefault="00FE0936" w:rsidP="00FE0936">
            <w:pPr>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 </w:t>
            </w:r>
          </w:p>
        </w:tc>
      </w:tr>
      <w:tr w:rsidR="00FE0936" w:rsidRPr="00FE0936" w:rsidTr="00FE0936">
        <w:trPr>
          <w:trHeight w:val="240"/>
        </w:trPr>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E0936" w:rsidRPr="00FE0936" w:rsidRDefault="00FE0936" w:rsidP="00FE0936">
            <w:pPr>
              <w:jc w:val="center"/>
              <w:rPr>
                <w:rFonts w:ascii="Lucida Bright" w:hAnsi="Lucida Bright" w:cs="Calibri"/>
                <w:b/>
                <w:bCs/>
                <w:color w:val="000000"/>
                <w:sz w:val="14"/>
                <w:szCs w:val="14"/>
                <w:lang w:val="es-ES"/>
              </w:rPr>
            </w:pPr>
            <w:r w:rsidRPr="00FE0936">
              <w:rPr>
                <w:rFonts w:ascii="Lucida Bright" w:hAnsi="Lucida Bright" w:cs="Calibri"/>
                <w:b/>
                <w:bCs/>
                <w:color w:val="000000"/>
                <w:sz w:val="14"/>
                <w:szCs w:val="14"/>
                <w:lang w:val="es-ES"/>
              </w:rPr>
              <w:t>Total pasivos por impuesto diferido</w:t>
            </w:r>
          </w:p>
        </w:tc>
        <w:tc>
          <w:tcPr>
            <w:tcW w:w="0" w:type="auto"/>
            <w:tcBorders>
              <w:top w:val="nil"/>
              <w:left w:val="nil"/>
              <w:bottom w:val="single" w:sz="8" w:space="0" w:color="auto"/>
              <w:right w:val="single" w:sz="8" w:space="0" w:color="auto"/>
            </w:tcBorders>
            <w:shd w:val="clear" w:color="auto" w:fill="auto"/>
            <w:noWrap/>
            <w:vAlign w:val="center"/>
            <w:hideMark/>
          </w:tcPr>
          <w:p w:rsidR="00FE0936" w:rsidRPr="00FE0936" w:rsidRDefault="00FE0936" w:rsidP="00FE0936">
            <w:pPr>
              <w:jc w:val="right"/>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6.379.268,58</w:t>
            </w:r>
          </w:p>
        </w:tc>
        <w:tc>
          <w:tcPr>
            <w:tcW w:w="0" w:type="auto"/>
            <w:tcBorders>
              <w:top w:val="nil"/>
              <w:left w:val="nil"/>
              <w:bottom w:val="single" w:sz="8" w:space="0" w:color="auto"/>
              <w:right w:val="single" w:sz="8" w:space="0" w:color="auto"/>
            </w:tcBorders>
            <w:shd w:val="clear" w:color="auto" w:fill="auto"/>
            <w:noWrap/>
            <w:vAlign w:val="center"/>
            <w:hideMark/>
          </w:tcPr>
          <w:p w:rsidR="00FE0936" w:rsidRPr="00FE0936" w:rsidRDefault="00FE0936" w:rsidP="00FE0936">
            <w:pPr>
              <w:jc w:val="right"/>
              <w:rPr>
                <w:rFonts w:ascii="Lucida Bright" w:hAnsi="Lucida Bright" w:cs="Calibri"/>
                <w:color w:val="000000"/>
                <w:sz w:val="14"/>
                <w:szCs w:val="14"/>
                <w:lang w:val="es-ES"/>
              </w:rPr>
            </w:pPr>
            <w:r w:rsidRPr="00FE0936">
              <w:rPr>
                <w:rFonts w:ascii="Lucida Bright" w:hAnsi="Lucida Bright" w:cs="Calibri"/>
                <w:color w:val="000000"/>
                <w:sz w:val="14"/>
                <w:szCs w:val="14"/>
                <w:lang w:val="es-ES"/>
              </w:rPr>
              <w:t>6.280.059,79</w:t>
            </w:r>
          </w:p>
        </w:tc>
      </w:tr>
    </w:tbl>
    <w:p w:rsidR="005A503C" w:rsidRDefault="005A503C">
      <w:pPr>
        <w:tabs>
          <w:tab w:val="right" w:pos="8364"/>
        </w:tabs>
        <w:ind w:firstLine="540"/>
        <w:jc w:val="both"/>
        <w:rPr>
          <w:bCs/>
        </w:rPr>
      </w:pPr>
    </w:p>
    <w:p w:rsidR="00D14CEC" w:rsidRDefault="00D14CEC">
      <w:pPr>
        <w:tabs>
          <w:tab w:val="right" w:pos="8364"/>
        </w:tabs>
        <w:ind w:firstLine="540"/>
        <w:jc w:val="both"/>
        <w:rPr>
          <w:bCs/>
        </w:rPr>
      </w:pPr>
    </w:p>
    <w:p w:rsidR="00D14CEC" w:rsidRDefault="00D14CEC">
      <w:pPr>
        <w:tabs>
          <w:tab w:val="right" w:pos="8364"/>
        </w:tabs>
        <w:ind w:firstLine="540"/>
        <w:jc w:val="both"/>
        <w:rPr>
          <w:bCs/>
        </w:rPr>
      </w:pPr>
    </w:p>
    <w:p w:rsidR="00A12578" w:rsidRPr="00865CED" w:rsidRDefault="00A12578">
      <w:pPr>
        <w:tabs>
          <w:tab w:val="right" w:pos="8364"/>
        </w:tabs>
        <w:ind w:firstLine="540"/>
        <w:jc w:val="both"/>
        <w:rPr>
          <w:rFonts w:ascii="NewBaskerville" w:hAnsi="NewBaskerville"/>
          <w:bCs/>
        </w:rPr>
      </w:pPr>
      <w:r w:rsidRPr="00865CED">
        <w:rPr>
          <w:rFonts w:ascii="NewBaskerville" w:hAnsi="NewBaskerville"/>
          <w:bCs/>
          <w:u w:val="single"/>
        </w:rPr>
        <w:t>Movimientos de los Activos y Pasivos por impuesto diferido.</w:t>
      </w:r>
    </w:p>
    <w:p w:rsidR="00A12578" w:rsidRPr="00865CED" w:rsidRDefault="00A12578">
      <w:pPr>
        <w:tabs>
          <w:tab w:val="right" w:pos="8364"/>
        </w:tabs>
        <w:ind w:firstLine="540"/>
        <w:jc w:val="both"/>
        <w:rPr>
          <w:rFonts w:ascii="NewBaskerville" w:hAnsi="NewBaskerville"/>
          <w:bCs/>
        </w:rPr>
      </w:pPr>
    </w:p>
    <w:p w:rsidR="00A12578" w:rsidRDefault="00A12578">
      <w:pPr>
        <w:tabs>
          <w:tab w:val="right" w:pos="8364"/>
        </w:tabs>
        <w:ind w:firstLine="540"/>
        <w:jc w:val="both"/>
        <w:rPr>
          <w:rFonts w:ascii="NewBaskerville" w:hAnsi="NewBaskerville"/>
          <w:bCs/>
        </w:rPr>
      </w:pPr>
      <w:r w:rsidRPr="00865CED">
        <w:rPr>
          <w:rFonts w:ascii="NewBaskerville" w:hAnsi="NewBaskerville"/>
          <w:bCs/>
        </w:rPr>
        <w:t xml:space="preserve">A continuación, se presenta un </w:t>
      </w:r>
      <w:r w:rsidR="003F24D6" w:rsidRPr="00865CED">
        <w:rPr>
          <w:rFonts w:ascii="NewBaskerville" w:hAnsi="NewBaskerville"/>
          <w:bCs/>
        </w:rPr>
        <w:t>detalle</w:t>
      </w:r>
      <w:r w:rsidRPr="00865CED">
        <w:rPr>
          <w:rFonts w:ascii="NewBaskerville" w:hAnsi="NewBaskerville"/>
          <w:bCs/>
        </w:rPr>
        <w:t xml:space="preserve"> de los movimientos que han afectado a los epígrafes “Activos por impuestos diferidos” y “Pasivos por impuestos diferidos” del balance durante los años 202</w:t>
      </w:r>
      <w:r w:rsidR="00FE0936">
        <w:rPr>
          <w:rFonts w:ascii="NewBaskerville" w:hAnsi="NewBaskerville"/>
          <w:bCs/>
        </w:rPr>
        <w:t>3</w:t>
      </w:r>
      <w:r w:rsidRPr="00865CED">
        <w:rPr>
          <w:rFonts w:ascii="NewBaskerville" w:hAnsi="NewBaskerville"/>
          <w:bCs/>
        </w:rPr>
        <w:t xml:space="preserve"> y 20</w:t>
      </w:r>
      <w:r w:rsidR="00865CED">
        <w:rPr>
          <w:rFonts w:ascii="NewBaskerville" w:hAnsi="NewBaskerville"/>
          <w:bCs/>
        </w:rPr>
        <w:t>2</w:t>
      </w:r>
      <w:r w:rsidR="00FE0936">
        <w:rPr>
          <w:rFonts w:ascii="NewBaskerville" w:hAnsi="NewBaskerville"/>
          <w:bCs/>
        </w:rPr>
        <w:t>2</w:t>
      </w:r>
      <w:r w:rsidRPr="00865CED">
        <w:rPr>
          <w:rFonts w:ascii="NewBaskerville" w:hAnsi="NewBaskerville"/>
          <w:bCs/>
        </w:rPr>
        <w:t>:</w:t>
      </w:r>
    </w:p>
    <w:p w:rsidR="00C85C83" w:rsidRDefault="00C85C83">
      <w:pPr>
        <w:tabs>
          <w:tab w:val="right" w:pos="8364"/>
        </w:tabs>
        <w:ind w:firstLine="540"/>
        <w:jc w:val="both"/>
        <w:rPr>
          <w:rFonts w:ascii="NewBaskerville" w:hAnsi="NewBaskerville"/>
          <w:bCs/>
        </w:rPr>
      </w:pPr>
    </w:p>
    <w:tbl>
      <w:tblPr>
        <w:tblW w:w="4796" w:type="pct"/>
        <w:tblLayout w:type="fixed"/>
        <w:tblCellMar>
          <w:left w:w="70" w:type="dxa"/>
          <w:right w:w="70" w:type="dxa"/>
        </w:tblCellMar>
        <w:tblLook w:val="04A0" w:firstRow="1" w:lastRow="0" w:firstColumn="1" w:lastColumn="0" w:noHBand="0" w:noVBand="1"/>
      </w:tblPr>
      <w:tblGrid>
        <w:gridCol w:w="2604"/>
        <w:gridCol w:w="435"/>
        <w:gridCol w:w="433"/>
        <w:gridCol w:w="182"/>
        <w:gridCol w:w="1237"/>
        <w:gridCol w:w="1134"/>
        <w:gridCol w:w="1134"/>
        <w:gridCol w:w="469"/>
        <w:gridCol w:w="663"/>
      </w:tblGrid>
      <w:tr w:rsidR="00C85C83" w:rsidRPr="00C85C83" w:rsidTr="00C85C83">
        <w:trPr>
          <w:trHeight w:val="240"/>
        </w:trPr>
        <w:tc>
          <w:tcPr>
            <w:tcW w:w="3632" w:type="pct"/>
            <w:gridSpan w:val="6"/>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b/>
                <w:bCs/>
                <w:color w:val="000000"/>
                <w:sz w:val="16"/>
                <w:szCs w:val="16"/>
                <w:lang w:val="es-ES"/>
              </w:rPr>
            </w:pPr>
            <w:r w:rsidRPr="00C85C83">
              <w:rPr>
                <w:rFonts w:ascii="Lucida Bright" w:hAnsi="Lucida Bright" w:cs="Calibri"/>
                <w:b/>
                <w:bCs/>
                <w:color w:val="000000"/>
                <w:sz w:val="16"/>
                <w:szCs w:val="16"/>
                <w:lang w:val="es-ES"/>
              </w:rPr>
              <w:t>Movimientos de Activos y Pasivos por impuesto diferido.</w:t>
            </w:r>
          </w:p>
        </w:tc>
        <w:tc>
          <w:tcPr>
            <w:tcW w:w="967" w:type="pct"/>
            <w:gridSpan w:val="2"/>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6"/>
                <w:szCs w:val="16"/>
                <w:lang w:val="es-ES"/>
              </w:rPr>
            </w:pPr>
          </w:p>
        </w:tc>
        <w:tc>
          <w:tcPr>
            <w:tcW w:w="401"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6"/>
                <w:szCs w:val="16"/>
                <w:lang w:val="es-ES"/>
              </w:rPr>
            </w:pPr>
          </w:p>
        </w:tc>
      </w:tr>
      <w:tr w:rsidR="00C85C83" w:rsidRPr="00C85C83" w:rsidTr="00C85C83">
        <w:trPr>
          <w:trHeight w:val="240"/>
        </w:trPr>
        <w:tc>
          <w:tcPr>
            <w:tcW w:w="1570" w:type="pct"/>
            <w:tcBorders>
              <w:top w:val="single" w:sz="8" w:space="0" w:color="auto"/>
              <w:left w:val="single" w:sz="8" w:space="0" w:color="auto"/>
              <w:bottom w:val="nil"/>
              <w:right w:val="nil"/>
            </w:tcBorders>
            <w:shd w:val="clear" w:color="000000" w:fill="CCFFCC"/>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262" w:type="pct"/>
            <w:tcBorders>
              <w:top w:val="single" w:sz="8" w:space="0" w:color="auto"/>
              <w:left w:val="nil"/>
              <w:bottom w:val="nil"/>
              <w:right w:val="nil"/>
            </w:tcBorders>
            <w:shd w:val="clear" w:color="000000" w:fill="CCFFCC"/>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260" w:type="pct"/>
            <w:tcBorders>
              <w:top w:val="single" w:sz="8" w:space="0" w:color="auto"/>
              <w:left w:val="nil"/>
              <w:bottom w:val="nil"/>
              <w:right w:val="nil"/>
            </w:tcBorders>
            <w:shd w:val="clear" w:color="000000" w:fill="CCFFCC"/>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110" w:type="pct"/>
            <w:tcBorders>
              <w:top w:val="single" w:sz="8" w:space="0" w:color="auto"/>
              <w:left w:val="nil"/>
              <w:bottom w:val="nil"/>
              <w:right w:val="single" w:sz="8" w:space="0" w:color="auto"/>
            </w:tcBorders>
            <w:shd w:val="clear" w:color="000000" w:fill="CCFFCC"/>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1430" w:type="pct"/>
            <w:gridSpan w:val="2"/>
            <w:tcBorders>
              <w:top w:val="single" w:sz="8" w:space="0" w:color="auto"/>
              <w:left w:val="nil"/>
              <w:bottom w:val="single" w:sz="8" w:space="0" w:color="auto"/>
              <w:right w:val="single" w:sz="8" w:space="0" w:color="000000"/>
            </w:tcBorders>
            <w:shd w:val="clear" w:color="000000" w:fill="CCFFCC"/>
            <w:noWrap/>
            <w:vAlign w:val="bottom"/>
            <w:hideMark/>
          </w:tcPr>
          <w:p w:rsidR="00C85C83" w:rsidRPr="00C85C83" w:rsidRDefault="00C85C83" w:rsidP="00C85C83">
            <w:pPr>
              <w:jc w:val="cente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2023</w:t>
            </w:r>
          </w:p>
        </w:tc>
        <w:tc>
          <w:tcPr>
            <w:tcW w:w="1368" w:type="pct"/>
            <w:gridSpan w:val="3"/>
            <w:tcBorders>
              <w:top w:val="single" w:sz="8" w:space="0" w:color="auto"/>
              <w:left w:val="nil"/>
              <w:bottom w:val="single" w:sz="8" w:space="0" w:color="auto"/>
              <w:right w:val="single" w:sz="8" w:space="0" w:color="000000"/>
            </w:tcBorders>
            <w:shd w:val="clear" w:color="000000" w:fill="CCFFCC"/>
            <w:noWrap/>
            <w:vAlign w:val="bottom"/>
            <w:hideMark/>
          </w:tcPr>
          <w:p w:rsidR="00C85C83" w:rsidRPr="00C85C83" w:rsidRDefault="00C85C83" w:rsidP="00C85C83">
            <w:pPr>
              <w:jc w:val="cente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2022</w:t>
            </w:r>
          </w:p>
        </w:tc>
      </w:tr>
      <w:tr w:rsidR="00C85C83" w:rsidRPr="00C85C83" w:rsidTr="00C85C83">
        <w:trPr>
          <w:trHeight w:val="390"/>
        </w:trPr>
        <w:tc>
          <w:tcPr>
            <w:tcW w:w="2203" w:type="pct"/>
            <w:gridSpan w:val="4"/>
            <w:tcBorders>
              <w:top w:val="nil"/>
              <w:left w:val="single" w:sz="8" w:space="0" w:color="auto"/>
              <w:bottom w:val="single" w:sz="8" w:space="0" w:color="auto"/>
              <w:right w:val="single" w:sz="8" w:space="0" w:color="000000"/>
            </w:tcBorders>
            <w:shd w:val="clear" w:color="000000" w:fill="CCFFCC"/>
            <w:vAlign w:val="bottom"/>
            <w:hideMark/>
          </w:tcPr>
          <w:p w:rsidR="00C85C83" w:rsidRPr="00C85C83" w:rsidRDefault="00C85C83" w:rsidP="00C85C83">
            <w:pPr>
              <w:jc w:val="cente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Concepto</w:t>
            </w:r>
          </w:p>
        </w:tc>
        <w:tc>
          <w:tcPr>
            <w:tcW w:w="746" w:type="pct"/>
            <w:tcBorders>
              <w:top w:val="nil"/>
              <w:left w:val="nil"/>
              <w:bottom w:val="single" w:sz="8" w:space="0" w:color="auto"/>
              <w:right w:val="nil"/>
            </w:tcBorders>
            <w:shd w:val="clear" w:color="000000" w:fill="CCFFCC"/>
            <w:vAlign w:val="bottom"/>
            <w:hideMark/>
          </w:tcPr>
          <w:p w:rsidR="00C85C83" w:rsidRPr="00C85C83" w:rsidRDefault="00C85C83" w:rsidP="00C85C83">
            <w:pPr>
              <w:jc w:val="cente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Activo por impuesto diferido</w:t>
            </w:r>
          </w:p>
        </w:tc>
        <w:tc>
          <w:tcPr>
            <w:tcW w:w="684" w:type="pct"/>
            <w:tcBorders>
              <w:top w:val="nil"/>
              <w:left w:val="single" w:sz="8" w:space="0" w:color="auto"/>
              <w:bottom w:val="single" w:sz="8" w:space="0" w:color="auto"/>
              <w:right w:val="single" w:sz="8" w:space="0" w:color="auto"/>
            </w:tcBorders>
            <w:shd w:val="clear" w:color="000000" w:fill="CCFFCC"/>
            <w:vAlign w:val="bottom"/>
            <w:hideMark/>
          </w:tcPr>
          <w:p w:rsidR="00C85C83" w:rsidRPr="00C85C83" w:rsidRDefault="00C85C83" w:rsidP="00C85C83">
            <w:pPr>
              <w:jc w:val="cente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Pasivo por impuesto diferido</w:t>
            </w:r>
          </w:p>
        </w:tc>
        <w:tc>
          <w:tcPr>
            <w:tcW w:w="684" w:type="pct"/>
            <w:tcBorders>
              <w:top w:val="nil"/>
              <w:left w:val="nil"/>
              <w:bottom w:val="single" w:sz="8" w:space="0" w:color="auto"/>
              <w:right w:val="nil"/>
            </w:tcBorders>
            <w:shd w:val="clear" w:color="000000" w:fill="CCFFCC"/>
            <w:vAlign w:val="bottom"/>
            <w:hideMark/>
          </w:tcPr>
          <w:p w:rsidR="00C85C83" w:rsidRPr="00C85C83" w:rsidRDefault="00C85C83" w:rsidP="00C85C83">
            <w:pPr>
              <w:jc w:val="cente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Activo por impuesto diferido</w:t>
            </w:r>
          </w:p>
        </w:tc>
        <w:tc>
          <w:tcPr>
            <w:tcW w:w="684" w:type="pct"/>
            <w:gridSpan w:val="2"/>
            <w:tcBorders>
              <w:top w:val="nil"/>
              <w:left w:val="single" w:sz="8" w:space="0" w:color="auto"/>
              <w:bottom w:val="single" w:sz="8" w:space="0" w:color="auto"/>
              <w:right w:val="single" w:sz="8" w:space="0" w:color="auto"/>
            </w:tcBorders>
            <w:shd w:val="clear" w:color="000000" w:fill="CCFFCC"/>
            <w:vAlign w:val="bottom"/>
            <w:hideMark/>
          </w:tcPr>
          <w:p w:rsidR="00C85C83" w:rsidRPr="00C85C83" w:rsidRDefault="00C85C83" w:rsidP="00C85C83">
            <w:pPr>
              <w:jc w:val="cente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Pasivo por impuesto diferido</w:t>
            </w:r>
          </w:p>
        </w:tc>
      </w:tr>
      <w:tr w:rsidR="00C85C83" w:rsidRPr="00C85C83" w:rsidTr="00C85C83">
        <w:trPr>
          <w:trHeight w:val="225"/>
        </w:trPr>
        <w:tc>
          <w:tcPr>
            <w:tcW w:w="1832" w:type="pct"/>
            <w:gridSpan w:val="2"/>
            <w:tcBorders>
              <w:top w:val="single" w:sz="8" w:space="0" w:color="auto"/>
              <w:left w:val="single" w:sz="8" w:space="0" w:color="auto"/>
              <w:bottom w:val="nil"/>
              <w:right w:val="nil"/>
            </w:tcBorders>
            <w:shd w:val="clear" w:color="auto" w:fill="auto"/>
            <w:noWrap/>
            <w:vAlign w:val="bottom"/>
            <w:hideMark/>
          </w:tcPr>
          <w:p w:rsidR="00C85C83" w:rsidRPr="00C85C83" w:rsidRDefault="00C85C83" w:rsidP="00C85C83">
            <w:pPr>
              <w:rPr>
                <w:rFonts w:ascii="Lucida Bright" w:hAnsi="Lucida Bright" w:cs="Calibri"/>
                <w:b/>
                <w:bCs/>
                <w:color w:val="000000"/>
                <w:sz w:val="14"/>
                <w:szCs w:val="14"/>
                <w:lang w:val="es-ES"/>
              </w:rPr>
            </w:pPr>
            <w:r w:rsidRPr="00C85C83">
              <w:rPr>
                <w:rFonts w:ascii="Lucida Bright" w:hAnsi="Lucida Bright" w:cs="Calibri"/>
                <w:b/>
                <w:bCs/>
                <w:color w:val="000000"/>
                <w:sz w:val="14"/>
                <w:szCs w:val="14"/>
                <w:lang w:val="es-ES"/>
              </w:rPr>
              <w:t>Saldos iniciales</w:t>
            </w:r>
          </w:p>
        </w:tc>
        <w:tc>
          <w:tcPr>
            <w:tcW w:w="260"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110" w:type="pct"/>
            <w:tcBorders>
              <w:top w:val="nil"/>
              <w:left w:val="nil"/>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746" w:type="pct"/>
            <w:tcBorders>
              <w:top w:val="nil"/>
              <w:left w:val="nil"/>
              <w:bottom w:val="nil"/>
              <w:right w:val="nil"/>
            </w:tcBorders>
            <w:shd w:val="clear" w:color="auto" w:fill="auto"/>
            <w:noWrap/>
            <w:vAlign w:val="bottom"/>
            <w:hideMark/>
          </w:tcPr>
          <w:p w:rsidR="00C85C83" w:rsidRPr="00C85C83" w:rsidRDefault="00C85C83" w:rsidP="00C85C83">
            <w:pPr>
              <w:jc w:val="right"/>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245.316,76</w:t>
            </w:r>
          </w:p>
        </w:tc>
        <w:tc>
          <w:tcPr>
            <w:tcW w:w="684" w:type="pct"/>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jc w:val="right"/>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6.280.059,79</w:t>
            </w:r>
          </w:p>
        </w:tc>
        <w:tc>
          <w:tcPr>
            <w:tcW w:w="684" w:type="pct"/>
            <w:tcBorders>
              <w:top w:val="nil"/>
              <w:left w:val="nil"/>
              <w:bottom w:val="nil"/>
              <w:right w:val="nil"/>
            </w:tcBorders>
            <w:shd w:val="clear" w:color="auto" w:fill="auto"/>
            <w:noWrap/>
            <w:vAlign w:val="bottom"/>
            <w:hideMark/>
          </w:tcPr>
          <w:p w:rsidR="00C85C83" w:rsidRPr="00C85C83" w:rsidRDefault="00C85C83" w:rsidP="00C85C83">
            <w:pPr>
              <w:jc w:val="right"/>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111.734,57</w:t>
            </w:r>
          </w:p>
        </w:tc>
        <w:tc>
          <w:tcPr>
            <w:tcW w:w="684" w:type="pct"/>
            <w:gridSpan w:val="2"/>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jc w:val="right"/>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6.512.124,94</w:t>
            </w:r>
          </w:p>
        </w:tc>
      </w:tr>
      <w:tr w:rsidR="00C85C83" w:rsidRPr="00C85C83" w:rsidTr="00C85C83">
        <w:trPr>
          <w:trHeight w:val="225"/>
        </w:trPr>
        <w:tc>
          <w:tcPr>
            <w:tcW w:w="2093" w:type="pct"/>
            <w:gridSpan w:val="3"/>
            <w:tcBorders>
              <w:top w:val="nil"/>
              <w:left w:val="single" w:sz="8" w:space="0" w:color="auto"/>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Efecto impositivo por diferencias temporarias-</w:t>
            </w:r>
          </w:p>
        </w:tc>
        <w:tc>
          <w:tcPr>
            <w:tcW w:w="110" w:type="pct"/>
            <w:tcBorders>
              <w:top w:val="nil"/>
              <w:left w:val="nil"/>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746"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gridSpan w:val="2"/>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r>
      <w:tr w:rsidR="00C85C83" w:rsidRPr="00C85C83" w:rsidTr="00C85C83">
        <w:trPr>
          <w:trHeight w:val="225"/>
        </w:trPr>
        <w:tc>
          <w:tcPr>
            <w:tcW w:w="1832" w:type="pct"/>
            <w:gridSpan w:val="2"/>
            <w:tcBorders>
              <w:top w:val="nil"/>
              <w:left w:val="single" w:sz="8" w:space="0" w:color="auto"/>
              <w:bottom w:val="nil"/>
              <w:right w:val="nil"/>
            </w:tcBorders>
            <w:shd w:val="clear" w:color="auto" w:fill="auto"/>
            <w:noWrap/>
            <w:vAlign w:val="bottom"/>
            <w:hideMark/>
          </w:tcPr>
          <w:p w:rsidR="00C85C83" w:rsidRPr="00C85C83" w:rsidRDefault="00C85C83" w:rsidP="00C85C83">
            <w:pPr>
              <w:jc w:val="cente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Aumentos</w:t>
            </w:r>
          </w:p>
        </w:tc>
        <w:tc>
          <w:tcPr>
            <w:tcW w:w="260"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p>
        </w:tc>
        <w:tc>
          <w:tcPr>
            <w:tcW w:w="110" w:type="pct"/>
            <w:tcBorders>
              <w:top w:val="nil"/>
              <w:left w:val="nil"/>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746" w:type="pct"/>
            <w:tcBorders>
              <w:top w:val="nil"/>
              <w:left w:val="nil"/>
              <w:bottom w:val="nil"/>
              <w:right w:val="nil"/>
            </w:tcBorders>
            <w:shd w:val="clear" w:color="auto" w:fill="auto"/>
            <w:noWrap/>
            <w:vAlign w:val="bottom"/>
            <w:hideMark/>
          </w:tcPr>
          <w:p w:rsidR="00C85C83" w:rsidRPr="00C85C83" w:rsidRDefault="00C85C83" w:rsidP="00C85C83">
            <w:pPr>
              <w:jc w:val="right"/>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15.577,99</w:t>
            </w:r>
          </w:p>
        </w:tc>
        <w:tc>
          <w:tcPr>
            <w:tcW w:w="684" w:type="pct"/>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jc w:val="right"/>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35,66</w:t>
            </w:r>
          </w:p>
        </w:tc>
        <w:tc>
          <w:tcPr>
            <w:tcW w:w="684" w:type="pct"/>
            <w:tcBorders>
              <w:top w:val="nil"/>
              <w:left w:val="nil"/>
              <w:bottom w:val="nil"/>
              <w:right w:val="nil"/>
            </w:tcBorders>
            <w:shd w:val="clear" w:color="auto" w:fill="auto"/>
            <w:noWrap/>
            <w:vAlign w:val="bottom"/>
            <w:hideMark/>
          </w:tcPr>
          <w:p w:rsidR="00C85C83" w:rsidRPr="00C85C83" w:rsidRDefault="00C85C83" w:rsidP="00C85C83">
            <w:pPr>
              <w:jc w:val="right"/>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148.163,62</w:t>
            </w:r>
          </w:p>
        </w:tc>
        <w:tc>
          <w:tcPr>
            <w:tcW w:w="684" w:type="pct"/>
            <w:gridSpan w:val="2"/>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jc w:val="right"/>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119,18</w:t>
            </w:r>
          </w:p>
        </w:tc>
      </w:tr>
      <w:tr w:rsidR="00C85C83" w:rsidRPr="00C85C83" w:rsidTr="00C85C83">
        <w:trPr>
          <w:trHeight w:val="225"/>
        </w:trPr>
        <w:tc>
          <w:tcPr>
            <w:tcW w:w="1832" w:type="pct"/>
            <w:gridSpan w:val="2"/>
            <w:tcBorders>
              <w:top w:val="nil"/>
              <w:left w:val="single" w:sz="8" w:space="0" w:color="auto"/>
              <w:bottom w:val="nil"/>
              <w:right w:val="nil"/>
            </w:tcBorders>
            <w:shd w:val="clear" w:color="auto" w:fill="auto"/>
            <w:noWrap/>
            <w:vAlign w:val="bottom"/>
            <w:hideMark/>
          </w:tcPr>
          <w:p w:rsidR="00C85C83" w:rsidRPr="00C85C83" w:rsidRDefault="00C85C83" w:rsidP="00C85C83">
            <w:pPr>
              <w:jc w:val="cente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Disminuciones</w:t>
            </w:r>
          </w:p>
        </w:tc>
        <w:tc>
          <w:tcPr>
            <w:tcW w:w="260"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p>
        </w:tc>
        <w:tc>
          <w:tcPr>
            <w:tcW w:w="110" w:type="pct"/>
            <w:tcBorders>
              <w:top w:val="nil"/>
              <w:left w:val="nil"/>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746" w:type="pct"/>
            <w:tcBorders>
              <w:top w:val="nil"/>
              <w:left w:val="nil"/>
              <w:bottom w:val="nil"/>
              <w:right w:val="nil"/>
            </w:tcBorders>
            <w:shd w:val="clear" w:color="auto" w:fill="auto"/>
            <w:noWrap/>
            <w:vAlign w:val="bottom"/>
            <w:hideMark/>
          </w:tcPr>
          <w:p w:rsidR="00C85C83" w:rsidRPr="00C85C83" w:rsidRDefault="00C85C83" w:rsidP="00C85C83">
            <w:pPr>
              <w:jc w:val="right"/>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(53.963,05)</w:t>
            </w:r>
          </w:p>
        </w:tc>
        <w:tc>
          <w:tcPr>
            <w:tcW w:w="684" w:type="pct"/>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jc w:val="right"/>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(152,56)</w:t>
            </w:r>
          </w:p>
        </w:tc>
        <w:tc>
          <w:tcPr>
            <w:tcW w:w="684" w:type="pct"/>
            <w:tcBorders>
              <w:top w:val="nil"/>
              <w:left w:val="nil"/>
              <w:bottom w:val="nil"/>
              <w:right w:val="nil"/>
            </w:tcBorders>
            <w:shd w:val="clear" w:color="auto" w:fill="auto"/>
            <w:noWrap/>
            <w:vAlign w:val="bottom"/>
            <w:hideMark/>
          </w:tcPr>
          <w:p w:rsidR="00C85C83" w:rsidRPr="00C85C83" w:rsidRDefault="00C85C83" w:rsidP="00C85C83">
            <w:pPr>
              <w:jc w:val="right"/>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(14.581,43)</w:t>
            </w:r>
          </w:p>
        </w:tc>
        <w:tc>
          <w:tcPr>
            <w:tcW w:w="684" w:type="pct"/>
            <w:gridSpan w:val="2"/>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jc w:val="right"/>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(47,75)</w:t>
            </w:r>
          </w:p>
        </w:tc>
      </w:tr>
      <w:tr w:rsidR="00C85C83" w:rsidRPr="00C85C83" w:rsidTr="00C85C83">
        <w:trPr>
          <w:trHeight w:val="225"/>
        </w:trPr>
        <w:tc>
          <w:tcPr>
            <w:tcW w:w="1570" w:type="pct"/>
            <w:tcBorders>
              <w:top w:val="nil"/>
              <w:left w:val="single" w:sz="8" w:space="0" w:color="auto"/>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262"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p>
        </w:tc>
        <w:tc>
          <w:tcPr>
            <w:tcW w:w="260"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p>
        </w:tc>
        <w:tc>
          <w:tcPr>
            <w:tcW w:w="110" w:type="pct"/>
            <w:tcBorders>
              <w:top w:val="nil"/>
              <w:left w:val="nil"/>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746"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gridSpan w:val="2"/>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r>
      <w:tr w:rsidR="00C85C83" w:rsidRPr="00C85C83" w:rsidTr="00C85C83">
        <w:trPr>
          <w:trHeight w:val="225"/>
        </w:trPr>
        <w:tc>
          <w:tcPr>
            <w:tcW w:w="1832" w:type="pct"/>
            <w:gridSpan w:val="2"/>
            <w:tcBorders>
              <w:top w:val="nil"/>
              <w:left w:val="single" w:sz="8" w:space="0" w:color="auto"/>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Base Imponibles negativas</w:t>
            </w:r>
          </w:p>
        </w:tc>
        <w:tc>
          <w:tcPr>
            <w:tcW w:w="260"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p>
        </w:tc>
        <w:tc>
          <w:tcPr>
            <w:tcW w:w="110" w:type="pct"/>
            <w:tcBorders>
              <w:top w:val="nil"/>
              <w:left w:val="nil"/>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746"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gridSpan w:val="2"/>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r>
      <w:tr w:rsidR="00C85C83" w:rsidRPr="00C85C83" w:rsidTr="00C85C83">
        <w:trPr>
          <w:trHeight w:val="225"/>
        </w:trPr>
        <w:tc>
          <w:tcPr>
            <w:tcW w:w="1832" w:type="pct"/>
            <w:gridSpan w:val="2"/>
            <w:tcBorders>
              <w:top w:val="nil"/>
              <w:left w:val="single" w:sz="8" w:space="0" w:color="auto"/>
              <w:bottom w:val="nil"/>
              <w:right w:val="nil"/>
            </w:tcBorders>
            <w:shd w:val="clear" w:color="auto" w:fill="auto"/>
            <w:noWrap/>
            <w:vAlign w:val="bottom"/>
            <w:hideMark/>
          </w:tcPr>
          <w:p w:rsidR="00C85C83" w:rsidRPr="00C85C83" w:rsidRDefault="00C85C83" w:rsidP="00C85C83">
            <w:pPr>
              <w:jc w:val="cente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xml:space="preserve">Aumentos </w:t>
            </w:r>
          </w:p>
        </w:tc>
        <w:tc>
          <w:tcPr>
            <w:tcW w:w="260"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p>
        </w:tc>
        <w:tc>
          <w:tcPr>
            <w:tcW w:w="110" w:type="pct"/>
            <w:tcBorders>
              <w:top w:val="nil"/>
              <w:left w:val="nil"/>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746"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gridSpan w:val="2"/>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r>
      <w:tr w:rsidR="00C85C83" w:rsidRPr="00C85C83" w:rsidTr="00C85C83">
        <w:trPr>
          <w:trHeight w:val="225"/>
        </w:trPr>
        <w:tc>
          <w:tcPr>
            <w:tcW w:w="1832" w:type="pct"/>
            <w:gridSpan w:val="2"/>
            <w:tcBorders>
              <w:top w:val="nil"/>
              <w:left w:val="single" w:sz="8" w:space="0" w:color="auto"/>
              <w:bottom w:val="nil"/>
              <w:right w:val="nil"/>
            </w:tcBorders>
            <w:shd w:val="clear" w:color="auto" w:fill="auto"/>
            <w:noWrap/>
            <w:vAlign w:val="bottom"/>
            <w:hideMark/>
          </w:tcPr>
          <w:p w:rsidR="00C85C83" w:rsidRPr="00C85C83" w:rsidRDefault="00DD448C" w:rsidP="00C85C83">
            <w:pPr>
              <w:jc w:val="cente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Disminuciones</w:t>
            </w:r>
          </w:p>
        </w:tc>
        <w:tc>
          <w:tcPr>
            <w:tcW w:w="260"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p>
        </w:tc>
        <w:tc>
          <w:tcPr>
            <w:tcW w:w="110" w:type="pct"/>
            <w:tcBorders>
              <w:top w:val="nil"/>
              <w:left w:val="nil"/>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746"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gridSpan w:val="2"/>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r>
      <w:tr w:rsidR="00C85C83" w:rsidRPr="00C85C83" w:rsidTr="00C85C83">
        <w:trPr>
          <w:trHeight w:val="225"/>
        </w:trPr>
        <w:tc>
          <w:tcPr>
            <w:tcW w:w="1570" w:type="pct"/>
            <w:tcBorders>
              <w:top w:val="nil"/>
              <w:left w:val="single" w:sz="8" w:space="0" w:color="auto"/>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262"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p>
        </w:tc>
        <w:tc>
          <w:tcPr>
            <w:tcW w:w="260"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p>
        </w:tc>
        <w:tc>
          <w:tcPr>
            <w:tcW w:w="110" w:type="pct"/>
            <w:tcBorders>
              <w:top w:val="nil"/>
              <w:left w:val="nil"/>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746"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gridSpan w:val="2"/>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r>
      <w:tr w:rsidR="00C85C83" w:rsidRPr="00C85C83" w:rsidTr="00C85C83">
        <w:trPr>
          <w:trHeight w:val="225"/>
        </w:trPr>
        <w:tc>
          <w:tcPr>
            <w:tcW w:w="1570" w:type="pct"/>
            <w:tcBorders>
              <w:top w:val="nil"/>
              <w:left w:val="single" w:sz="8" w:space="0" w:color="auto"/>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Deducciones</w:t>
            </w:r>
          </w:p>
        </w:tc>
        <w:tc>
          <w:tcPr>
            <w:tcW w:w="262"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p>
        </w:tc>
        <w:tc>
          <w:tcPr>
            <w:tcW w:w="260"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p>
        </w:tc>
        <w:tc>
          <w:tcPr>
            <w:tcW w:w="110" w:type="pct"/>
            <w:tcBorders>
              <w:top w:val="nil"/>
              <w:left w:val="nil"/>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746"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gridSpan w:val="2"/>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r>
      <w:tr w:rsidR="00C85C83" w:rsidRPr="00C85C83" w:rsidTr="00C85C83">
        <w:trPr>
          <w:trHeight w:val="225"/>
        </w:trPr>
        <w:tc>
          <w:tcPr>
            <w:tcW w:w="1832" w:type="pct"/>
            <w:gridSpan w:val="2"/>
            <w:tcBorders>
              <w:top w:val="nil"/>
              <w:left w:val="single" w:sz="8" w:space="0" w:color="auto"/>
              <w:bottom w:val="nil"/>
              <w:right w:val="nil"/>
            </w:tcBorders>
            <w:shd w:val="clear" w:color="auto" w:fill="auto"/>
            <w:noWrap/>
            <w:vAlign w:val="bottom"/>
            <w:hideMark/>
          </w:tcPr>
          <w:p w:rsidR="00C85C83" w:rsidRPr="00C85C83" w:rsidRDefault="00C85C83" w:rsidP="00C85C83">
            <w:pPr>
              <w:jc w:val="cente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Aumentos</w:t>
            </w:r>
          </w:p>
        </w:tc>
        <w:tc>
          <w:tcPr>
            <w:tcW w:w="260"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p>
        </w:tc>
        <w:tc>
          <w:tcPr>
            <w:tcW w:w="110" w:type="pct"/>
            <w:tcBorders>
              <w:top w:val="nil"/>
              <w:left w:val="nil"/>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746"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gridSpan w:val="2"/>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r>
      <w:tr w:rsidR="00C85C83" w:rsidRPr="00C85C83" w:rsidTr="00C85C83">
        <w:trPr>
          <w:trHeight w:val="225"/>
        </w:trPr>
        <w:tc>
          <w:tcPr>
            <w:tcW w:w="1832" w:type="pct"/>
            <w:gridSpan w:val="2"/>
            <w:tcBorders>
              <w:top w:val="nil"/>
              <w:left w:val="single" w:sz="8" w:space="0" w:color="auto"/>
              <w:bottom w:val="nil"/>
              <w:right w:val="nil"/>
            </w:tcBorders>
            <w:shd w:val="clear" w:color="auto" w:fill="auto"/>
            <w:noWrap/>
            <w:vAlign w:val="bottom"/>
            <w:hideMark/>
          </w:tcPr>
          <w:p w:rsidR="00C85C83" w:rsidRPr="00C85C83" w:rsidRDefault="00C85C83" w:rsidP="00C85C83">
            <w:pPr>
              <w:jc w:val="cente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Disminuciones</w:t>
            </w:r>
          </w:p>
        </w:tc>
        <w:tc>
          <w:tcPr>
            <w:tcW w:w="260"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p>
        </w:tc>
        <w:tc>
          <w:tcPr>
            <w:tcW w:w="110" w:type="pct"/>
            <w:tcBorders>
              <w:top w:val="nil"/>
              <w:left w:val="nil"/>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746"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gridSpan w:val="2"/>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r>
      <w:tr w:rsidR="00C85C83" w:rsidRPr="00C85C83" w:rsidTr="00C85C83">
        <w:trPr>
          <w:trHeight w:val="225"/>
        </w:trPr>
        <w:tc>
          <w:tcPr>
            <w:tcW w:w="1570" w:type="pct"/>
            <w:tcBorders>
              <w:top w:val="nil"/>
              <w:left w:val="single" w:sz="8" w:space="0" w:color="auto"/>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262"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p>
        </w:tc>
        <w:tc>
          <w:tcPr>
            <w:tcW w:w="260"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p>
        </w:tc>
        <w:tc>
          <w:tcPr>
            <w:tcW w:w="110" w:type="pct"/>
            <w:tcBorders>
              <w:top w:val="nil"/>
              <w:left w:val="nil"/>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746"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gridSpan w:val="2"/>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r>
      <w:tr w:rsidR="00C85C83" w:rsidRPr="00C85C83" w:rsidTr="00C85C83">
        <w:trPr>
          <w:trHeight w:val="225"/>
        </w:trPr>
        <w:tc>
          <w:tcPr>
            <w:tcW w:w="2093" w:type="pct"/>
            <w:gridSpan w:val="3"/>
            <w:tcBorders>
              <w:top w:val="nil"/>
              <w:left w:val="single" w:sz="8" w:space="0" w:color="auto"/>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Ajuste Impuesto Sociedades ejercicios anteriores</w:t>
            </w:r>
          </w:p>
        </w:tc>
        <w:tc>
          <w:tcPr>
            <w:tcW w:w="110" w:type="pct"/>
            <w:tcBorders>
              <w:top w:val="nil"/>
              <w:left w:val="nil"/>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746"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gridSpan w:val="2"/>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r>
      <w:tr w:rsidR="00C85C83" w:rsidRPr="00C85C83" w:rsidTr="00C85C83">
        <w:trPr>
          <w:trHeight w:val="225"/>
        </w:trPr>
        <w:tc>
          <w:tcPr>
            <w:tcW w:w="2093" w:type="pct"/>
            <w:gridSpan w:val="3"/>
            <w:tcBorders>
              <w:top w:val="nil"/>
              <w:left w:val="single" w:sz="8" w:space="0" w:color="auto"/>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Impuestos reconocidos en el Patrimonio Neto-</w:t>
            </w:r>
          </w:p>
        </w:tc>
        <w:tc>
          <w:tcPr>
            <w:tcW w:w="110" w:type="pct"/>
            <w:tcBorders>
              <w:top w:val="nil"/>
              <w:left w:val="nil"/>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746"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gridSpan w:val="2"/>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r>
      <w:tr w:rsidR="00C85C83" w:rsidRPr="00C85C83" w:rsidTr="00C85C83">
        <w:trPr>
          <w:trHeight w:val="255"/>
        </w:trPr>
        <w:tc>
          <w:tcPr>
            <w:tcW w:w="2093" w:type="pct"/>
            <w:gridSpan w:val="3"/>
            <w:tcBorders>
              <w:top w:val="nil"/>
              <w:left w:val="single" w:sz="8" w:space="0" w:color="auto"/>
              <w:bottom w:val="single" w:sz="8" w:space="0" w:color="auto"/>
              <w:right w:val="nil"/>
            </w:tcBorders>
            <w:shd w:val="clear" w:color="auto" w:fill="auto"/>
            <w:vAlign w:val="bottom"/>
            <w:hideMark/>
          </w:tcPr>
          <w:p w:rsidR="00C85C83" w:rsidRPr="00C85C83" w:rsidRDefault="00C85C83" w:rsidP="00C85C83">
            <w:pPr>
              <w:jc w:val="cente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Aumentos/Disminuciones</w:t>
            </w:r>
          </w:p>
        </w:tc>
        <w:tc>
          <w:tcPr>
            <w:tcW w:w="110" w:type="pct"/>
            <w:tcBorders>
              <w:top w:val="nil"/>
              <w:left w:val="nil"/>
              <w:bottom w:val="single" w:sz="8" w:space="0" w:color="auto"/>
              <w:right w:val="single" w:sz="8" w:space="0" w:color="auto"/>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746"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jc w:val="right"/>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99.325,69</w:t>
            </w:r>
          </w:p>
        </w:tc>
        <w:tc>
          <w:tcPr>
            <w:tcW w:w="684" w:type="pct"/>
            <w:tcBorders>
              <w:top w:val="nil"/>
              <w:left w:val="nil"/>
              <w:bottom w:val="nil"/>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684" w:type="pct"/>
            <w:gridSpan w:val="2"/>
            <w:tcBorders>
              <w:top w:val="nil"/>
              <w:left w:val="single" w:sz="4" w:space="0" w:color="auto"/>
              <w:bottom w:val="nil"/>
              <w:right w:val="single" w:sz="8" w:space="0" w:color="auto"/>
            </w:tcBorders>
            <w:shd w:val="clear" w:color="auto" w:fill="auto"/>
            <w:noWrap/>
            <w:vAlign w:val="bottom"/>
            <w:hideMark/>
          </w:tcPr>
          <w:p w:rsidR="00C85C83" w:rsidRPr="00C85C83" w:rsidRDefault="00C85C83" w:rsidP="00C85C83">
            <w:pPr>
              <w:jc w:val="right"/>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(232.136,58)</w:t>
            </w:r>
          </w:p>
        </w:tc>
      </w:tr>
      <w:tr w:rsidR="00C85C83" w:rsidRPr="00C85C83" w:rsidTr="00C85C83">
        <w:trPr>
          <w:trHeight w:val="240"/>
        </w:trPr>
        <w:tc>
          <w:tcPr>
            <w:tcW w:w="1570" w:type="pct"/>
            <w:tcBorders>
              <w:top w:val="nil"/>
              <w:left w:val="single" w:sz="8" w:space="0" w:color="auto"/>
              <w:bottom w:val="single" w:sz="8" w:space="0" w:color="auto"/>
              <w:right w:val="nil"/>
            </w:tcBorders>
            <w:shd w:val="clear" w:color="auto" w:fill="auto"/>
            <w:noWrap/>
            <w:vAlign w:val="bottom"/>
            <w:hideMark/>
          </w:tcPr>
          <w:p w:rsidR="00C85C83" w:rsidRPr="00C85C83" w:rsidRDefault="00C85C83" w:rsidP="00C85C83">
            <w:pPr>
              <w:rPr>
                <w:rFonts w:ascii="Lucida Bright" w:hAnsi="Lucida Bright" w:cs="Calibri"/>
                <w:b/>
                <w:bCs/>
                <w:color w:val="000000"/>
                <w:sz w:val="14"/>
                <w:szCs w:val="14"/>
                <w:lang w:val="es-ES"/>
              </w:rPr>
            </w:pPr>
            <w:r w:rsidRPr="00C85C83">
              <w:rPr>
                <w:rFonts w:ascii="Lucida Bright" w:hAnsi="Lucida Bright" w:cs="Calibri"/>
                <w:b/>
                <w:bCs/>
                <w:color w:val="000000"/>
                <w:sz w:val="14"/>
                <w:szCs w:val="14"/>
                <w:lang w:val="es-ES"/>
              </w:rPr>
              <w:t>Saldos finales</w:t>
            </w:r>
          </w:p>
        </w:tc>
        <w:tc>
          <w:tcPr>
            <w:tcW w:w="262" w:type="pct"/>
            <w:tcBorders>
              <w:top w:val="nil"/>
              <w:left w:val="nil"/>
              <w:bottom w:val="single" w:sz="8" w:space="0" w:color="auto"/>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260" w:type="pct"/>
            <w:tcBorders>
              <w:top w:val="nil"/>
              <w:left w:val="nil"/>
              <w:bottom w:val="single" w:sz="8" w:space="0" w:color="auto"/>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110" w:type="pct"/>
            <w:tcBorders>
              <w:top w:val="nil"/>
              <w:left w:val="nil"/>
              <w:bottom w:val="single" w:sz="8" w:space="0" w:color="auto"/>
              <w:right w:val="nil"/>
            </w:tcBorders>
            <w:shd w:val="clear" w:color="auto" w:fill="auto"/>
            <w:noWrap/>
            <w:vAlign w:val="bottom"/>
            <w:hideMark/>
          </w:tcPr>
          <w:p w:rsidR="00C85C83" w:rsidRPr="00C85C83" w:rsidRDefault="00C85C83" w:rsidP="00C85C83">
            <w:pPr>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 </w:t>
            </w:r>
          </w:p>
        </w:tc>
        <w:tc>
          <w:tcPr>
            <w:tcW w:w="74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5C83" w:rsidRPr="00C85C83" w:rsidRDefault="00C85C83" w:rsidP="00C85C83">
            <w:pPr>
              <w:jc w:val="right"/>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206.931,70</w:t>
            </w:r>
          </w:p>
        </w:tc>
        <w:tc>
          <w:tcPr>
            <w:tcW w:w="684" w:type="pct"/>
            <w:tcBorders>
              <w:top w:val="single" w:sz="8" w:space="0" w:color="auto"/>
              <w:left w:val="nil"/>
              <w:bottom w:val="single" w:sz="8" w:space="0" w:color="auto"/>
              <w:right w:val="single" w:sz="8" w:space="0" w:color="auto"/>
            </w:tcBorders>
            <w:shd w:val="clear" w:color="auto" w:fill="auto"/>
            <w:noWrap/>
            <w:vAlign w:val="bottom"/>
            <w:hideMark/>
          </w:tcPr>
          <w:p w:rsidR="00C85C83" w:rsidRPr="00C85C83" w:rsidRDefault="00C85C83" w:rsidP="00C85C83">
            <w:pPr>
              <w:jc w:val="right"/>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6.379.268,58</w:t>
            </w:r>
          </w:p>
        </w:tc>
        <w:tc>
          <w:tcPr>
            <w:tcW w:w="684" w:type="pct"/>
            <w:tcBorders>
              <w:top w:val="single" w:sz="8" w:space="0" w:color="auto"/>
              <w:left w:val="nil"/>
              <w:bottom w:val="single" w:sz="8" w:space="0" w:color="auto"/>
              <w:right w:val="single" w:sz="8" w:space="0" w:color="auto"/>
            </w:tcBorders>
            <w:shd w:val="clear" w:color="auto" w:fill="auto"/>
            <w:noWrap/>
            <w:vAlign w:val="bottom"/>
            <w:hideMark/>
          </w:tcPr>
          <w:p w:rsidR="00C85C83" w:rsidRPr="00C85C83" w:rsidRDefault="00C85C83" w:rsidP="00C85C83">
            <w:pPr>
              <w:jc w:val="right"/>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245.316,76</w:t>
            </w:r>
          </w:p>
        </w:tc>
        <w:tc>
          <w:tcPr>
            <w:tcW w:w="684" w:type="pct"/>
            <w:gridSpan w:val="2"/>
            <w:tcBorders>
              <w:top w:val="single" w:sz="8" w:space="0" w:color="auto"/>
              <w:left w:val="nil"/>
              <w:bottom w:val="single" w:sz="8" w:space="0" w:color="auto"/>
              <w:right w:val="single" w:sz="8" w:space="0" w:color="auto"/>
            </w:tcBorders>
            <w:shd w:val="clear" w:color="auto" w:fill="auto"/>
            <w:noWrap/>
            <w:vAlign w:val="bottom"/>
            <w:hideMark/>
          </w:tcPr>
          <w:p w:rsidR="00C85C83" w:rsidRPr="00C85C83" w:rsidRDefault="00C85C83" w:rsidP="00C85C83">
            <w:pPr>
              <w:jc w:val="right"/>
              <w:rPr>
                <w:rFonts w:ascii="Lucida Bright" w:hAnsi="Lucida Bright" w:cs="Calibri"/>
                <w:color w:val="000000"/>
                <w:sz w:val="14"/>
                <w:szCs w:val="14"/>
                <w:lang w:val="es-ES"/>
              </w:rPr>
            </w:pPr>
            <w:r w:rsidRPr="00C85C83">
              <w:rPr>
                <w:rFonts w:ascii="Lucida Bright" w:hAnsi="Lucida Bright" w:cs="Calibri"/>
                <w:color w:val="000000"/>
                <w:sz w:val="14"/>
                <w:szCs w:val="14"/>
                <w:lang w:val="es-ES"/>
              </w:rPr>
              <w:t>6.280.059,79</w:t>
            </w:r>
          </w:p>
        </w:tc>
      </w:tr>
    </w:tbl>
    <w:p w:rsidR="00865CED" w:rsidRPr="00865CED" w:rsidRDefault="00865CED">
      <w:pPr>
        <w:tabs>
          <w:tab w:val="right" w:pos="8364"/>
        </w:tabs>
        <w:ind w:firstLine="540"/>
        <w:jc w:val="both"/>
        <w:rPr>
          <w:rFonts w:ascii="NewBaskerville" w:hAnsi="NewBaskerville"/>
          <w:bCs/>
        </w:rPr>
      </w:pPr>
    </w:p>
    <w:p w:rsidR="00D14CEC" w:rsidRDefault="00D14CEC">
      <w:pPr>
        <w:tabs>
          <w:tab w:val="right" w:pos="8364"/>
        </w:tabs>
        <w:ind w:firstLine="540"/>
        <w:jc w:val="both"/>
        <w:rPr>
          <w:bCs/>
        </w:rPr>
      </w:pPr>
    </w:p>
    <w:p w:rsidR="00D14CEC" w:rsidRPr="008F295B" w:rsidRDefault="00D14CEC">
      <w:pPr>
        <w:tabs>
          <w:tab w:val="right" w:pos="8364"/>
        </w:tabs>
        <w:ind w:firstLine="540"/>
        <w:jc w:val="both"/>
        <w:rPr>
          <w:rFonts w:ascii="NewBaskerville" w:hAnsi="NewBaskerville"/>
          <w:bCs/>
        </w:rPr>
      </w:pPr>
    </w:p>
    <w:p w:rsidR="00A12578" w:rsidRPr="008F295B" w:rsidRDefault="00A12578">
      <w:pPr>
        <w:tabs>
          <w:tab w:val="right" w:pos="8364"/>
        </w:tabs>
        <w:ind w:firstLine="540"/>
        <w:jc w:val="both"/>
        <w:rPr>
          <w:rFonts w:ascii="NewBaskerville" w:hAnsi="NewBaskerville"/>
          <w:bCs/>
        </w:rPr>
      </w:pPr>
      <w:r w:rsidRPr="008F295B">
        <w:rPr>
          <w:rFonts w:ascii="NewBaskerville" w:hAnsi="NewBaskerville"/>
          <w:bCs/>
          <w:u w:val="single"/>
        </w:rPr>
        <w:t>Ejercicios pendientes de comprobación y actuaciones inspectoras.</w:t>
      </w:r>
    </w:p>
    <w:p w:rsidR="00A12578" w:rsidRPr="008F295B" w:rsidRDefault="00A12578">
      <w:pPr>
        <w:tabs>
          <w:tab w:val="right" w:pos="8364"/>
        </w:tabs>
        <w:ind w:firstLine="540"/>
        <w:jc w:val="both"/>
        <w:rPr>
          <w:rFonts w:ascii="NewBaskerville" w:hAnsi="NewBaskerville"/>
          <w:bCs/>
        </w:rPr>
      </w:pPr>
    </w:p>
    <w:p w:rsidR="00A12578" w:rsidRPr="008F295B" w:rsidRDefault="00A12578">
      <w:pPr>
        <w:tabs>
          <w:tab w:val="right" w:pos="8364"/>
        </w:tabs>
        <w:ind w:firstLine="540"/>
        <w:jc w:val="both"/>
        <w:rPr>
          <w:rFonts w:ascii="NewBaskerville" w:hAnsi="NewBaskerville"/>
          <w:bCs/>
        </w:rPr>
      </w:pPr>
      <w:r w:rsidRPr="008F295B">
        <w:rPr>
          <w:rFonts w:ascii="NewBaskerville" w:hAnsi="NewBaskerville"/>
          <w:bCs/>
        </w:rPr>
        <w:t>Según establece la legislación vigente, los impuestos no pueden considerarse definitivamente liquidados hasta que las declaraciones presentadas hayan sido inspeccionadas por las autoridades fisca</w:t>
      </w:r>
      <w:r w:rsidR="00B1316C" w:rsidRPr="008F295B">
        <w:rPr>
          <w:rFonts w:ascii="NewBaskerville" w:hAnsi="NewBaskerville"/>
          <w:bCs/>
        </w:rPr>
        <w:t>les o haya transcurrido el plazo</w:t>
      </w:r>
      <w:r w:rsidRPr="008F295B">
        <w:rPr>
          <w:rFonts w:ascii="NewBaskerville" w:hAnsi="NewBaskerville"/>
          <w:bCs/>
        </w:rPr>
        <w:t xml:space="preserve"> de prescripción de cuatro añ</w:t>
      </w:r>
      <w:r w:rsidR="00C2536F" w:rsidRPr="008F295B">
        <w:rPr>
          <w:rFonts w:ascii="NewBaskerville" w:hAnsi="NewBaskerville"/>
          <w:bCs/>
        </w:rPr>
        <w:t>os. Al cierre del ejercicio 202</w:t>
      </w:r>
      <w:r w:rsidR="007B24DE">
        <w:rPr>
          <w:rFonts w:ascii="NewBaskerville" w:hAnsi="NewBaskerville"/>
          <w:bCs/>
        </w:rPr>
        <w:t>3</w:t>
      </w:r>
      <w:r w:rsidRPr="008F295B">
        <w:rPr>
          <w:rFonts w:ascii="NewBaskerville" w:hAnsi="NewBaskerville"/>
          <w:bCs/>
        </w:rPr>
        <w:t xml:space="preserve"> la AP</w:t>
      </w:r>
      <w:r w:rsidR="008F295B">
        <w:rPr>
          <w:rFonts w:ascii="NewBaskerville" w:hAnsi="NewBaskerville"/>
          <w:bCs/>
        </w:rPr>
        <w:t>B</w:t>
      </w:r>
      <w:r w:rsidRPr="008F295B">
        <w:rPr>
          <w:rFonts w:ascii="NewBaskerville" w:hAnsi="NewBaskerville"/>
          <w:bCs/>
        </w:rPr>
        <w:t xml:space="preserve"> tiene abiertos </w:t>
      </w:r>
      <w:r w:rsidR="00C2536F" w:rsidRPr="008F295B">
        <w:rPr>
          <w:rFonts w:ascii="NewBaskerville" w:hAnsi="NewBaskerville"/>
          <w:bCs/>
        </w:rPr>
        <w:t>a inspección los ejercicios 201</w:t>
      </w:r>
      <w:r w:rsidR="007B24DE">
        <w:rPr>
          <w:rFonts w:ascii="NewBaskerville" w:hAnsi="NewBaskerville"/>
          <w:bCs/>
        </w:rPr>
        <w:t>9</w:t>
      </w:r>
      <w:r w:rsidRPr="008F295B">
        <w:rPr>
          <w:rFonts w:ascii="NewBaskerville" w:hAnsi="NewBaskerville"/>
          <w:bCs/>
        </w:rPr>
        <w:t xml:space="preserve"> y siguientes del Impuesto sobre </w:t>
      </w:r>
      <w:r w:rsidR="00C2536F" w:rsidRPr="008F295B">
        <w:rPr>
          <w:rFonts w:ascii="NewBaskerville" w:hAnsi="NewBaskerville"/>
          <w:bCs/>
        </w:rPr>
        <w:t>Sociedades</w:t>
      </w:r>
      <w:r w:rsidR="000A6F65">
        <w:rPr>
          <w:rFonts w:ascii="NewBaskerville" w:hAnsi="NewBaskerville"/>
          <w:bCs/>
        </w:rPr>
        <w:t>,</w:t>
      </w:r>
      <w:r w:rsidR="00C2536F" w:rsidRPr="008F295B">
        <w:rPr>
          <w:rFonts w:ascii="NewBaskerville" w:hAnsi="NewBaskerville"/>
          <w:bCs/>
        </w:rPr>
        <w:t xml:space="preserve"> y los ejercicios 201</w:t>
      </w:r>
      <w:r w:rsidR="007B24DE">
        <w:rPr>
          <w:rFonts w:ascii="NewBaskerville" w:hAnsi="NewBaskerville"/>
          <w:bCs/>
        </w:rPr>
        <w:t>9</w:t>
      </w:r>
      <w:r w:rsidR="000A6F65">
        <w:rPr>
          <w:rFonts w:ascii="NewBaskerville" w:hAnsi="NewBaskerville"/>
          <w:bCs/>
        </w:rPr>
        <w:t xml:space="preserve"> y siguientes</w:t>
      </w:r>
      <w:r w:rsidRPr="008F295B">
        <w:rPr>
          <w:rFonts w:ascii="NewBaskerville" w:hAnsi="NewBaskerville"/>
          <w:bCs/>
        </w:rPr>
        <w:t xml:space="preserve"> para los demás impuestos que le son de aplicación. La AP</w:t>
      </w:r>
      <w:r w:rsidR="008F295B">
        <w:rPr>
          <w:rFonts w:ascii="NewBaskerville" w:hAnsi="NewBaskerville"/>
          <w:bCs/>
        </w:rPr>
        <w:t>B</w:t>
      </w:r>
      <w:r w:rsidRPr="008F295B">
        <w:rPr>
          <w:rFonts w:ascii="NewBaskerville" w:hAnsi="NewBaskerville"/>
          <w:bCs/>
        </w:rPr>
        <w:t xml:space="preserve"> considera que se han practicado adecuadamente las liquidaciones de los mencionados </w:t>
      </w:r>
      <w:r w:rsidR="003F24D6" w:rsidRPr="008F295B">
        <w:rPr>
          <w:rFonts w:ascii="NewBaskerville" w:hAnsi="NewBaskerville"/>
          <w:bCs/>
        </w:rPr>
        <w:t>impuestos</w:t>
      </w:r>
      <w:r w:rsidRPr="008F295B">
        <w:rPr>
          <w:rFonts w:ascii="NewBaskerville" w:hAnsi="NewBaskerville"/>
          <w:bCs/>
        </w:rPr>
        <w:t>, por lo que, aún en el caso de que surgieran discrepancias en la interpretación normativa vigente por el tratamiento fiscal otorgado a las operaciones, los eventuales pasivos resultantes, en el caso de materializarse, no afectarían de manera significativa a las cuentas anuales formuladas.</w:t>
      </w:r>
    </w:p>
    <w:p w:rsidR="00A12578" w:rsidRDefault="00A12578">
      <w:pPr>
        <w:tabs>
          <w:tab w:val="right" w:pos="8364"/>
        </w:tabs>
        <w:ind w:firstLine="540"/>
        <w:jc w:val="both"/>
        <w:rPr>
          <w:bCs/>
        </w:rPr>
      </w:pPr>
    </w:p>
    <w:p w:rsidR="00D14CEC" w:rsidRDefault="00D14CEC">
      <w:pPr>
        <w:tabs>
          <w:tab w:val="right" w:pos="8364"/>
        </w:tabs>
        <w:ind w:firstLine="540"/>
        <w:jc w:val="both"/>
        <w:rPr>
          <w:bCs/>
        </w:rPr>
      </w:pPr>
    </w:p>
    <w:p w:rsidR="00E0015A" w:rsidRDefault="00E0015A">
      <w:pPr>
        <w:tabs>
          <w:tab w:val="right" w:pos="8364"/>
        </w:tabs>
        <w:ind w:left="567" w:hanging="567"/>
        <w:jc w:val="both"/>
        <w:rPr>
          <w:b/>
          <w:bCs/>
          <w:sz w:val="24"/>
          <w:szCs w:val="24"/>
        </w:rPr>
      </w:pPr>
    </w:p>
    <w:p w:rsidR="007131C1" w:rsidRDefault="007131C1">
      <w:pPr>
        <w:tabs>
          <w:tab w:val="right" w:pos="8364"/>
        </w:tabs>
        <w:ind w:left="567" w:hanging="567"/>
        <w:jc w:val="both"/>
        <w:rPr>
          <w:rFonts w:ascii="NewBaskerville" w:hAnsi="NewBaskerville"/>
          <w:b/>
          <w:bCs/>
          <w:sz w:val="24"/>
          <w:szCs w:val="24"/>
        </w:rPr>
      </w:pPr>
    </w:p>
    <w:p w:rsidR="007131C1" w:rsidRDefault="007131C1">
      <w:pPr>
        <w:tabs>
          <w:tab w:val="right" w:pos="8364"/>
        </w:tabs>
        <w:ind w:left="567" w:hanging="567"/>
        <w:jc w:val="both"/>
        <w:rPr>
          <w:rFonts w:ascii="NewBaskerville" w:hAnsi="NewBaskerville"/>
          <w:b/>
          <w:bCs/>
          <w:sz w:val="24"/>
          <w:szCs w:val="24"/>
        </w:rPr>
      </w:pPr>
    </w:p>
    <w:p w:rsidR="007131C1" w:rsidRDefault="007131C1">
      <w:pPr>
        <w:tabs>
          <w:tab w:val="right" w:pos="8364"/>
        </w:tabs>
        <w:ind w:left="567" w:hanging="567"/>
        <w:jc w:val="both"/>
        <w:rPr>
          <w:rFonts w:ascii="NewBaskerville" w:hAnsi="NewBaskerville"/>
          <w:b/>
          <w:bCs/>
          <w:sz w:val="24"/>
          <w:szCs w:val="24"/>
        </w:rPr>
      </w:pPr>
    </w:p>
    <w:p w:rsidR="007131C1" w:rsidRDefault="007131C1">
      <w:pPr>
        <w:tabs>
          <w:tab w:val="right" w:pos="8364"/>
        </w:tabs>
        <w:ind w:left="567" w:hanging="567"/>
        <w:jc w:val="both"/>
        <w:rPr>
          <w:rFonts w:ascii="NewBaskerville" w:hAnsi="NewBaskerville"/>
          <w:b/>
          <w:bCs/>
          <w:sz w:val="24"/>
          <w:szCs w:val="24"/>
        </w:rPr>
      </w:pPr>
    </w:p>
    <w:p w:rsidR="007131C1" w:rsidRDefault="007131C1">
      <w:pPr>
        <w:tabs>
          <w:tab w:val="right" w:pos="8364"/>
        </w:tabs>
        <w:ind w:left="567" w:hanging="567"/>
        <w:jc w:val="both"/>
        <w:rPr>
          <w:rFonts w:ascii="NewBaskerville" w:hAnsi="NewBaskerville"/>
          <w:b/>
          <w:bCs/>
          <w:sz w:val="24"/>
          <w:szCs w:val="24"/>
        </w:rPr>
      </w:pPr>
    </w:p>
    <w:p w:rsidR="002C4355" w:rsidRPr="00556957" w:rsidRDefault="002C4355">
      <w:pPr>
        <w:tabs>
          <w:tab w:val="right" w:pos="8364"/>
        </w:tabs>
        <w:ind w:left="567" w:hanging="567"/>
        <w:jc w:val="both"/>
        <w:rPr>
          <w:rFonts w:ascii="NewBaskerville" w:hAnsi="NewBaskerville"/>
          <w:b/>
          <w:bCs/>
          <w:sz w:val="24"/>
          <w:szCs w:val="24"/>
        </w:rPr>
      </w:pPr>
      <w:r w:rsidRPr="00556957">
        <w:rPr>
          <w:rFonts w:ascii="NewBaskerville" w:hAnsi="NewBaskerville"/>
          <w:b/>
          <w:bCs/>
          <w:sz w:val="24"/>
          <w:szCs w:val="24"/>
        </w:rPr>
        <w:lastRenderedPageBreak/>
        <w:t>1</w:t>
      </w:r>
      <w:r w:rsidR="00A00693" w:rsidRPr="00556957">
        <w:rPr>
          <w:rFonts w:ascii="NewBaskerville" w:hAnsi="NewBaskerville"/>
          <w:b/>
          <w:bCs/>
          <w:sz w:val="24"/>
          <w:szCs w:val="24"/>
        </w:rPr>
        <w:t>3</w:t>
      </w:r>
      <w:r w:rsidR="00BF22FE" w:rsidRPr="00556957">
        <w:rPr>
          <w:rFonts w:ascii="NewBaskerville" w:hAnsi="NewBaskerville"/>
          <w:b/>
          <w:bCs/>
          <w:sz w:val="24"/>
          <w:szCs w:val="24"/>
        </w:rPr>
        <w:t xml:space="preserve">. </w:t>
      </w:r>
      <w:r w:rsidRPr="00556957">
        <w:rPr>
          <w:rFonts w:ascii="NewBaskerville" w:hAnsi="NewBaskerville"/>
          <w:b/>
          <w:bCs/>
          <w:sz w:val="24"/>
          <w:szCs w:val="24"/>
        </w:rPr>
        <w:t>Información sobre medio ambiente</w:t>
      </w:r>
    </w:p>
    <w:p w:rsidR="00B8285C" w:rsidRPr="00556957" w:rsidRDefault="00B8285C">
      <w:pPr>
        <w:tabs>
          <w:tab w:val="right" w:pos="8364"/>
        </w:tabs>
        <w:ind w:left="567" w:hanging="567"/>
        <w:jc w:val="both"/>
        <w:rPr>
          <w:rFonts w:ascii="NewBaskerville" w:hAnsi="NewBaskerville"/>
          <w:b/>
          <w:bCs/>
          <w:sz w:val="24"/>
          <w:szCs w:val="24"/>
        </w:rPr>
      </w:pPr>
    </w:p>
    <w:p w:rsidR="00E809AA" w:rsidRPr="00556957" w:rsidRDefault="002C4355" w:rsidP="00576518">
      <w:pPr>
        <w:pStyle w:val="Sangradetextonormal"/>
        <w:ind w:firstLine="0"/>
        <w:rPr>
          <w:rFonts w:ascii="NewBaskerville" w:hAnsi="NewBaskerville"/>
          <w:bCs/>
          <w:sz w:val="20"/>
        </w:rPr>
      </w:pPr>
      <w:r w:rsidRPr="00556957">
        <w:rPr>
          <w:rFonts w:ascii="NewBaskerville" w:hAnsi="NewBaskerville"/>
          <w:bCs/>
          <w:sz w:val="20"/>
        </w:rPr>
        <w:t>Los gastos efectuados en el ejercicio</w:t>
      </w:r>
      <w:r w:rsidR="00C2536F" w:rsidRPr="00556957">
        <w:rPr>
          <w:rFonts w:ascii="NewBaskerville" w:hAnsi="NewBaskerville"/>
          <w:bCs/>
          <w:sz w:val="20"/>
        </w:rPr>
        <w:t xml:space="preserve"> </w:t>
      </w:r>
      <w:r w:rsidR="00C2536F" w:rsidRPr="00F015C9">
        <w:rPr>
          <w:rFonts w:ascii="NewBaskerville" w:hAnsi="NewBaskerville"/>
          <w:b/>
          <w:bCs/>
          <w:sz w:val="20"/>
        </w:rPr>
        <w:t>202</w:t>
      </w:r>
      <w:r w:rsidR="00533ECB">
        <w:rPr>
          <w:rFonts w:ascii="NewBaskerville" w:hAnsi="NewBaskerville"/>
          <w:b/>
          <w:bCs/>
          <w:sz w:val="20"/>
        </w:rPr>
        <w:t>3</w:t>
      </w:r>
      <w:r w:rsidR="00D95F74" w:rsidRPr="00556957">
        <w:rPr>
          <w:rFonts w:ascii="NewBaskerville" w:hAnsi="NewBaskerville"/>
          <w:bCs/>
          <w:sz w:val="20"/>
        </w:rPr>
        <w:t xml:space="preserve"> </w:t>
      </w:r>
      <w:r w:rsidRPr="00556957">
        <w:rPr>
          <w:rFonts w:ascii="NewBaskerville" w:hAnsi="NewBaskerville"/>
          <w:bCs/>
          <w:sz w:val="20"/>
        </w:rPr>
        <w:t xml:space="preserve"> por actividades medioambientales corresponden a gastos ordinarios del ejercicio contabilizados por su naturaleza en sus respectivas cuentas contables</w:t>
      </w:r>
      <w:r w:rsidR="00D95F74" w:rsidRPr="00556957">
        <w:rPr>
          <w:rFonts w:ascii="NewBaskerville" w:hAnsi="NewBaskerville"/>
          <w:bCs/>
          <w:sz w:val="20"/>
        </w:rPr>
        <w:t xml:space="preserve"> por un total de </w:t>
      </w:r>
      <w:r w:rsidR="00F015C9" w:rsidRPr="00AE1189">
        <w:rPr>
          <w:rFonts w:ascii="NewBaskerville" w:hAnsi="NewBaskerville"/>
          <w:b/>
          <w:bCs/>
          <w:sz w:val="20"/>
        </w:rPr>
        <w:t>2.</w:t>
      </w:r>
      <w:r w:rsidR="00533ECB" w:rsidRPr="00AE1189">
        <w:rPr>
          <w:rFonts w:ascii="NewBaskerville" w:hAnsi="NewBaskerville"/>
          <w:b/>
          <w:bCs/>
          <w:sz w:val="20"/>
        </w:rPr>
        <w:t>90</w:t>
      </w:r>
      <w:r w:rsidR="00877A1B" w:rsidRPr="00AE1189">
        <w:rPr>
          <w:rFonts w:ascii="NewBaskerville" w:hAnsi="NewBaskerville"/>
          <w:b/>
          <w:bCs/>
          <w:sz w:val="20"/>
        </w:rPr>
        <w:t>6</w:t>
      </w:r>
      <w:r w:rsidR="00F015C9" w:rsidRPr="00AE1189">
        <w:rPr>
          <w:rFonts w:ascii="NewBaskerville" w:hAnsi="NewBaskerville"/>
          <w:b/>
          <w:bCs/>
          <w:sz w:val="20"/>
        </w:rPr>
        <w:t>.</w:t>
      </w:r>
      <w:r w:rsidR="00877A1B" w:rsidRPr="00AE1189">
        <w:rPr>
          <w:rFonts w:ascii="NewBaskerville" w:hAnsi="NewBaskerville"/>
          <w:b/>
          <w:bCs/>
          <w:sz w:val="20"/>
        </w:rPr>
        <w:t>310</w:t>
      </w:r>
      <w:r w:rsidR="00F015C9" w:rsidRPr="00AE1189">
        <w:rPr>
          <w:rFonts w:ascii="NewBaskerville" w:hAnsi="NewBaskerville"/>
          <w:b/>
          <w:bCs/>
          <w:sz w:val="20"/>
        </w:rPr>
        <w:t>,</w:t>
      </w:r>
      <w:r w:rsidR="00877A1B" w:rsidRPr="00AE1189">
        <w:rPr>
          <w:rFonts w:ascii="NewBaskerville" w:hAnsi="NewBaskerville"/>
          <w:b/>
          <w:bCs/>
          <w:sz w:val="20"/>
        </w:rPr>
        <w:t>88</w:t>
      </w:r>
      <w:r w:rsidR="00151A2A" w:rsidRPr="00556957">
        <w:rPr>
          <w:rFonts w:ascii="NewBaskerville" w:hAnsi="NewBaskerville"/>
          <w:bCs/>
          <w:sz w:val="20"/>
        </w:rPr>
        <w:t xml:space="preserve"> </w:t>
      </w:r>
      <w:r w:rsidR="00AE1189">
        <w:rPr>
          <w:rFonts w:ascii="NewBaskerville" w:hAnsi="NewBaskerville"/>
          <w:bCs/>
          <w:sz w:val="20"/>
        </w:rPr>
        <w:t>euros</w:t>
      </w:r>
      <w:r w:rsidR="00BD20B8" w:rsidRPr="00556957">
        <w:rPr>
          <w:rFonts w:ascii="NewBaskerville" w:hAnsi="NewBaskerville"/>
          <w:bCs/>
          <w:sz w:val="20"/>
        </w:rPr>
        <w:t xml:space="preserve">. </w:t>
      </w:r>
      <w:r w:rsidR="00747953" w:rsidRPr="00556957">
        <w:rPr>
          <w:rFonts w:ascii="NewBaskerville" w:hAnsi="NewBaskerville"/>
          <w:bCs/>
          <w:sz w:val="20"/>
        </w:rPr>
        <w:t>Las ac</w:t>
      </w:r>
      <w:r w:rsidR="00BD20B8" w:rsidRPr="00556957">
        <w:rPr>
          <w:rFonts w:ascii="NewBaskerville" w:hAnsi="NewBaskerville"/>
          <w:bCs/>
          <w:sz w:val="20"/>
        </w:rPr>
        <w:t>t</w:t>
      </w:r>
      <w:r w:rsidR="00747953" w:rsidRPr="00556957">
        <w:rPr>
          <w:rFonts w:ascii="NewBaskerville" w:hAnsi="NewBaskerville"/>
          <w:bCs/>
          <w:sz w:val="20"/>
        </w:rPr>
        <w:t>u</w:t>
      </w:r>
      <w:r w:rsidR="00BD20B8" w:rsidRPr="00556957">
        <w:rPr>
          <w:rFonts w:ascii="NewBaskerville" w:hAnsi="NewBaskerville"/>
          <w:bCs/>
          <w:sz w:val="20"/>
        </w:rPr>
        <w:t>aciones medioambientales han correspondido a</w:t>
      </w:r>
      <w:r w:rsidR="00662D97" w:rsidRPr="00556957">
        <w:rPr>
          <w:rFonts w:ascii="NewBaskerville" w:hAnsi="NewBaskerville"/>
          <w:bCs/>
          <w:sz w:val="20"/>
        </w:rPr>
        <w:t>:</w:t>
      </w:r>
    </w:p>
    <w:p w:rsidR="00EB3966" w:rsidRPr="00846803" w:rsidRDefault="00EB3966" w:rsidP="00D77EF9">
      <w:pPr>
        <w:pStyle w:val="Sangradetextonormal"/>
        <w:ind w:firstLine="0"/>
        <w:rPr>
          <w:bCs/>
          <w:sz w:val="20"/>
        </w:rPr>
      </w:pPr>
    </w:p>
    <w:tbl>
      <w:tblPr>
        <w:tblW w:w="8700" w:type="dxa"/>
        <w:tblInd w:w="55" w:type="dxa"/>
        <w:tblCellMar>
          <w:left w:w="70" w:type="dxa"/>
          <w:right w:w="70" w:type="dxa"/>
        </w:tblCellMar>
        <w:tblLook w:val="04A0" w:firstRow="1" w:lastRow="0" w:firstColumn="1" w:lastColumn="0" w:noHBand="0" w:noVBand="1"/>
      </w:tblPr>
      <w:tblGrid>
        <w:gridCol w:w="763"/>
        <w:gridCol w:w="763"/>
        <w:gridCol w:w="762"/>
        <w:gridCol w:w="762"/>
        <w:gridCol w:w="4290"/>
        <w:gridCol w:w="1360"/>
      </w:tblGrid>
      <w:tr w:rsidR="00533ECB" w:rsidRPr="00533ECB" w:rsidTr="00533ECB">
        <w:trPr>
          <w:trHeight w:val="375"/>
        </w:trPr>
        <w:tc>
          <w:tcPr>
            <w:tcW w:w="73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3ECB" w:rsidRPr="00533ECB" w:rsidRDefault="00533ECB" w:rsidP="00533ECB">
            <w:pPr>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MARPOL</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533ECB" w:rsidRPr="00533ECB" w:rsidRDefault="00533ECB" w:rsidP="00533ECB">
            <w:pPr>
              <w:jc w:val="right"/>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2.414.758,58</w:t>
            </w:r>
          </w:p>
        </w:tc>
      </w:tr>
      <w:tr w:rsidR="00533ECB" w:rsidRPr="00533ECB" w:rsidTr="00533ECB">
        <w:trPr>
          <w:trHeight w:val="375"/>
        </w:trPr>
        <w:tc>
          <w:tcPr>
            <w:tcW w:w="73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3ECB" w:rsidRPr="00533ECB" w:rsidRDefault="00533ECB" w:rsidP="00533ECB">
            <w:pPr>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 xml:space="preserve">Asistencia Técnica para seguimiento y control de la calidad de las aguas de los puertos de la Autoridad Portuaria de Baleares </w:t>
            </w:r>
            <w:r w:rsidR="00DD448C" w:rsidRPr="00533ECB">
              <w:rPr>
                <w:rFonts w:ascii="NewBaskerville" w:hAnsi="NewBaskerville" w:cs="Calibri"/>
                <w:color w:val="000000"/>
                <w:sz w:val="14"/>
                <w:szCs w:val="14"/>
                <w:lang w:val="es-ES"/>
              </w:rPr>
              <w:t>según</w:t>
            </w:r>
            <w:r w:rsidRPr="00533ECB">
              <w:rPr>
                <w:rFonts w:ascii="NewBaskerville" w:hAnsi="NewBaskerville" w:cs="Calibri"/>
                <w:color w:val="000000"/>
                <w:sz w:val="14"/>
                <w:szCs w:val="14"/>
                <w:lang w:val="es-ES"/>
              </w:rPr>
              <w:t xml:space="preserve"> la ROM 5.1-13.</w:t>
            </w:r>
          </w:p>
        </w:tc>
        <w:tc>
          <w:tcPr>
            <w:tcW w:w="1360" w:type="dxa"/>
            <w:tcBorders>
              <w:top w:val="nil"/>
              <w:left w:val="nil"/>
              <w:bottom w:val="single" w:sz="4" w:space="0" w:color="auto"/>
              <w:right w:val="single" w:sz="4" w:space="0" w:color="auto"/>
            </w:tcBorders>
            <w:shd w:val="clear" w:color="auto" w:fill="auto"/>
            <w:noWrap/>
            <w:vAlign w:val="center"/>
            <w:hideMark/>
          </w:tcPr>
          <w:p w:rsidR="00533ECB" w:rsidRPr="00533ECB" w:rsidRDefault="00533ECB" w:rsidP="00533ECB">
            <w:pPr>
              <w:jc w:val="right"/>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62.179,36</w:t>
            </w:r>
          </w:p>
        </w:tc>
      </w:tr>
      <w:tr w:rsidR="00533ECB" w:rsidRPr="00533ECB" w:rsidTr="00533ECB">
        <w:trPr>
          <w:trHeight w:val="375"/>
        </w:trPr>
        <w:tc>
          <w:tcPr>
            <w:tcW w:w="73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3ECB" w:rsidRPr="00533ECB" w:rsidRDefault="00533ECB" w:rsidP="00533ECB">
            <w:pPr>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 xml:space="preserve">A.T. para la </w:t>
            </w:r>
            <w:r w:rsidR="00DD448C" w:rsidRPr="00533ECB">
              <w:rPr>
                <w:rFonts w:ascii="NewBaskerville" w:hAnsi="NewBaskerville" w:cs="Calibri"/>
                <w:color w:val="000000"/>
                <w:sz w:val="14"/>
                <w:szCs w:val="14"/>
                <w:lang w:val="es-ES"/>
              </w:rPr>
              <w:t>elaboración</w:t>
            </w:r>
            <w:r w:rsidRPr="00533ECB">
              <w:rPr>
                <w:rFonts w:ascii="NewBaskerville" w:hAnsi="NewBaskerville" w:cs="Calibri"/>
                <w:color w:val="000000"/>
                <w:sz w:val="14"/>
                <w:szCs w:val="14"/>
                <w:lang w:val="es-ES"/>
              </w:rPr>
              <w:t xml:space="preserve"> del plan de </w:t>
            </w:r>
            <w:r w:rsidR="00DD448C" w:rsidRPr="00533ECB">
              <w:rPr>
                <w:rFonts w:ascii="NewBaskerville" w:hAnsi="NewBaskerville" w:cs="Calibri"/>
                <w:color w:val="000000"/>
                <w:sz w:val="14"/>
                <w:szCs w:val="14"/>
                <w:lang w:val="es-ES"/>
              </w:rPr>
              <w:t>gestión</w:t>
            </w:r>
            <w:r w:rsidRPr="00533ECB">
              <w:rPr>
                <w:rFonts w:ascii="NewBaskerville" w:hAnsi="NewBaskerville" w:cs="Calibri"/>
                <w:color w:val="000000"/>
                <w:sz w:val="14"/>
                <w:szCs w:val="14"/>
                <w:lang w:val="es-ES"/>
              </w:rPr>
              <w:t xml:space="preserve"> de residuos para la </w:t>
            </w:r>
            <w:r w:rsidR="00DD448C" w:rsidRPr="00533ECB">
              <w:rPr>
                <w:rFonts w:ascii="NewBaskerville" w:hAnsi="NewBaskerville" w:cs="Calibri"/>
                <w:color w:val="000000"/>
                <w:sz w:val="14"/>
                <w:szCs w:val="14"/>
                <w:lang w:val="es-ES"/>
              </w:rPr>
              <w:t>recepción</w:t>
            </w:r>
            <w:r w:rsidRPr="00533ECB">
              <w:rPr>
                <w:rFonts w:ascii="NewBaskerville" w:hAnsi="NewBaskerville" w:cs="Calibri"/>
                <w:color w:val="000000"/>
                <w:sz w:val="14"/>
                <w:szCs w:val="14"/>
                <w:lang w:val="es-ES"/>
              </w:rPr>
              <w:t xml:space="preserve"> y </w:t>
            </w:r>
            <w:r w:rsidR="00DD448C" w:rsidRPr="00533ECB">
              <w:rPr>
                <w:rFonts w:ascii="NewBaskerville" w:hAnsi="NewBaskerville" w:cs="Calibri"/>
                <w:color w:val="000000"/>
                <w:sz w:val="14"/>
                <w:szCs w:val="14"/>
                <w:lang w:val="es-ES"/>
              </w:rPr>
              <w:t>manipulación</w:t>
            </w:r>
            <w:r w:rsidRPr="00533ECB">
              <w:rPr>
                <w:rFonts w:ascii="NewBaskerville" w:hAnsi="NewBaskerville" w:cs="Calibri"/>
                <w:color w:val="000000"/>
                <w:sz w:val="14"/>
                <w:szCs w:val="14"/>
                <w:lang w:val="es-ES"/>
              </w:rPr>
              <w:t xml:space="preserve"> de desechos de buques y residuos de carga para los puertos de la Autoridad Portuaria de Baleares (Palma, Alcudia, Mao, </w:t>
            </w:r>
            <w:proofErr w:type="spellStart"/>
            <w:r w:rsidRPr="00533ECB">
              <w:rPr>
                <w:rFonts w:ascii="NewBaskerville" w:hAnsi="NewBaskerville" w:cs="Calibri"/>
                <w:color w:val="000000"/>
                <w:sz w:val="14"/>
                <w:szCs w:val="14"/>
                <w:lang w:val="es-ES"/>
              </w:rPr>
              <w:t>Eivissa</w:t>
            </w:r>
            <w:proofErr w:type="spellEnd"/>
            <w:r w:rsidRPr="00533ECB">
              <w:rPr>
                <w:rFonts w:ascii="NewBaskerville" w:hAnsi="NewBaskerville" w:cs="Calibri"/>
                <w:color w:val="000000"/>
                <w:sz w:val="14"/>
                <w:szCs w:val="14"/>
                <w:lang w:val="es-ES"/>
              </w:rPr>
              <w:t xml:space="preserve"> y la </w:t>
            </w:r>
            <w:proofErr w:type="spellStart"/>
            <w:r w:rsidRPr="00533ECB">
              <w:rPr>
                <w:rFonts w:ascii="NewBaskerville" w:hAnsi="NewBaskerville" w:cs="Calibri"/>
                <w:color w:val="000000"/>
                <w:sz w:val="14"/>
                <w:szCs w:val="14"/>
                <w:lang w:val="es-ES"/>
              </w:rPr>
              <w:t>Savina</w:t>
            </w:r>
            <w:proofErr w:type="spellEnd"/>
            <w:r w:rsidRPr="00533ECB">
              <w:rPr>
                <w:rFonts w:ascii="NewBaskerville" w:hAnsi="NewBaskerville" w:cs="Calibri"/>
                <w:color w:val="000000"/>
                <w:sz w:val="14"/>
                <w:szCs w:val="14"/>
                <w:lang w:val="es-ES"/>
              </w:rPr>
              <w:t>)</w:t>
            </w:r>
          </w:p>
        </w:tc>
        <w:tc>
          <w:tcPr>
            <w:tcW w:w="1360" w:type="dxa"/>
            <w:tcBorders>
              <w:top w:val="nil"/>
              <w:left w:val="nil"/>
              <w:bottom w:val="single" w:sz="4" w:space="0" w:color="auto"/>
              <w:right w:val="single" w:sz="4" w:space="0" w:color="auto"/>
            </w:tcBorders>
            <w:shd w:val="clear" w:color="auto" w:fill="auto"/>
            <w:noWrap/>
            <w:vAlign w:val="center"/>
            <w:hideMark/>
          </w:tcPr>
          <w:p w:rsidR="00533ECB" w:rsidRPr="00533ECB" w:rsidRDefault="00533ECB" w:rsidP="00533ECB">
            <w:pPr>
              <w:jc w:val="right"/>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4.945,65</w:t>
            </w:r>
          </w:p>
        </w:tc>
      </w:tr>
      <w:tr w:rsidR="00533ECB" w:rsidRPr="00533ECB" w:rsidTr="00533ECB">
        <w:trPr>
          <w:trHeight w:val="375"/>
        </w:trPr>
        <w:tc>
          <w:tcPr>
            <w:tcW w:w="73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3ECB" w:rsidRPr="00533ECB" w:rsidRDefault="00533ECB" w:rsidP="00533ECB">
            <w:pPr>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Asistencia Técnica para la implantación de la estrategia ambiental</w:t>
            </w:r>
          </w:p>
        </w:tc>
        <w:tc>
          <w:tcPr>
            <w:tcW w:w="1360" w:type="dxa"/>
            <w:tcBorders>
              <w:top w:val="nil"/>
              <w:left w:val="nil"/>
              <w:bottom w:val="single" w:sz="4" w:space="0" w:color="auto"/>
              <w:right w:val="single" w:sz="4" w:space="0" w:color="auto"/>
            </w:tcBorders>
            <w:shd w:val="clear" w:color="auto" w:fill="auto"/>
            <w:noWrap/>
            <w:vAlign w:val="center"/>
            <w:hideMark/>
          </w:tcPr>
          <w:p w:rsidR="00533ECB" w:rsidRPr="00533ECB" w:rsidRDefault="00533ECB" w:rsidP="00533ECB">
            <w:pPr>
              <w:jc w:val="right"/>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89.355,30</w:t>
            </w:r>
          </w:p>
        </w:tc>
      </w:tr>
      <w:tr w:rsidR="00533ECB" w:rsidRPr="00533ECB" w:rsidTr="00533ECB">
        <w:trPr>
          <w:trHeight w:val="375"/>
        </w:trPr>
        <w:tc>
          <w:tcPr>
            <w:tcW w:w="73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33ECB" w:rsidRPr="00533ECB" w:rsidRDefault="00533ECB" w:rsidP="00533ECB">
            <w:pPr>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Mantenimiento plataforma INTRAL</w:t>
            </w:r>
          </w:p>
        </w:tc>
        <w:tc>
          <w:tcPr>
            <w:tcW w:w="1360" w:type="dxa"/>
            <w:tcBorders>
              <w:top w:val="nil"/>
              <w:left w:val="nil"/>
              <w:bottom w:val="single" w:sz="4" w:space="0" w:color="auto"/>
              <w:right w:val="single" w:sz="4" w:space="0" w:color="auto"/>
            </w:tcBorders>
            <w:shd w:val="clear" w:color="auto" w:fill="auto"/>
            <w:noWrap/>
            <w:vAlign w:val="center"/>
            <w:hideMark/>
          </w:tcPr>
          <w:p w:rsidR="00533ECB" w:rsidRPr="00533ECB" w:rsidRDefault="00533ECB" w:rsidP="00533ECB">
            <w:pPr>
              <w:jc w:val="right"/>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2.820,00</w:t>
            </w:r>
          </w:p>
        </w:tc>
      </w:tr>
      <w:tr w:rsidR="00533ECB" w:rsidRPr="00533ECB" w:rsidTr="00533ECB">
        <w:trPr>
          <w:trHeight w:val="375"/>
        </w:trPr>
        <w:tc>
          <w:tcPr>
            <w:tcW w:w="73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33ECB" w:rsidRPr="00533ECB" w:rsidRDefault="00533ECB" w:rsidP="00533ECB">
            <w:pPr>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Gestión de residuos de embarcaciones abandonadas</w:t>
            </w:r>
          </w:p>
        </w:tc>
        <w:tc>
          <w:tcPr>
            <w:tcW w:w="1360" w:type="dxa"/>
            <w:tcBorders>
              <w:top w:val="nil"/>
              <w:left w:val="nil"/>
              <w:bottom w:val="single" w:sz="4" w:space="0" w:color="auto"/>
              <w:right w:val="single" w:sz="4" w:space="0" w:color="auto"/>
            </w:tcBorders>
            <w:shd w:val="clear" w:color="auto" w:fill="auto"/>
            <w:noWrap/>
            <w:vAlign w:val="center"/>
            <w:hideMark/>
          </w:tcPr>
          <w:p w:rsidR="00533ECB" w:rsidRPr="00533ECB" w:rsidRDefault="00533ECB" w:rsidP="00533ECB">
            <w:pPr>
              <w:jc w:val="right"/>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56.990,00</w:t>
            </w:r>
          </w:p>
        </w:tc>
      </w:tr>
      <w:tr w:rsidR="00533ECB" w:rsidRPr="00533ECB" w:rsidTr="00533ECB">
        <w:trPr>
          <w:trHeight w:val="375"/>
        </w:trPr>
        <w:tc>
          <w:tcPr>
            <w:tcW w:w="73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3ECB" w:rsidRPr="00533ECB" w:rsidRDefault="00533ECB" w:rsidP="00533ECB">
            <w:pPr>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 xml:space="preserve">Mantenimiento de la </w:t>
            </w:r>
            <w:r w:rsidR="00DD448C" w:rsidRPr="00533ECB">
              <w:rPr>
                <w:rFonts w:ascii="NewBaskerville" w:hAnsi="NewBaskerville" w:cs="Calibri"/>
                <w:color w:val="000000"/>
                <w:sz w:val="14"/>
                <w:szCs w:val="14"/>
                <w:lang w:val="es-ES"/>
              </w:rPr>
              <w:t>exclusión</w:t>
            </w:r>
            <w:r w:rsidRPr="00533ECB">
              <w:rPr>
                <w:rFonts w:ascii="NewBaskerville" w:hAnsi="NewBaskerville" w:cs="Calibri"/>
                <w:color w:val="000000"/>
                <w:sz w:val="14"/>
                <w:szCs w:val="14"/>
                <w:lang w:val="es-ES"/>
              </w:rPr>
              <w:t xml:space="preserve"> de aves y gestión del resto de la fauna en edificios y dependencias del puerto de Palma</w:t>
            </w:r>
          </w:p>
        </w:tc>
        <w:tc>
          <w:tcPr>
            <w:tcW w:w="1360" w:type="dxa"/>
            <w:tcBorders>
              <w:top w:val="nil"/>
              <w:left w:val="nil"/>
              <w:bottom w:val="single" w:sz="4" w:space="0" w:color="auto"/>
              <w:right w:val="single" w:sz="4" w:space="0" w:color="auto"/>
            </w:tcBorders>
            <w:shd w:val="clear" w:color="auto" w:fill="auto"/>
            <w:noWrap/>
            <w:vAlign w:val="center"/>
            <w:hideMark/>
          </w:tcPr>
          <w:p w:rsidR="00533ECB" w:rsidRPr="00533ECB" w:rsidRDefault="00533ECB" w:rsidP="00533ECB">
            <w:pPr>
              <w:jc w:val="right"/>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198.138,46</w:t>
            </w:r>
          </w:p>
        </w:tc>
      </w:tr>
      <w:tr w:rsidR="00533ECB" w:rsidRPr="00533ECB" w:rsidTr="00533ECB">
        <w:trPr>
          <w:trHeight w:val="375"/>
        </w:trPr>
        <w:tc>
          <w:tcPr>
            <w:tcW w:w="73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3ECB" w:rsidRPr="00533ECB" w:rsidRDefault="00533ECB" w:rsidP="00533ECB">
            <w:pPr>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Control de calidad del agua potable del puerto de Palma</w:t>
            </w:r>
          </w:p>
        </w:tc>
        <w:tc>
          <w:tcPr>
            <w:tcW w:w="1360" w:type="dxa"/>
            <w:tcBorders>
              <w:top w:val="nil"/>
              <w:left w:val="nil"/>
              <w:bottom w:val="single" w:sz="4" w:space="0" w:color="auto"/>
              <w:right w:val="single" w:sz="4" w:space="0" w:color="auto"/>
            </w:tcBorders>
            <w:shd w:val="clear" w:color="auto" w:fill="auto"/>
            <w:noWrap/>
            <w:vAlign w:val="center"/>
            <w:hideMark/>
          </w:tcPr>
          <w:p w:rsidR="00533ECB" w:rsidRPr="00533ECB" w:rsidRDefault="00533ECB" w:rsidP="00533ECB">
            <w:pPr>
              <w:jc w:val="right"/>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22.220,33</w:t>
            </w:r>
          </w:p>
        </w:tc>
      </w:tr>
      <w:tr w:rsidR="00533ECB" w:rsidRPr="00533ECB" w:rsidTr="00533ECB">
        <w:trPr>
          <w:trHeight w:val="375"/>
        </w:trPr>
        <w:tc>
          <w:tcPr>
            <w:tcW w:w="73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3ECB" w:rsidRPr="00533ECB" w:rsidRDefault="00533ECB" w:rsidP="00533ECB">
            <w:pPr>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Retirada de residuos propios de la APB en el puerto de Palma</w:t>
            </w:r>
          </w:p>
        </w:tc>
        <w:tc>
          <w:tcPr>
            <w:tcW w:w="1360" w:type="dxa"/>
            <w:tcBorders>
              <w:top w:val="nil"/>
              <w:left w:val="nil"/>
              <w:bottom w:val="single" w:sz="4" w:space="0" w:color="auto"/>
              <w:right w:val="single" w:sz="4" w:space="0" w:color="auto"/>
            </w:tcBorders>
            <w:shd w:val="clear" w:color="auto" w:fill="auto"/>
            <w:noWrap/>
            <w:vAlign w:val="center"/>
            <w:hideMark/>
          </w:tcPr>
          <w:p w:rsidR="00533ECB" w:rsidRPr="00533ECB" w:rsidRDefault="00533ECB" w:rsidP="00533ECB">
            <w:pPr>
              <w:jc w:val="right"/>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25.665,06</w:t>
            </w:r>
          </w:p>
        </w:tc>
      </w:tr>
      <w:tr w:rsidR="00533ECB" w:rsidRPr="00533ECB" w:rsidTr="00533ECB">
        <w:trPr>
          <w:trHeight w:val="375"/>
        </w:trPr>
        <w:tc>
          <w:tcPr>
            <w:tcW w:w="73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33ECB" w:rsidRPr="00533ECB" w:rsidRDefault="00533ECB" w:rsidP="00533ECB">
            <w:pPr>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Resto actuaciones</w:t>
            </w:r>
          </w:p>
        </w:tc>
        <w:tc>
          <w:tcPr>
            <w:tcW w:w="1360" w:type="dxa"/>
            <w:tcBorders>
              <w:top w:val="nil"/>
              <w:left w:val="nil"/>
              <w:bottom w:val="single" w:sz="4" w:space="0" w:color="auto"/>
              <w:right w:val="single" w:sz="4" w:space="0" w:color="auto"/>
            </w:tcBorders>
            <w:shd w:val="clear" w:color="auto" w:fill="auto"/>
            <w:noWrap/>
            <w:vAlign w:val="center"/>
            <w:hideMark/>
          </w:tcPr>
          <w:p w:rsidR="00533ECB" w:rsidRPr="00533ECB" w:rsidRDefault="00877A1B" w:rsidP="00533ECB">
            <w:pPr>
              <w:jc w:val="right"/>
              <w:rPr>
                <w:rFonts w:ascii="NewBaskerville" w:hAnsi="NewBaskerville" w:cs="Calibri"/>
                <w:color w:val="000000"/>
                <w:sz w:val="14"/>
                <w:szCs w:val="14"/>
                <w:lang w:val="es-ES"/>
              </w:rPr>
            </w:pPr>
            <w:r>
              <w:rPr>
                <w:rFonts w:ascii="NewBaskerville" w:hAnsi="NewBaskerville" w:cs="Calibri"/>
                <w:color w:val="000000"/>
                <w:sz w:val="14"/>
                <w:szCs w:val="14"/>
                <w:lang w:val="es-ES"/>
              </w:rPr>
              <w:t>29.238,14</w:t>
            </w:r>
          </w:p>
        </w:tc>
      </w:tr>
      <w:tr w:rsidR="00533ECB" w:rsidRPr="00533ECB" w:rsidTr="00533ECB">
        <w:trPr>
          <w:trHeight w:val="300"/>
        </w:trPr>
        <w:tc>
          <w:tcPr>
            <w:tcW w:w="763" w:type="dxa"/>
            <w:tcBorders>
              <w:top w:val="nil"/>
              <w:left w:val="single" w:sz="4" w:space="0" w:color="auto"/>
              <w:bottom w:val="nil"/>
              <w:right w:val="nil"/>
            </w:tcBorders>
            <w:shd w:val="clear" w:color="auto" w:fill="auto"/>
            <w:noWrap/>
            <w:vAlign w:val="bottom"/>
            <w:hideMark/>
          </w:tcPr>
          <w:p w:rsidR="00533ECB" w:rsidRPr="00533ECB" w:rsidRDefault="00533ECB" w:rsidP="00533ECB">
            <w:pPr>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 </w:t>
            </w:r>
          </w:p>
        </w:tc>
        <w:tc>
          <w:tcPr>
            <w:tcW w:w="763" w:type="dxa"/>
            <w:tcBorders>
              <w:top w:val="nil"/>
              <w:left w:val="nil"/>
              <w:bottom w:val="nil"/>
              <w:right w:val="nil"/>
            </w:tcBorders>
            <w:shd w:val="clear" w:color="auto" w:fill="auto"/>
            <w:noWrap/>
            <w:vAlign w:val="bottom"/>
            <w:hideMark/>
          </w:tcPr>
          <w:p w:rsidR="00533ECB" w:rsidRPr="00533ECB" w:rsidRDefault="00533ECB" w:rsidP="00533ECB">
            <w:pPr>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 </w:t>
            </w:r>
          </w:p>
        </w:tc>
        <w:tc>
          <w:tcPr>
            <w:tcW w:w="762" w:type="dxa"/>
            <w:tcBorders>
              <w:top w:val="nil"/>
              <w:left w:val="nil"/>
              <w:bottom w:val="nil"/>
              <w:right w:val="nil"/>
            </w:tcBorders>
            <w:shd w:val="clear" w:color="auto" w:fill="auto"/>
            <w:noWrap/>
            <w:vAlign w:val="bottom"/>
            <w:hideMark/>
          </w:tcPr>
          <w:p w:rsidR="00533ECB" w:rsidRPr="00533ECB" w:rsidRDefault="00533ECB" w:rsidP="00533ECB">
            <w:pPr>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 </w:t>
            </w:r>
          </w:p>
        </w:tc>
        <w:tc>
          <w:tcPr>
            <w:tcW w:w="762" w:type="dxa"/>
            <w:tcBorders>
              <w:top w:val="nil"/>
              <w:left w:val="nil"/>
              <w:bottom w:val="nil"/>
              <w:right w:val="nil"/>
            </w:tcBorders>
            <w:shd w:val="clear" w:color="auto" w:fill="auto"/>
            <w:noWrap/>
            <w:vAlign w:val="bottom"/>
            <w:hideMark/>
          </w:tcPr>
          <w:p w:rsidR="00533ECB" w:rsidRPr="00533ECB" w:rsidRDefault="00533ECB" w:rsidP="00533ECB">
            <w:pPr>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 </w:t>
            </w:r>
          </w:p>
        </w:tc>
        <w:tc>
          <w:tcPr>
            <w:tcW w:w="4290" w:type="dxa"/>
            <w:tcBorders>
              <w:top w:val="nil"/>
              <w:left w:val="nil"/>
              <w:bottom w:val="nil"/>
              <w:right w:val="single" w:sz="4" w:space="0" w:color="auto"/>
            </w:tcBorders>
            <w:shd w:val="clear" w:color="auto" w:fill="auto"/>
            <w:noWrap/>
            <w:vAlign w:val="bottom"/>
            <w:hideMark/>
          </w:tcPr>
          <w:p w:rsidR="00533ECB" w:rsidRPr="00533ECB" w:rsidRDefault="00533ECB" w:rsidP="00533ECB">
            <w:pPr>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 </w:t>
            </w:r>
          </w:p>
        </w:tc>
        <w:tc>
          <w:tcPr>
            <w:tcW w:w="1360" w:type="dxa"/>
            <w:tcBorders>
              <w:top w:val="nil"/>
              <w:left w:val="nil"/>
              <w:bottom w:val="single" w:sz="4" w:space="0" w:color="auto"/>
              <w:right w:val="single" w:sz="4" w:space="0" w:color="auto"/>
            </w:tcBorders>
            <w:shd w:val="clear" w:color="auto" w:fill="auto"/>
            <w:noWrap/>
            <w:vAlign w:val="center"/>
            <w:hideMark/>
          </w:tcPr>
          <w:p w:rsidR="00533ECB" w:rsidRPr="00533ECB" w:rsidRDefault="00533ECB" w:rsidP="00533ECB">
            <w:pPr>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 </w:t>
            </w:r>
          </w:p>
        </w:tc>
      </w:tr>
      <w:tr w:rsidR="00533ECB" w:rsidRPr="00533ECB" w:rsidTr="00533ECB">
        <w:trPr>
          <w:trHeight w:val="300"/>
        </w:trPr>
        <w:tc>
          <w:tcPr>
            <w:tcW w:w="763" w:type="dxa"/>
            <w:tcBorders>
              <w:top w:val="nil"/>
              <w:left w:val="single" w:sz="4" w:space="0" w:color="auto"/>
              <w:bottom w:val="single" w:sz="4" w:space="0" w:color="auto"/>
              <w:right w:val="nil"/>
            </w:tcBorders>
            <w:shd w:val="clear" w:color="auto" w:fill="auto"/>
            <w:noWrap/>
            <w:vAlign w:val="bottom"/>
            <w:hideMark/>
          </w:tcPr>
          <w:p w:rsidR="00533ECB" w:rsidRPr="00533ECB" w:rsidRDefault="00533ECB" w:rsidP="00533ECB">
            <w:pPr>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 </w:t>
            </w:r>
          </w:p>
        </w:tc>
        <w:tc>
          <w:tcPr>
            <w:tcW w:w="763" w:type="dxa"/>
            <w:tcBorders>
              <w:top w:val="nil"/>
              <w:left w:val="nil"/>
              <w:bottom w:val="single" w:sz="4" w:space="0" w:color="auto"/>
              <w:right w:val="nil"/>
            </w:tcBorders>
            <w:shd w:val="clear" w:color="auto" w:fill="auto"/>
            <w:noWrap/>
            <w:vAlign w:val="bottom"/>
            <w:hideMark/>
          </w:tcPr>
          <w:p w:rsidR="00533ECB" w:rsidRPr="00533ECB" w:rsidRDefault="00533ECB" w:rsidP="00533ECB">
            <w:pPr>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 </w:t>
            </w:r>
          </w:p>
        </w:tc>
        <w:tc>
          <w:tcPr>
            <w:tcW w:w="762" w:type="dxa"/>
            <w:tcBorders>
              <w:top w:val="nil"/>
              <w:left w:val="nil"/>
              <w:bottom w:val="single" w:sz="4" w:space="0" w:color="auto"/>
              <w:right w:val="nil"/>
            </w:tcBorders>
            <w:shd w:val="clear" w:color="auto" w:fill="auto"/>
            <w:noWrap/>
            <w:vAlign w:val="bottom"/>
            <w:hideMark/>
          </w:tcPr>
          <w:p w:rsidR="00533ECB" w:rsidRPr="00533ECB" w:rsidRDefault="00533ECB" w:rsidP="00533ECB">
            <w:pPr>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 </w:t>
            </w:r>
          </w:p>
        </w:tc>
        <w:tc>
          <w:tcPr>
            <w:tcW w:w="762" w:type="dxa"/>
            <w:tcBorders>
              <w:top w:val="nil"/>
              <w:left w:val="nil"/>
              <w:bottom w:val="single" w:sz="4" w:space="0" w:color="auto"/>
              <w:right w:val="nil"/>
            </w:tcBorders>
            <w:shd w:val="clear" w:color="auto" w:fill="auto"/>
            <w:noWrap/>
            <w:vAlign w:val="bottom"/>
            <w:hideMark/>
          </w:tcPr>
          <w:p w:rsidR="00533ECB" w:rsidRPr="00533ECB" w:rsidRDefault="00533ECB" w:rsidP="00533ECB">
            <w:pPr>
              <w:rPr>
                <w:rFonts w:ascii="NewBaskerville" w:hAnsi="NewBaskerville" w:cs="Calibri"/>
                <w:color w:val="000000"/>
                <w:sz w:val="14"/>
                <w:szCs w:val="14"/>
                <w:lang w:val="es-ES"/>
              </w:rPr>
            </w:pPr>
            <w:r w:rsidRPr="00533ECB">
              <w:rPr>
                <w:rFonts w:ascii="NewBaskerville" w:hAnsi="NewBaskerville" w:cs="Calibri"/>
                <w:color w:val="000000"/>
                <w:sz w:val="14"/>
                <w:szCs w:val="14"/>
                <w:lang w:val="es-ES"/>
              </w:rPr>
              <w:t> </w:t>
            </w:r>
          </w:p>
        </w:tc>
        <w:tc>
          <w:tcPr>
            <w:tcW w:w="4290" w:type="dxa"/>
            <w:tcBorders>
              <w:top w:val="nil"/>
              <w:left w:val="nil"/>
              <w:bottom w:val="single" w:sz="4" w:space="0" w:color="auto"/>
              <w:right w:val="single" w:sz="4" w:space="0" w:color="auto"/>
            </w:tcBorders>
            <w:shd w:val="clear" w:color="auto" w:fill="auto"/>
            <w:noWrap/>
            <w:vAlign w:val="center"/>
            <w:hideMark/>
          </w:tcPr>
          <w:p w:rsidR="00533ECB" w:rsidRPr="00533ECB" w:rsidRDefault="00533ECB" w:rsidP="00533ECB">
            <w:pPr>
              <w:jc w:val="right"/>
              <w:rPr>
                <w:rFonts w:ascii="NewBaskerville" w:hAnsi="NewBaskerville" w:cs="Calibri"/>
                <w:b/>
                <w:bCs/>
                <w:color w:val="000000"/>
                <w:sz w:val="14"/>
                <w:szCs w:val="14"/>
                <w:lang w:val="es-ES"/>
              </w:rPr>
            </w:pPr>
            <w:r w:rsidRPr="00533ECB">
              <w:rPr>
                <w:rFonts w:ascii="NewBaskerville" w:hAnsi="NewBaskerville" w:cs="Calibri"/>
                <w:b/>
                <w:bCs/>
                <w:color w:val="000000"/>
                <w:sz w:val="14"/>
                <w:szCs w:val="14"/>
                <w:lang w:val="es-ES"/>
              </w:rPr>
              <w:t>Total</w:t>
            </w:r>
          </w:p>
        </w:tc>
        <w:tc>
          <w:tcPr>
            <w:tcW w:w="1360" w:type="dxa"/>
            <w:tcBorders>
              <w:top w:val="nil"/>
              <w:left w:val="nil"/>
              <w:bottom w:val="single" w:sz="4" w:space="0" w:color="auto"/>
              <w:right w:val="single" w:sz="4" w:space="0" w:color="auto"/>
            </w:tcBorders>
            <w:shd w:val="clear" w:color="auto" w:fill="auto"/>
            <w:noWrap/>
            <w:vAlign w:val="center"/>
            <w:hideMark/>
          </w:tcPr>
          <w:p w:rsidR="00533ECB" w:rsidRPr="00533ECB" w:rsidRDefault="00533ECB" w:rsidP="00877A1B">
            <w:pPr>
              <w:jc w:val="right"/>
              <w:rPr>
                <w:rFonts w:ascii="NewBaskerville" w:hAnsi="NewBaskerville" w:cs="Calibri"/>
                <w:b/>
                <w:bCs/>
                <w:color w:val="000000"/>
                <w:sz w:val="14"/>
                <w:szCs w:val="14"/>
                <w:lang w:val="es-ES"/>
              </w:rPr>
            </w:pPr>
            <w:r w:rsidRPr="00533ECB">
              <w:rPr>
                <w:rFonts w:ascii="NewBaskerville" w:hAnsi="NewBaskerville" w:cs="Calibri"/>
                <w:b/>
                <w:bCs/>
                <w:color w:val="000000"/>
                <w:sz w:val="14"/>
                <w:szCs w:val="14"/>
                <w:lang w:val="es-ES"/>
              </w:rPr>
              <w:t>2.90</w:t>
            </w:r>
            <w:r w:rsidR="00877A1B">
              <w:rPr>
                <w:rFonts w:ascii="NewBaskerville" w:hAnsi="NewBaskerville" w:cs="Calibri"/>
                <w:b/>
                <w:bCs/>
                <w:color w:val="000000"/>
                <w:sz w:val="14"/>
                <w:szCs w:val="14"/>
                <w:lang w:val="es-ES"/>
              </w:rPr>
              <w:t>6</w:t>
            </w:r>
            <w:r w:rsidRPr="00533ECB">
              <w:rPr>
                <w:rFonts w:ascii="NewBaskerville" w:hAnsi="NewBaskerville" w:cs="Calibri"/>
                <w:b/>
                <w:bCs/>
                <w:color w:val="000000"/>
                <w:sz w:val="14"/>
                <w:szCs w:val="14"/>
                <w:lang w:val="es-ES"/>
              </w:rPr>
              <w:t>.</w:t>
            </w:r>
            <w:r w:rsidR="00877A1B">
              <w:rPr>
                <w:rFonts w:ascii="NewBaskerville" w:hAnsi="NewBaskerville" w:cs="Calibri"/>
                <w:b/>
                <w:bCs/>
                <w:color w:val="000000"/>
                <w:sz w:val="14"/>
                <w:szCs w:val="14"/>
                <w:lang w:val="es-ES"/>
              </w:rPr>
              <w:t>310</w:t>
            </w:r>
            <w:r w:rsidRPr="00533ECB">
              <w:rPr>
                <w:rFonts w:ascii="NewBaskerville" w:hAnsi="NewBaskerville" w:cs="Calibri"/>
                <w:b/>
                <w:bCs/>
                <w:color w:val="000000"/>
                <w:sz w:val="14"/>
                <w:szCs w:val="14"/>
                <w:lang w:val="es-ES"/>
              </w:rPr>
              <w:t>,</w:t>
            </w:r>
            <w:r w:rsidR="00877A1B">
              <w:rPr>
                <w:rFonts w:ascii="NewBaskerville" w:hAnsi="NewBaskerville" w:cs="Calibri"/>
                <w:b/>
                <w:bCs/>
                <w:color w:val="000000"/>
                <w:sz w:val="14"/>
                <w:szCs w:val="14"/>
                <w:lang w:val="es-ES"/>
              </w:rPr>
              <w:t>88</w:t>
            </w:r>
          </w:p>
        </w:tc>
      </w:tr>
    </w:tbl>
    <w:p w:rsidR="0081769D" w:rsidRDefault="0081769D" w:rsidP="0081769D">
      <w:pPr>
        <w:rPr>
          <w:noProof/>
          <w:lang w:val="es-ES"/>
        </w:rPr>
      </w:pPr>
    </w:p>
    <w:p w:rsidR="00D14CEC" w:rsidRDefault="00D14CEC" w:rsidP="0081769D">
      <w:pPr>
        <w:rPr>
          <w:noProof/>
          <w:lang w:val="es-ES"/>
        </w:rPr>
      </w:pPr>
    </w:p>
    <w:p w:rsidR="0045316E" w:rsidRDefault="0045316E" w:rsidP="0081769D">
      <w:pPr>
        <w:tabs>
          <w:tab w:val="right" w:pos="8364"/>
        </w:tabs>
        <w:jc w:val="both"/>
        <w:rPr>
          <w:b/>
          <w:bCs/>
          <w:sz w:val="24"/>
          <w:szCs w:val="24"/>
        </w:rPr>
      </w:pPr>
    </w:p>
    <w:p w:rsidR="0045316E" w:rsidRPr="00F015C9" w:rsidRDefault="009519EE" w:rsidP="0081769D">
      <w:pPr>
        <w:tabs>
          <w:tab w:val="right" w:pos="8364"/>
        </w:tabs>
        <w:jc w:val="both"/>
        <w:rPr>
          <w:rFonts w:ascii="NewBaskerville" w:hAnsi="NewBaskerville"/>
          <w:b/>
          <w:bCs/>
          <w:sz w:val="24"/>
          <w:szCs w:val="24"/>
        </w:rPr>
      </w:pPr>
      <w:r w:rsidRPr="00F015C9">
        <w:rPr>
          <w:rFonts w:ascii="NewBaskerville" w:hAnsi="NewBaskerville"/>
          <w:bCs/>
        </w:rPr>
        <w:t>En</w:t>
      </w:r>
      <w:r w:rsidRPr="00F015C9">
        <w:rPr>
          <w:rFonts w:ascii="NewBaskerville" w:hAnsi="NewBaskerville"/>
          <w:b/>
          <w:bCs/>
        </w:rPr>
        <w:t xml:space="preserve"> 202</w:t>
      </w:r>
      <w:r w:rsidR="00533ECB">
        <w:rPr>
          <w:rFonts w:ascii="NewBaskerville" w:hAnsi="NewBaskerville"/>
          <w:b/>
          <w:bCs/>
        </w:rPr>
        <w:t>3</w:t>
      </w:r>
      <w:r w:rsidRPr="00F015C9">
        <w:rPr>
          <w:rFonts w:ascii="NewBaskerville" w:hAnsi="NewBaskerville"/>
          <w:bCs/>
        </w:rPr>
        <w:t xml:space="preserve"> </w:t>
      </w:r>
      <w:r w:rsidR="00533ECB">
        <w:rPr>
          <w:rFonts w:ascii="NewBaskerville" w:hAnsi="NewBaskerville"/>
          <w:bCs/>
        </w:rPr>
        <w:t xml:space="preserve">no </w:t>
      </w:r>
      <w:r w:rsidRPr="00F015C9">
        <w:rPr>
          <w:rFonts w:ascii="NewBaskerville" w:hAnsi="NewBaskerville"/>
          <w:bCs/>
        </w:rPr>
        <w:t xml:space="preserve">se han </w:t>
      </w:r>
      <w:r w:rsidR="00BC5886">
        <w:rPr>
          <w:rFonts w:ascii="NewBaskerville" w:hAnsi="NewBaskerville"/>
          <w:bCs/>
        </w:rPr>
        <w:t>incorporado al inmovilizado material inversiones</w:t>
      </w:r>
      <w:r w:rsidRPr="00F015C9">
        <w:rPr>
          <w:rFonts w:ascii="NewBaskerville" w:hAnsi="NewBaskerville"/>
          <w:bCs/>
        </w:rPr>
        <w:t xml:space="preserve"> en acciones </w:t>
      </w:r>
      <w:r w:rsidR="007945EA">
        <w:rPr>
          <w:rFonts w:ascii="NewBaskerville" w:hAnsi="NewBaskerville"/>
          <w:bCs/>
        </w:rPr>
        <w:t>medioambientales</w:t>
      </w:r>
      <w:r w:rsidR="00533ECB">
        <w:rPr>
          <w:rFonts w:ascii="NewBaskerville" w:hAnsi="NewBaskerville"/>
          <w:bCs/>
        </w:rPr>
        <w:t xml:space="preserve"> en los diferentes puertos de la APB.</w:t>
      </w:r>
    </w:p>
    <w:p w:rsidR="0045316E" w:rsidRDefault="0045316E" w:rsidP="0081769D">
      <w:pPr>
        <w:tabs>
          <w:tab w:val="right" w:pos="8364"/>
        </w:tabs>
        <w:jc w:val="both"/>
        <w:rPr>
          <w:b/>
          <w:bCs/>
          <w:sz w:val="24"/>
          <w:szCs w:val="24"/>
        </w:rPr>
      </w:pPr>
    </w:p>
    <w:p w:rsidR="003A69CC" w:rsidRDefault="003A69CC" w:rsidP="003A69CC">
      <w:pPr>
        <w:tabs>
          <w:tab w:val="right" w:pos="8364"/>
        </w:tabs>
        <w:ind w:firstLine="567"/>
        <w:jc w:val="both"/>
        <w:rPr>
          <w:rFonts w:ascii="NewBaskerville" w:hAnsi="NewBaskerville"/>
          <w:bCs/>
        </w:rPr>
      </w:pPr>
      <w:r>
        <w:rPr>
          <w:rFonts w:ascii="NewBaskerville" w:hAnsi="NewBaskerville"/>
          <w:bCs/>
        </w:rPr>
        <w:t xml:space="preserve">En el </w:t>
      </w:r>
      <w:r w:rsidRPr="003A69CC">
        <w:rPr>
          <w:rFonts w:ascii="NewBaskerville" w:hAnsi="NewBaskerville"/>
          <w:b/>
          <w:bCs/>
        </w:rPr>
        <w:t>202</w:t>
      </w:r>
      <w:r w:rsidR="00533ECB">
        <w:rPr>
          <w:rFonts w:ascii="NewBaskerville" w:hAnsi="NewBaskerville"/>
          <w:b/>
          <w:bCs/>
        </w:rPr>
        <w:t>3</w:t>
      </w:r>
      <w:r>
        <w:rPr>
          <w:rFonts w:ascii="NewBaskerville" w:hAnsi="NewBaskerville"/>
          <w:bCs/>
        </w:rPr>
        <w:t xml:space="preserve"> se han efectuado inversiones en infraestructura por un importe total de </w:t>
      </w:r>
      <w:r w:rsidR="00F36AC9" w:rsidRPr="00F36AC9">
        <w:rPr>
          <w:rFonts w:ascii="NewBaskerville" w:hAnsi="NewBaskerville"/>
          <w:b/>
          <w:bCs/>
        </w:rPr>
        <w:t>592</w:t>
      </w:r>
      <w:r w:rsidRPr="00F36AC9">
        <w:rPr>
          <w:rFonts w:ascii="NewBaskerville" w:hAnsi="NewBaskerville"/>
          <w:b/>
          <w:bCs/>
        </w:rPr>
        <w:t>.</w:t>
      </w:r>
      <w:r w:rsidR="00F36AC9" w:rsidRPr="00F36AC9">
        <w:rPr>
          <w:rFonts w:ascii="NewBaskerville" w:hAnsi="NewBaskerville"/>
          <w:b/>
          <w:bCs/>
        </w:rPr>
        <w:t>236</w:t>
      </w:r>
      <w:r>
        <w:rPr>
          <w:rFonts w:ascii="NewBaskerville" w:hAnsi="NewBaskerville"/>
          <w:b/>
          <w:bCs/>
        </w:rPr>
        <w:t>,</w:t>
      </w:r>
      <w:r w:rsidR="00226D3C">
        <w:rPr>
          <w:rFonts w:ascii="NewBaskerville" w:hAnsi="NewBaskerville"/>
          <w:b/>
          <w:bCs/>
        </w:rPr>
        <w:t>7</w:t>
      </w:r>
      <w:r w:rsidR="00F36AC9">
        <w:rPr>
          <w:rFonts w:ascii="NewBaskerville" w:hAnsi="NewBaskerville"/>
          <w:b/>
          <w:bCs/>
        </w:rPr>
        <w:t>2</w:t>
      </w:r>
      <w:r>
        <w:rPr>
          <w:rFonts w:ascii="NewBaskerville" w:hAnsi="NewBaskerville"/>
          <w:b/>
          <w:bCs/>
        </w:rPr>
        <w:t xml:space="preserve"> </w:t>
      </w:r>
      <w:r>
        <w:rPr>
          <w:rFonts w:ascii="NewBaskerville" w:hAnsi="NewBaskerville"/>
          <w:bCs/>
        </w:rPr>
        <w:t>euros, en acciones medioambientales catalogadas de inmovilizado en curso, en los diferentes puertos correspondiendo a las siguientes actuaciones:</w:t>
      </w:r>
    </w:p>
    <w:tbl>
      <w:tblPr>
        <w:tblW w:w="8320" w:type="dxa"/>
        <w:tblInd w:w="55" w:type="dxa"/>
        <w:tblCellMar>
          <w:left w:w="70" w:type="dxa"/>
          <w:right w:w="70" w:type="dxa"/>
        </w:tblCellMar>
        <w:tblLook w:val="04A0" w:firstRow="1" w:lastRow="0" w:firstColumn="1" w:lastColumn="0" w:noHBand="0" w:noVBand="1"/>
      </w:tblPr>
      <w:tblGrid>
        <w:gridCol w:w="1267"/>
        <w:gridCol w:w="146"/>
        <w:gridCol w:w="146"/>
        <w:gridCol w:w="146"/>
        <w:gridCol w:w="5182"/>
        <w:gridCol w:w="1500"/>
      </w:tblGrid>
      <w:tr w:rsidR="00533ECB" w:rsidRPr="00533ECB" w:rsidTr="00533ECB">
        <w:trPr>
          <w:trHeight w:val="540"/>
        </w:trPr>
        <w:tc>
          <w:tcPr>
            <w:tcW w:w="1200" w:type="dxa"/>
            <w:tcBorders>
              <w:top w:val="single" w:sz="8" w:space="0" w:color="auto"/>
              <w:left w:val="single" w:sz="8" w:space="0" w:color="auto"/>
              <w:bottom w:val="nil"/>
              <w:right w:val="single" w:sz="4" w:space="0" w:color="auto"/>
            </w:tcBorders>
            <w:shd w:val="clear" w:color="000000" w:fill="CCFFCC"/>
            <w:vAlign w:val="center"/>
            <w:hideMark/>
          </w:tcPr>
          <w:p w:rsidR="00533ECB" w:rsidRPr="00533ECB" w:rsidRDefault="00533ECB" w:rsidP="00533ECB">
            <w:pPr>
              <w:jc w:val="cente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Nº EXPEDIENTE</w:t>
            </w:r>
          </w:p>
        </w:tc>
        <w:tc>
          <w:tcPr>
            <w:tcW w:w="5620" w:type="dxa"/>
            <w:gridSpan w:val="4"/>
            <w:tcBorders>
              <w:top w:val="single" w:sz="8" w:space="0" w:color="auto"/>
              <w:left w:val="nil"/>
              <w:bottom w:val="nil"/>
              <w:right w:val="single" w:sz="4" w:space="0" w:color="auto"/>
            </w:tcBorders>
            <w:shd w:val="clear" w:color="000000" w:fill="CCFFCC"/>
            <w:vAlign w:val="center"/>
            <w:hideMark/>
          </w:tcPr>
          <w:p w:rsidR="00533ECB" w:rsidRPr="00533ECB" w:rsidRDefault="00533ECB" w:rsidP="00533ECB">
            <w:pPr>
              <w:jc w:val="cente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DENOMINACIÓN DE LOS PROYECTOS O ADQUISICIONES EN INFRAESTRUCTURA</w:t>
            </w:r>
          </w:p>
        </w:tc>
        <w:tc>
          <w:tcPr>
            <w:tcW w:w="1500" w:type="dxa"/>
            <w:tcBorders>
              <w:top w:val="single" w:sz="8" w:space="0" w:color="auto"/>
              <w:left w:val="nil"/>
              <w:bottom w:val="single" w:sz="4" w:space="0" w:color="auto"/>
              <w:right w:val="single" w:sz="8" w:space="0" w:color="000000"/>
            </w:tcBorders>
            <w:shd w:val="clear" w:color="000000" w:fill="CCFFCC"/>
            <w:vAlign w:val="center"/>
            <w:hideMark/>
          </w:tcPr>
          <w:p w:rsidR="00533ECB" w:rsidRPr="00533ECB" w:rsidRDefault="00533ECB" w:rsidP="00533ECB">
            <w:pPr>
              <w:jc w:val="cente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IMPORTE DEL EJERCICIO 2023</w:t>
            </w:r>
          </w:p>
        </w:tc>
      </w:tr>
      <w:tr w:rsidR="00533ECB" w:rsidRPr="00533ECB" w:rsidTr="00533ECB">
        <w:trPr>
          <w:trHeight w:val="300"/>
        </w:trPr>
        <w:tc>
          <w:tcPr>
            <w:tcW w:w="1200" w:type="dxa"/>
            <w:tcBorders>
              <w:top w:val="single" w:sz="4" w:space="0" w:color="auto"/>
              <w:left w:val="single" w:sz="4" w:space="0" w:color="auto"/>
              <w:bottom w:val="single" w:sz="4" w:space="0" w:color="auto"/>
              <w:right w:val="nil"/>
            </w:tcBorders>
            <w:shd w:val="clear" w:color="auto" w:fill="auto"/>
            <w:vAlign w:val="center"/>
            <w:hideMark/>
          </w:tcPr>
          <w:p w:rsidR="00533ECB" w:rsidRPr="00533ECB" w:rsidRDefault="00533ECB" w:rsidP="00533ECB">
            <w:pPr>
              <w:rPr>
                <w:rFonts w:ascii="Calibri" w:hAnsi="Calibri" w:cs="Calibri"/>
                <w:color w:val="000000"/>
                <w:sz w:val="22"/>
                <w:szCs w:val="22"/>
                <w:lang w:val="es-ES"/>
              </w:rPr>
            </w:pPr>
            <w:r w:rsidRPr="00533ECB">
              <w:rPr>
                <w:rFonts w:ascii="Calibri" w:hAnsi="Calibri" w:cs="Calibri"/>
                <w:color w:val="000000"/>
                <w:sz w:val="22"/>
                <w:szCs w:val="22"/>
                <w:lang w:val="es-ES"/>
              </w:rPr>
              <w:t> </w:t>
            </w:r>
          </w:p>
        </w:tc>
        <w:tc>
          <w:tcPr>
            <w:tcW w:w="5620" w:type="dxa"/>
            <w:gridSpan w:val="4"/>
            <w:tcBorders>
              <w:top w:val="single" w:sz="4" w:space="0" w:color="auto"/>
              <w:left w:val="nil"/>
              <w:bottom w:val="single" w:sz="4" w:space="0" w:color="auto"/>
              <w:right w:val="single" w:sz="4" w:space="0" w:color="auto"/>
            </w:tcBorders>
            <w:shd w:val="clear" w:color="auto" w:fill="auto"/>
            <w:noWrap/>
            <w:vAlign w:val="center"/>
            <w:hideMark/>
          </w:tcPr>
          <w:p w:rsidR="00533ECB" w:rsidRPr="00533ECB" w:rsidRDefault="00533ECB" w:rsidP="00533ECB">
            <w:pPr>
              <w:jc w:val="cente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TODOS LOS PUERTOS</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533ECB" w:rsidRPr="00533ECB" w:rsidRDefault="00533ECB" w:rsidP="00533ECB">
            <w:pPr>
              <w:jc w:val="center"/>
              <w:rPr>
                <w:rFonts w:ascii="Calibri" w:hAnsi="Calibri" w:cs="Calibri"/>
                <w:color w:val="000000"/>
                <w:sz w:val="22"/>
                <w:szCs w:val="22"/>
                <w:lang w:val="es-ES"/>
              </w:rPr>
            </w:pPr>
            <w:r w:rsidRPr="00533ECB">
              <w:rPr>
                <w:rFonts w:ascii="Calibri" w:hAnsi="Calibri" w:cs="Calibri"/>
                <w:color w:val="000000"/>
                <w:sz w:val="22"/>
                <w:szCs w:val="22"/>
                <w:lang w:val="es-ES"/>
              </w:rPr>
              <w:t> </w:t>
            </w:r>
          </w:p>
        </w:tc>
      </w:tr>
      <w:tr w:rsidR="00533ECB" w:rsidRPr="00533ECB" w:rsidTr="00533ECB">
        <w:trPr>
          <w:trHeight w:val="52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533ECB" w:rsidRPr="00533ECB" w:rsidRDefault="00533ECB" w:rsidP="00533ECB">
            <w:pP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P.O. 82.22</w:t>
            </w:r>
          </w:p>
        </w:tc>
        <w:tc>
          <w:tcPr>
            <w:tcW w:w="5620" w:type="dxa"/>
            <w:gridSpan w:val="4"/>
            <w:tcBorders>
              <w:top w:val="single" w:sz="4" w:space="0" w:color="auto"/>
              <w:left w:val="nil"/>
              <w:bottom w:val="single" w:sz="4" w:space="0" w:color="auto"/>
              <w:right w:val="single" w:sz="4" w:space="0" w:color="000000"/>
            </w:tcBorders>
            <w:shd w:val="clear" w:color="auto" w:fill="auto"/>
            <w:vAlign w:val="center"/>
            <w:hideMark/>
          </w:tcPr>
          <w:p w:rsidR="00533ECB" w:rsidRPr="00533ECB" w:rsidRDefault="00533ECB" w:rsidP="00533ECB">
            <w:pP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A.T. a la dirección de obra, control de calidad y vigilancia ambiental en obras del epígrafe de obras varias y menores de la APB (2023-2024)</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533ECB" w:rsidRPr="00533ECB" w:rsidRDefault="00533ECB" w:rsidP="00533ECB">
            <w:pPr>
              <w:jc w:val="cente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15.306,12</w:t>
            </w:r>
          </w:p>
        </w:tc>
      </w:tr>
      <w:tr w:rsidR="00533ECB" w:rsidRPr="00533ECB" w:rsidTr="00533ECB">
        <w:trPr>
          <w:trHeight w:val="48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533ECB" w:rsidRPr="00533ECB" w:rsidRDefault="00533ECB" w:rsidP="00533ECB">
            <w:pP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P.O. 28.21</w:t>
            </w:r>
          </w:p>
        </w:tc>
        <w:tc>
          <w:tcPr>
            <w:tcW w:w="5620" w:type="dxa"/>
            <w:gridSpan w:val="4"/>
            <w:tcBorders>
              <w:top w:val="single" w:sz="4" w:space="0" w:color="auto"/>
              <w:left w:val="nil"/>
              <w:bottom w:val="single" w:sz="4" w:space="0" w:color="auto"/>
              <w:right w:val="single" w:sz="4" w:space="0" w:color="000000"/>
            </w:tcBorders>
            <w:shd w:val="clear" w:color="auto" w:fill="auto"/>
            <w:vAlign w:val="bottom"/>
            <w:hideMark/>
          </w:tcPr>
          <w:p w:rsidR="00533ECB" w:rsidRPr="00533ECB" w:rsidRDefault="00533ECB" w:rsidP="00533ECB">
            <w:pP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Mejora del sistema de monitorización de la calidad del aire y Plataforma Smart Ambiental.</w:t>
            </w:r>
          </w:p>
        </w:tc>
        <w:tc>
          <w:tcPr>
            <w:tcW w:w="1500" w:type="dxa"/>
            <w:tcBorders>
              <w:top w:val="single" w:sz="4" w:space="0" w:color="auto"/>
              <w:left w:val="nil"/>
              <w:bottom w:val="single" w:sz="4" w:space="0" w:color="auto"/>
              <w:right w:val="single" w:sz="4" w:space="0" w:color="000000"/>
            </w:tcBorders>
            <w:shd w:val="clear" w:color="auto" w:fill="auto"/>
            <w:vAlign w:val="center"/>
            <w:hideMark/>
          </w:tcPr>
          <w:p w:rsidR="00533ECB" w:rsidRPr="00533ECB" w:rsidRDefault="00533ECB" w:rsidP="00533ECB">
            <w:pPr>
              <w:jc w:val="cente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376.984,81</w:t>
            </w:r>
          </w:p>
        </w:tc>
      </w:tr>
      <w:tr w:rsidR="00533ECB" w:rsidRPr="00533ECB" w:rsidTr="00533EC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rsidR="00533ECB" w:rsidRPr="00533ECB" w:rsidRDefault="00533ECB" w:rsidP="00533ECB">
            <w:pP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 </w:t>
            </w:r>
          </w:p>
        </w:tc>
        <w:tc>
          <w:tcPr>
            <w:tcW w:w="5620" w:type="dxa"/>
            <w:gridSpan w:val="4"/>
            <w:tcBorders>
              <w:top w:val="single" w:sz="4" w:space="0" w:color="auto"/>
              <w:left w:val="nil"/>
              <w:bottom w:val="single" w:sz="4" w:space="0" w:color="auto"/>
              <w:right w:val="nil"/>
            </w:tcBorders>
            <w:shd w:val="clear" w:color="auto" w:fill="auto"/>
            <w:vAlign w:val="center"/>
            <w:hideMark/>
          </w:tcPr>
          <w:p w:rsidR="00533ECB" w:rsidRPr="00533ECB" w:rsidRDefault="00533ECB" w:rsidP="00533ECB">
            <w:pPr>
              <w:jc w:val="cente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PUERTO DE PALMA</w:t>
            </w:r>
          </w:p>
        </w:tc>
        <w:tc>
          <w:tcPr>
            <w:tcW w:w="1500" w:type="dxa"/>
            <w:tcBorders>
              <w:top w:val="single" w:sz="4" w:space="0" w:color="auto"/>
              <w:left w:val="nil"/>
              <w:bottom w:val="single" w:sz="4" w:space="0" w:color="auto"/>
              <w:right w:val="single" w:sz="4" w:space="0" w:color="000000"/>
            </w:tcBorders>
            <w:shd w:val="clear" w:color="auto" w:fill="auto"/>
            <w:vAlign w:val="bottom"/>
            <w:hideMark/>
          </w:tcPr>
          <w:p w:rsidR="00533ECB" w:rsidRPr="00533ECB" w:rsidRDefault="00533ECB" w:rsidP="00533ECB">
            <w:pPr>
              <w:jc w:val="cente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 </w:t>
            </w:r>
          </w:p>
        </w:tc>
      </w:tr>
      <w:tr w:rsidR="00533ECB" w:rsidRPr="00533ECB" w:rsidTr="00533ECB">
        <w:trPr>
          <w:trHeight w:val="82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533ECB" w:rsidRPr="00533ECB" w:rsidRDefault="00533ECB" w:rsidP="00533ECB">
            <w:pP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P.O. 21.22</w:t>
            </w:r>
          </w:p>
        </w:tc>
        <w:tc>
          <w:tcPr>
            <w:tcW w:w="5620" w:type="dxa"/>
            <w:gridSpan w:val="4"/>
            <w:tcBorders>
              <w:top w:val="single" w:sz="4" w:space="0" w:color="auto"/>
              <w:left w:val="nil"/>
              <w:bottom w:val="single" w:sz="4" w:space="0" w:color="auto"/>
              <w:right w:val="single" w:sz="4" w:space="0" w:color="000000"/>
            </w:tcBorders>
            <w:shd w:val="clear" w:color="auto" w:fill="auto"/>
            <w:vAlign w:val="center"/>
            <w:hideMark/>
          </w:tcPr>
          <w:p w:rsidR="00533ECB" w:rsidRPr="00533ECB" w:rsidRDefault="00533ECB" w:rsidP="00533ECB">
            <w:pP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Identificación de suelos contaminados y elaboración de una propuesta para la descontaminación de la zona de Ribera de San Carlos del puerto de Palma</w:t>
            </w:r>
          </w:p>
        </w:tc>
        <w:tc>
          <w:tcPr>
            <w:tcW w:w="1500" w:type="dxa"/>
            <w:tcBorders>
              <w:top w:val="single" w:sz="4" w:space="0" w:color="auto"/>
              <w:left w:val="nil"/>
              <w:bottom w:val="single" w:sz="4" w:space="0" w:color="auto"/>
              <w:right w:val="single" w:sz="4" w:space="0" w:color="000000"/>
            </w:tcBorders>
            <w:shd w:val="clear" w:color="auto" w:fill="auto"/>
            <w:vAlign w:val="center"/>
            <w:hideMark/>
          </w:tcPr>
          <w:p w:rsidR="00533ECB" w:rsidRPr="00533ECB" w:rsidRDefault="00533ECB" w:rsidP="00533ECB">
            <w:pPr>
              <w:jc w:val="cente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12.641,00</w:t>
            </w:r>
          </w:p>
        </w:tc>
      </w:tr>
      <w:tr w:rsidR="00533ECB" w:rsidRPr="00533ECB" w:rsidTr="00533EC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rsidR="00533ECB" w:rsidRPr="00533ECB" w:rsidRDefault="00533ECB" w:rsidP="00533ECB">
            <w:pP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 </w:t>
            </w:r>
          </w:p>
        </w:tc>
        <w:tc>
          <w:tcPr>
            <w:tcW w:w="5620" w:type="dxa"/>
            <w:gridSpan w:val="4"/>
            <w:tcBorders>
              <w:top w:val="single" w:sz="4" w:space="0" w:color="auto"/>
              <w:left w:val="nil"/>
              <w:bottom w:val="single" w:sz="4" w:space="0" w:color="auto"/>
              <w:right w:val="single" w:sz="4" w:space="0" w:color="auto"/>
            </w:tcBorders>
            <w:shd w:val="clear" w:color="auto" w:fill="auto"/>
            <w:vAlign w:val="center"/>
            <w:hideMark/>
          </w:tcPr>
          <w:p w:rsidR="00533ECB" w:rsidRPr="00533ECB" w:rsidRDefault="00533ECB" w:rsidP="00533ECB">
            <w:pPr>
              <w:jc w:val="cente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PUERTO DE ALCÚDIA</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533ECB" w:rsidRPr="00533ECB" w:rsidRDefault="00533ECB" w:rsidP="00533ECB">
            <w:pPr>
              <w:jc w:val="cente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 </w:t>
            </w:r>
          </w:p>
        </w:tc>
      </w:tr>
      <w:tr w:rsidR="00533ECB" w:rsidRPr="00533ECB" w:rsidTr="00533ECB">
        <w:trPr>
          <w:trHeight w:val="46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533ECB" w:rsidRPr="00533ECB" w:rsidRDefault="00533ECB" w:rsidP="00533ECB">
            <w:pP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P.O. 21.21</w:t>
            </w:r>
          </w:p>
        </w:tc>
        <w:tc>
          <w:tcPr>
            <w:tcW w:w="5620" w:type="dxa"/>
            <w:gridSpan w:val="4"/>
            <w:tcBorders>
              <w:top w:val="single" w:sz="4" w:space="0" w:color="auto"/>
              <w:left w:val="nil"/>
              <w:bottom w:val="single" w:sz="4" w:space="0" w:color="auto"/>
              <w:right w:val="single" w:sz="4" w:space="0" w:color="000000"/>
            </w:tcBorders>
            <w:shd w:val="clear" w:color="auto" w:fill="auto"/>
            <w:vAlign w:val="center"/>
            <w:hideMark/>
          </w:tcPr>
          <w:p w:rsidR="00533ECB" w:rsidRPr="00533ECB" w:rsidRDefault="00533ECB" w:rsidP="00533ECB">
            <w:pP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Recuperación de calados en la 1A alineación de los muelles de Poniente del puerto de Alcudia</w:t>
            </w:r>
          </w:p>
        </w:tc>
        <w:tc>
          <w:tcPr>
            <w:tcW w:w="1500" w:type="dxa"/>
            <w:tcBorders>
              <w:top w:val="single" w:sz="4" w:space="0" w:color="auto"/>
              <w:left w:val="nil"/>
              <w:bottom w:val="single" w:sz="4" w:space="0" w:color="auto"/>
              <w:right w:val="single" w:sz="4" w:space="0" w:color="000000"/>
            </w:tcBorders>
            <w:shd w:val="clear" w:color="auto" w:fill="auto"/>
            <w:vAlign w:val="center"/>
            <w:hideMark/>
          </w:tcPr>
          <w:p w:rsidR="00533ECB" w:rsidRPr="00533ECB" w:rsidRDefault="00533ECB" w:rsidP="00533ECB">
            <w:pPr>
              <w:jc w:val="cente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123.452,66</w:t>
            </w:r>
          </w:p>
        </w:tc>
      </w:tr>
      <w:tr w:rsidR="00533ECB" w:rsidRPr="00533ECB" w:rsidTr="00533ECB">
        <w:trPr>
          <w:trHeight w:val="300"/>
        </w:trPr>
        <w:tc>
          <w:tcPr>
            <w:tcW w:w="1200" w:type="dxa"/>
            <w:tcBorders>
              <w:top w:val="nil"/>
              <w:left w:val="single" w:sz="4" w:space="0" w:color="auto"/>
              <w:bottom w:val="single" w:sz="4" w:space="0" w:color="auto"/>
              <w:right w:val="nil"/>
            </w:tcBorders>
            <w:shd w:val="clear" w:color="auto" w:fill="auto"/>
            <w:noWrap/>
            <w:vAlign w:val="bottom"/>
            <w:hideMark/>
          </w:tcPr>
          <w:p w:rsidR="00533ECB" w:rsidRPr="00533ECB" w:rsidRDefault="00533ECB" w:rsidP="00533ECB">
            <w:pP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 </w:t>
            </w:r>
          </w:p>
        </w:tc>
        <w:tc>
          <w:tcPr>
            <w:tcW w:w="5620" w:type="dxa"/>
            <w:gridSpan w:val="4"/>
            <w:tcBorders>
              <w:top w:val="single" w:sz="4" w:space="0" w:color="auto"/>
              <w:left w:val="nil"/>
              <w:bottom w:val="single" w:sz="4" w:space="0" w:color="auto"/>
              <w:right w:val="single" w:sz="4" w:space="0" w:color="auto"/>
            </w:tcBorders>
            <w:shd w:val="clear" w:color="auto" w:fill="auto"/>
            <w:vAlign w:val="center"/>
            <w:hideMark/>
          </w:tcPr>
          <w:p w:rsidR="00533ECB" w:rsidRPr="00533ECB" w:rsidRDefault="00533ECB" w:rsidP="00533ECB">
            <w:pPr>
              <w:jc w:val="cente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PUERTO DE MAÓ-MAHÓN</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533ECB" w:rsidRPr="00533ECB" w:rsidRDefault="00533ECB" w:rsidP="00533ECB">
            <w:pPr>
              <w:jc w:val="cente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 </w:t>
            </w:r>
          </w:p>
        </w:tc>
      </w:tr>
      <w:tr w:rsidR="00533ECB" w:rsidRPr="00533ECB" w:rsidTr="00533ECB">
        <w:trPr>
          <w:trHeight w:val="79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533ECB" w:rsidRPr="00533ECB" w:rsidRDefault="00533ECB" w:rsidP="00533ECB">
            <w:pP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lastRenderedPageBreak/>
              <w:t>P.O. 92.22</w:t>
            </w:r>
          </w:p>
        </w:tc>
        <w:tc>
          <w:tcPr>
            <w:tcW w:w="5620" w:type="dxa"/>
            <w:gridSpan w:val="4"/>
            <w:tcBorders>
              <w:top w:val="single" w:sz="4" w:space="0" w:color="auto"/>
              <w:left w:val="nil"/>
              <w:bottom w:val="single" w:sz="4" w:space="0" w:color="auto"/>
              <w:right w:val="single" w:sz="4" w:space="0" w:color="000000"/>
            </w:tcBorders>
            <w:shd w:val="clear" w:color="auto" w:fill="auto"/>
            <w:vAlign w:val="center"/>
            <w:hideMark/>
          </w:tcPr>
          <w:p w:rsidR="00533ECB" w:rsidRPr="00533ECB" w:rsidRDefault="00533ECB" w:rsidP="00533ECB">
            <w:pP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 xml:space="preserve">Translocación de colonias de Cladócera </w:t>
            </w:r>
            <w:proofErr w:type="spellStart"/>
            <w:r w:rsidRPr="00533ECB">
              <w:rPr>
                <w:rFonts w:ascii="NewBaskerville" w:hAnsi="NewBaskerville" w:cs="Calibri"/>
                <w:color w:val="000000"/>
                <w:sz w:val="18"/>
                <w:szCs w:val="18"/>
                <w:lang w:val="es-ES"/>
              </w:rPr>
              <w:t>Caespitosa</w:t>
            </w:r>
            <w:proofErr w:type="spellEnd"/>
            <w:r w:rsidRPr="00533ECB">
              <w:rPr>
                <w:rFonts w:ascii="NewBaskerville" w:hAnsi="NewBaskerville" w:cs="Calibri"/>
                <w:color w:val="000000"/>
                <w:sz w:val="18"/>
                <w:szCs w:val="18"/>
                <w:lang w:val="es-ES"/>
              </w:rPr>
              <w:t xml:space="preserve"> afectadas por las obras de los "pantalanes para embarcaciones deportivas en Cala </w:t>
            </w:r>
            <w:proofErr w:type="spellStart"/>
            <w:r w:rsidRPr="00533ECB">
              <w:rPr>
                <w:rFonts w:ascii="NewBaskerville" w:hAnsi="NewBaskerville" w:cs="Calibri"/>
                <w:color w:val="000000"/>
                <w:sz w:val="18"/>
                <w:szCs w:val="18"/>
                <w:lang w:val="es-ES"/>
              </w:rPr>
              <w:t>Corb</w:t>
            </w:r>
            <w:proofErr w:type="spellEnd"/>
            <w:r w:rsidRPr="00533ECB">
              <w:rPr>
                <w:rFonts w:ascii="NewBaskerville" w:hAnsi="NewBaskerville" w:cs="Calibri"/>
                <w:color w:val="000000"/>
                <w:sz w:val="18"/>
                <w:szCs w:val="18"/>
                <w:lang w:val="es-ES"/>
              </w:rPr>
              <w:t xml:space="preserve"> (PO 1093-G) del puerto de Mao.</w:t>
            </w:r>
          </w:p>
        </w:tc>
        <w:tc>
          <w:tcPr>
            <w:tcW w:w="1500" w:type="dxa"/>
            <w:tcBorders>
              <w:top w:val="single" w:sz="4" w:space="0" w:color="auto"/>
              <w:left w:val="nil"/>
              <w:bottom w:val="single" w:sz="4" w:space="0" w:color="auto"/>
              <w:right w:val="single" w:sz="4" w:space="0" w:color="000000"/>
            </w:tcBorders>
            <w:shd w:val="clear" w:color="auto" w:fill="auto"/>
            <w:noWrap/>
            <w:vAlign w:val="center"/>
            <w:hideMark/>
          </w:tcPr>
          <w:p w:rsidR="00533ECB" w:rsidRPr="00533ECB" w:rsidRDefault="00533ECB" w:rsidP="00533ECB">
            <w:pPr>
              <w:jc w:val="center"/>
              <w:rPr>
                <w:rFonts w:ascii="NewBaskerville" w:hAnsi="NewBaskerville" w:cs="Calibri"/>
                <w:color w:val="000000"/>
                <w:sz w:val="18"/>
                <w:szCs w:val="18"/>
                <w:lang w:val="es-ES"/>
              </w:rPr>
            </w:pPr>
            <w:r w:rsidRPr="00533ECB">
              <w:rPr>
                <w:rFonts w:ascii="NewBaskerville" w:hAnsi="NewBaskerville" w:cs="Calibri"/>
                <w:color w:val="000000"/>
                <w:sz w:val="18"/>
                <w:szCs w:val="18"/>
                <w:lang w:val="es-ES"/>
              </w:rPr>
              <w:t>63.852,13</w:t>
            </w:r>
          </w:p>
        </w:tc>
      </w:tr>
      <w:tr w:rsidR="00533ECB" w:rsidRPr="00533ECB" w:rsidTr="00533ECB">
        <w:trPr>
          <w:trHeight w:val="300"/>
        </w:trPr>
        <w:tc>
          <w:tcPr>
            <w:tcW w:w="1200" w:type="dxa"/>
            <w:tcBorders>
              <w:top w:val="nil"/>
              <w:left w:val="nil"/>
              <w:bottom w:val="nil"/>
              <w:right w:val="nil"/>
            </w:tcBorders>
            <w:shd w:val="clear" w:color="auto" w:fill="auto"/>
            <w:noWrap/>
            <w:vAlign w:val="bottom"/>
            <w:hideMark/>
          </w:tcPr>
          <w:p w:rsidR="00533ECB" w:rsidRPr="00533ECB" w:rsidRDefault="00533ECB" w:rsidP="00533ECB">
            <w:pPr>
              <w:rPr>
                <w:rFonts w:ascii="Calibri" w:hAnsi="Calibri" w:cs="Calibri"/>
                <w:color w:val="000000"/>
                <w:sz w:val="22"/>
                <w:szCs w:val="22"/>
                <w:lang w:val="es-ES"/>
              </w:rPr>
            </w:pPr>
          </w:p>
        </w:tc>
        <w:tc>
          <w:tcPr>
            <w:tcW w:w="95" w:type="dxa"/>
            <w:tcBorders>
              <w:top w:val="nil"/>
              <w:left w:val="nil"/>
              <w:bottom w:val="nil"/>
              <w:right w:val="nil"/>
            </w:tcBorders>
            <w:shd w:val="clear" w:color="auto" w:fill="auto"/>
            <w:noWrap/>
            <w:vAlign w:val="bottom"/>
            <w:hideMark/>
          </w:tcPr>
          <w:p w:rsidR="00533ECB" w:rsidRPr="00533ECB" w:rsidRDefault="00533ECB" w:rsidP="00533ECB">
            <w:pPr>
              <w:rPr>
                <w:rFonts w:ascii="Calibri" w:hAnsi="Calibri" w:cs="Calibri"/>
                <w:color w:val="000000"/>
                <w:sz w:val="22"/>
                <w:szCs w:val="22"/>
                <w:lang w:val="es-ES"/>
              </w:rPr>
            </w:pPr>
          </w:p>
        </w:tc>
        <w:tc>
          <w:tcPr>
            <w:tcW w:w="95" w:type="dxa"/>
            <w:tcBorders>
              <w:top w:val="nil"/>
              <w:left w:val="nil"/>
              <w:bottom w:val="nil"/>
              <w:right w:val="nil"/>
            </w:tcBorders>
            <w:shd w:val="clear" w:color="auto" w:fill="auto"/>
            <w:noWrap/>
            <w:vAlign w:val="bottom"/>
            <w:hideMark/>
          </w:tcPr>
          <w:p w:rsidR="00533ECB" w:rsidRPr="00533ECB" w:rsidRDefault="00533ECB" w:rsidP="00533ECB">
            <w:pPr>
              <w:rPr>
                <w:rFonts w:ascii="Calibri" w:hAnsi="Calibri" w:cs="Calibri"/>
                <w:color w:val="000000"/>
                <w:sz w:val="22"/>
                <w:szCs w:val="22"/>
                <w:lang w:val="es-ES"/>
              </w:rPr>
            </w:pPr>
          </w:p>
        </w:tc>
        <w:tc>
          <w:tcPr>
            <w:tcW w:w="95" w:type="dxa"/>
            <w:tcBorders>
              <w:top w:val="nil"/>
              <w:left w:val="nil"/>
              <w:bottom w:val="nil"/>
              <w:right w:val="nil"/>
            </w:tcBorders>
            <w:shd w:val="clear" w:color="auto" w:fill="auto"/>
            <w:noWrap/>
            <w:vAlign w:val="bottom"/>
            <w:hideMark/>
          </w:tcPr>
          <w:p w:rsidR="00533ECB" w:rsidRPr="00533ECB" w:rsidRDefault="00533ECB" w:rsidP="00533ECB">
            <w:pPr>
              <w:rPr>
                <w:rFonts w:ascii="Calibri" w:hAnsi="Calibri" w:cs="Calibri"/>
                <w:color w:val="000000"/>
                <w:sz w:val="22"/>
                <w:szCs w:val="22"/>
                <w:lang w:val="es-ES"/>
              </w:rPr>
            </w:pPr>
          </w:p>
        </w:tc>
        <w:tc>
          <w:tcPr>
            <w:tcW w:w="53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3ECB" w:rsidRPr="00533ECB" w:rsidRDefault="00533ECB" w:rsidP="00533ECB">
            <w:pPr>
              <w:jc w:val="center"/>
              <w:rPr>
                <w:rFonts w:ascii="NewBaskerville" w:hAnsi="NewBaskerville" w:cs="Calibri"/>
                <w:b/>
                <w:bCs/>
                <w:color w:val="000000"/>
                <w:sz w:val="18"/>
                <w:szCs w:val="18"/>
                <w:lang w:val="es-ES"/>
              </w:rPr>
            </w:pPr>
            <w:r w:rsidRPr="00533ECB">
              <w:rPr>
                <w:rFonts w:ascii="NewBaskerville" w:hAnsi="NewBaskerville" w:cs="Calibri"/>
                <w:b/>
                <w:bCs/>
                <w:color w:val="000000"/>
                <w:sz w:val="18"/>
                <w:szCs w:val="18"/>
                <w:lang w:val="es-ES"/>
              </w:rPr>
              <w:t>Total</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rsidR="00533ECB" w:rsidRPr="00533ECB" w:rsidRDefault="00533ECB" w:rsidP="00533ECB">
            <w:pPr>
              <w:jc w:val="center"/>
              <w:rPr>
                <w:rFonts w:ascii="NewBaskerville" w:hAnsi="NewBaskerville" w:cs="Calibri"/>
                <w:b/>
                <w:bCs/>
                <w:color w:val="000000"/>
                <w:sz w:val="18"/>
                <w:szCs w:val="18"/>
                <w:lang w:val="es-ES"/>
              </w:rPr>
            </w:pPr>
            <w:r w:rsidRPr="00533ECB">
              <w:rPr>
                <w:rFonts w:ascii="NewBaskerville" w:hAnsi="NewBaskerville" w:cs="Calibri"/>
                <w:b/>
                <w:bCs/>
                <w:color w:val="000000"/>
                <w:sz w:val="18"/>
                <w:szCs w:val="18"/>
                <w:lang w:val="es-ES"/>
              </w:rPr>
              <w:t>592.236,72</w:t>
            </w:r>
          </w:p>
        </w:tc>
      </w:tr>
    </w:tbl>
    <w:p w:rsidR="00AB0F64" w:rsidRDefault="00AB0F64" w:rsidP="0081769D">
      <w:pPr>
        <w:tabs>
          <w:tab w:val="right" w:pos="8364"/>
        </w:tabs>
        <w:jc w:val="both"/>
        <w:rPr>
          <w:rFonts w:ascii="NewBaskerville" w:hAnsi="NewBaskerville"/>
          <w:b/>
          <w:bCs/>
          <w:sz w:val="24"/>
          <w:szCs w:val="24"/>
        </w:rPr>
      </w:pPr>
    </w:p>
    <w:p w:rsidR="00AB0F64" w:rsidRDefault="00AB0F64" w:rsidP="0081769D">
      <w:pPr>
        <w:tabs>
          <w:tab w:val="right" w:pos="8364"/>
        </w:tabs>
        <w:jc w:val="both"/>
        <w:rPr>
          <w:rFonts w:ascii="NewBaskerville" w:hAnsi="NewBaskerville"/>
          <w:b/>
          <w:bCs/>
          <w:sz w:val="24"/>
          <w:szCs w:val="24"/>
        </w:rPr>
      </w:pPr>
    </w:p>
    <w:p w:rsidR="00FE620A" w:rsidRDefault="002C4355" w:rsidP="0081769D">
      <w:pPr>
        <w:tabs>
          <w:tab w:val="right" w:pos="8364"/>
        </w:tabs>
        <w:jc w:val="both"/>
        <w:rPr>
          <w:rFonts w:ascii="NewBaskerville" w:hAnsi="NewBaskerville"/>
          <w:b/>
          <w:bCs/>
          <w:sz w:val="24"/>
          <w:szCs w:val="24"/>
        </w:rPr>
      </w:pPr>
      <w:r w:rsidRPr="00951BCB">
        <w:rPr>
          <w:rFonts w:ascii="NewBaskerville" w:hAnsi="NewBaskerville"/>
          <w:b/>
          <w:bCs/>
          <w:sz w:val="24"/>
          <w:szCs w:val="24"/>
        </w:rPr>
        <w:t>1</w:t>
      </w:r>
      <w:r w:rsidR="000542C8" w:rsidRPr="00951BCB">
        <w:rPr>
          <w:rFonts w:ascii="NewBaskerville" w:hAnsi="NewBaskerville"/>
          <w:b/>
          <w:bCs/>
          <w:sz w:val="24"/>
          <w:szCs w:val="24"/>
        </w:rPr>
        <w:t>4</w:t>
      </w:r>
      <w:r w:rsidR="002019D4" w:rsidRPr="00951BCB">
        <w:rPr>
          <w:rFonts w:ascii="NewBaskerville" w:hAnsi="NewBaskerville"/>
          <w:b/>
          <w:bCs/>
          <w:sz w:val="24"/>
          <w:szCs w:val="24"/>
        </w:rPr>
        <w:t xml:space="preserve">. </w:t>
      </w:r>
      <w:r w:rsidRPr="00951BCB">
        <w:rPr>
          <w:rFonts w:ascii="NewBaskerville" w:hAnsi="NewBaskerville"/>
          <w:b/>
          <w:bCs/>
          <w:sz w:val="24"/>
          <w:szCs w:val="24"/>
        </w:rPr>
        <w:t>Ingresos y gastos</w:t>
      </w:r>
    </w:p>
    <w:p w:rsidR="00AB0F64" w:rsidRPr="00951BCB" w:rsidRDefault="00AB0F64" w:rsidP="0081769D">
      <w:pPr>
        <w:tabs>
          <w:tab w:val="right" w:pos="8364"/>
        </w:tabs>
        <w:jc w:val="both"/>
        <w:rPr>
          <w:rFonts w:ascii="NewBaskerville" w:hAnsi="NewBaskerville"/>
          <w:b/>
          <w:bCs/>
          <w:sz w:val="24"/>
          <w:szCs w:val="24"/>
        </w:rPr>
      </w:pPr>
    </w:p>
    <w:p w:rsidR="00FE620A" w:rsidRPr="00846803" w:rsidRDefault="00FE620A" w:rsidP="00FE620A">
      <w:pPr>
        <w:tabs>
          <w:tab w:val="right" w:pos="8222"/>
        </w:tabs>
        <w:jc w:val="both"/>
        <w:rPr>
          <w:b/>
          <w:bCs/>
        </w:rPr>
      </w:pPr>
    </w:p>
    <w:p w:rsidR="002C4355" w:rsidRPr="00AB7095" w:rsidRDefault="002C4355" w:rsidP="00AB7095">
      <w:pPr>
        <w:pStyle w:val="Prrafodelista"/>
        <w:numPr>
          <w:ilvl w:val="0"/>
          <w:numId w:val="49"/>
        </w:numPr>
        <w:tabs>
          <w:tab w:val="right" w:pos="8364"/>
        </w:tabs>
        <w:jc w:val="both"/>
        <w:rPr>
          <w:rFonts w:ascii="NewBaskerville" w:hAnsi="NewBaskerville"/>
          <w:b/>
          <w:bCs/>
          <w:sz w:val="22"/>
        </w:rPr>
      </w:pPr>
      <w:r w:rsidRPr="00AB7095">
        <w:rPr>
          <w:rFonts w:ascii="NewBaskerville" w:hAnsi="NewBaskerville"/>
          <w:b/>
          <w:bCs/>
          <w:sz w:val="22"/>
        </w:rPr>
        <w:t>Gastos</w:t>
      </w:r>
    </w:p>
    <w:p w:rsidR="00AB7095" w:rsidRPr="00AB7095" w:rsidRDefault="00AB7095" w:rsidP="00AB7095">
      <w:pPr>
        <w:pStyle w:val="Prrafodelista"/>
        <w:tabs>
          <w:tab w:val="right" w:pos="8364"/>
        </w:tabs>
        <w:ind w:left="720"/>
        <w:jc w:val="both"/>
        <w:rPr>
          <w:rFonts w:ascii="NewBaskerville" w:hAnsi="NewBaskerville"/>
          <w:b/>
          <w:bCs/>
          <w:sz w:val="22"/>
        </w:rPr>
      </w:pPr>
    </w:p>
    <w:p w:rsidR="002C4355" w:rsidRPr="00846803" w:rsidRDefault="002C4355">
      <w:pPr>
        <w:tabs>
          <w:tab w:val="right" w:pos="8222"/>
        </w:tabs>
        <w:jc w:val="both"/>
        <w:rPr>
          <w:b/>
          <w:bCs/>
        </w:rPr>
      </w:pPr>
    </w:p>
    <w:p w:rsidR="002C4355" w:rsidRPr="00951BCB" w:rsidRDefault="002019D4" w:rsidP="002019D4">
      <w:pPr>
        <w:tabs>
          <w:tab w:val="right" w:pos="8364"/>
        </w:tabs>
        <w:ind w:left="567" w:hanging="567"/>
        <w:jc w:val="both"/>
        <w:rPr>
          <w:rFonts w:ascii="NewBaskerville" w:hAnsi="NewBaskerville"/>
          <w:bCs/>
        </w:rPr>
      </w:pPr>
      <w:r w:rsidRPr="00951BCB">
        <w:rPr>
          <w:rFonts w:ascii="NewBaskerville" w:hAnsi="NewBaskerville"/>
          <w:bCs/>
        </w:rPr>
        <w:tab/>
      </w:r>
      <w:r w:rsidR="00192EA6" w:rsidRPr="00951BCB">
        <w:rPr>
          <w:rFonts w:ascii="NewBaskerville" w:hAnsi="NewBaskerville"/>
          <w:bCs/>
        </w:rPr>
        <w:t>a.1)</w:t>
      </w:r>
      <w:r w:rsidR="00AC6040" w:rsidRPr="00951BCB">
        <w:rPr>
          <w:rFonts w:ascii="NewBaskerville" w:hAnsi="NewBaskerville"/>
          <w:bCs/>
        </w:rPr>
        <w:t xml:space="preserve"> </w:t>
      </w:r>
      <w:r w:rsidR="002C4355" w:rsidRPr="00951BCB">
        <w:rPr>
          <w:rFonts w:ascii="NewBaskerville" w:hAnsi="NewBaskerville"/>
          <w:bCs/>
        </w:rPr>
        <w:t>Consumos:</w:t>
      </w:r>
    </w:p>
    <w:p w:rsidR="002C4355" w:rsidRPr="00951BCB" w:rsidRDefault="002C4355" w:rsidP="00AC6040">
      <w:pPr>
        <w:pStyle w:val="Textoindependiente2"/>
        <w:ind w:left="360"/>
        <w:rPr>
          <w:rFonts w:ascii="NewBaskerville" w:hAnsi="NewBaskerville"/>
          <w:bCs w:val="0"/>
          <w:sz w:val="20"/>
          <w:szCs w:val="20"/>
        </w:rPr>
      </w:pPr>
    </w:p>
    <w:p w:rsidR="005B3620" w:rsidRDefault="002C4355" w:rsidP="00D45E66">
      <w:pPr>
        <w:pStyle w:val="Sangradetextonormal"/>
        <w:tabs>
          <w:tab w:val="clear" w:pos="8364"/>
          <w:tab w:val="right" w:pos="8222"/>
        </w:tabs>
        <w:rPr>
          <w:rFonts w:ascii="NewBaskerville" w:hAnsi="NewBaskerville"/>
          <w:sz w:val="20"/>
        </w:rPr>
      </w:pPr>
      <w:r w:rsidRPr="00951BCB">
        <w:rPr>
          <w:rFonts w:ascii="NewBaskerville" w:hAnsi="NewBaskerville"/>
          <w:sz w:val="20"/>
        </w:rPr>
        <w:t xml:space="preserve">De acuerdo con las instrucciones de Puertos del Estado los consumos se </w:t>
      </w:r>
      <w:r w:rsidR="00836DC0" w:rsidRPr="00951BCB">
        <w:rPr>
          <w:rFonts w:ascii="NewBaskerville" w:hAnsi="NewBaskerville"/>
          <w:sz w:val="20"/>
        </w:rPr>
        <w:t xml:space="preserve">reflejan en la partida </w:t>
      </w:r>
      <w:r w:rsidR="008155BC" w:rsidRPr="00951BCB">
        <w:rPr>
          <w:rFonts w:ascii="NewBaskerville" w:hAnsi="NewBaskerville"/>
          <w:sz w:val="20"/>
        </w:rPr>
        <w:t>reparaciones</w:t>
      </w:r>
      <w:r w:rsidR="00836DC0" w:rsidRPr="00951BCB">
        <w:rPr>
          <w:rFonts w:ascii="NewBaskerville" w:hAnsi="NewBaskerville"/>
          <w:sz w:val="20"/>
        </w:rPr>
        <w:t xml:space="preserve"> y conservación</w:t>
      </w:r>
      <w:r w:rsidRPr="00951BCB">
        <w:rPr>
          <w:rFonts w:ascii="NewBaskerville" w:hAnsi="NewBaskerville"/>
          <w:sz w:val="20"/>
        </w:rPr>
        <w:t xml:space="preserve"> de Servicios Exteriores </w:t>
      </w:r>
      <w:r w:rsidR="00836DC0" w:rsidRPr="00951BCB">
        <w:rPr>
          <w:rFonts w:ascii="NewBaskerville" w:hAnsi="NewBaskerville"/>
          <w:sz w:val="20"/>
        </w:rPr>
        <w:t>de la cuenta de Pérdidas y Ganancias ya que todas las compras tiene esta finalidad</w:t>
      </w:r>
      <w:r w:rsidR="00D94E99" w:rsidRPr="00951BCB">
        <w:rPr>
          <w:rFonts w:ascii="NewBaskerville" w:hAnsi="NewBaskerville"/>
          <w:sz w:val="20"/>
        </w:rPr>
        <w:t>.</w:t>
      </w:r>
      <w:r w:rsidR="00836DC0" w:rsidRPr="00951BCB">
        <w:rPr>
          <w:rFonts w:ascii="NewBaskerville" w:hAnsi="NewBaskerville"/>
          <w:sz w:val="20"/>
        </w:rPr>
        <w:t xml:space="preserve"> </w:t>
      </w:r>
      <w:r w:rsidR="009519EE" w:rsidRPr="00951BCB">
        <w:rPr>
          <w:rFonts w:ascii="NewBaskerville" w:hAnsi="NewBaskerville"/>
          <w:sz w:val="20"/>
        </w:rPr>
        <w:t>Su desglose en 202</w:t>
      </w:r>
      <w:r w:rsidR="00AB0F64">
        <w:rPr>
          <w:rFonts w:ascii="NewBaskerville" w:hAnsi="NewBaskerville"/>
          <w:sz w:val="20"/>
        </w:rPr>
        <w:t>3</w:t>
      </w:r>
      <w:r w:rsidRPr="00951BCB">
        <w:rPr>
          <w:rFonts w:ascii="NewBaskerville" w:hAnsi="NewBaskerville"/>
          <w:sz w:val="20"/>
        </w:rPr>
        <w:t xml:space="preserve"> y 20</w:t>
      </w:r>
      <w:r w:rsidR="009519EE" w:rsidRPr="00951BCB">
        <w:rPr>
          <w:rFonts w:ascii="NewBaskerville" w:hAnsi="NewBaskerville"/>
          <w:sz w:val="20"/>
        </w:rPr>
        <w:t>2</w:t>
      </w:r>
      <w:r w:rsidR="00AB0F64">
        <w:rPr>
          <w:rFonts w:ascii="NewBaskerville" w:hAnsi="NewBaskerville"/>
          <w:sz w:val="20"/>
        </w:rPr>
        <w:t>2</w:t>
      </w:r>
      <w:r w:rsidRPr="00951BCB">
        <w:rPr>
          <w:rFonts w:ascii="NewBaskerville" w:hAnsi="NewBaskerville"/>
          <w:sz w:val="20"/>
        </w:rPr>
        <w:t xml:space="preserve"> es el </w:t>
      </w:r>
      <w:r w:rsidR="00D45E66" w:rsidRPr="00951BCB">
        <w:rPr>
          <w:rFonts w:ascii="NewBaskerville" w:hAnsi="NewBaskerville"/>
          <w:sz w:val="20"/>
        </w:rPr>
        <w:t>siguiente</w:t>
      </w:r>
      <w:r w:rsidR="00AB0F64">
        <w:rPr>
          <w:rFonts w:ascii="NewBaskerville" w:hAnsi="NewBaskerville"/>
          <w:sz w:val="20"/>
        </w:rPr>
        <w:t>:</w:t>
      </w:r>
    </w:p>
    <w:p w:rsidR="006F550B" w:rsidRPr="00951BCB" w:rsidRDefault="006F550B" w:rsidP="00D45E66">
      <w:pPr>
        <w:pStyle w:val="Sangradetextonormal"/>
        <w:tabs>
          <w:tab w:val="clear" w:pos="8364"/>
          <w:tab w:val="right" w:pos="8222"/>
        </w:tabs>
        <w:rPr>
          <w:rFonts w:ascii="NewBaskerville" w:hAnsi="NewBaskerville"/>
          <w:sz w:val="20"/>
        </w:rPr>
      </w:pPr>
    </w:p>
    <w:tbl>
      <w:tblPr>
        <w:tblW w:w="5000" w:type="pct"/>
        <w:tblCellMar>
          <w:left w:w="70" w:type="dxa"/>
          <w:right w:w="70" w:type="dxa"/>
        </w:tblCellMar>
        <w:tblLook w:val="04A0" w:firstRow="1" w:lastRow="0" w:firstColumn="1" w:lastColumn="0" w:noHBand="0" w:noVBand="1"/>
      </w:tblPr>
      <w:tblGrid>
        <w:gridCol w:w="2882"/>
        <w:gridCol w:w="2882"/>
        <w:gridCol w:w="2880"/>
      </w:tblGrid>
      <w:tr w:rsidR="006F550B" w:rsidRPr="006F550B" w:rsidTr="006F550B">
        <w:trPr>
          <w:trHeight w:val="300"/>
        </w:trPr>
        <w:tc>
          <w:tcPr>
            <w:tcW w:w="1667" w:type="pct"/>
            <w:tcBorders>
              <w:top w:val="single" w:sz="4" w:space="0" w:color="000000"/>
              <w:left w:val="single" w:sz="4" w:space="0" w:color="000000"/>
              <w:bottom w:val="single" w:sz="4" w:space="0" w:color="000000"/>
              <w:right w:val="single" w:sz="4" w:space="0" w:color="000000"/>
            </w:tcBorders>
            <w:shd w:val="clear" w:color="000000" w:fill="CCFFCC"/>
            <w:vAlign w:val="center"/>
            <w:hideMark/>
          </w:tcPr>
          <w:p w:rsidR="006F550B" w:rsidRPr="006F550B" w:rsidRDefault="006F550B" w:rsidP="006F550B">
            <w:pPr>
              <w:jc w:val="center"/>
              <w:rPr>
                <w:rFonts w:ascii="Lucida Bright" w:hAnsi="Lucida Bright" w:cs="Calibri"/>
                <w:b/>
                <w:bCs/>
                <w:sz w:val="14"/>
                <w:szCs w:val="14"/>
                <w:lang w:val="es-ES"/>
              </w:rPr>
            </w:pPr>
            <w:r w:rsidRPr="006F550B">
              <w:rPr>
                <w:rFonts w:ascii="Lucida Bright" w:hAnsi="Lucida Bright" w:cs="Calibri"/>
                <w:b/>
                <w:bCs/>
                <w:sz w:val="14"/>
                <w:szCs w:val="14"/>
                <w:lang w:val="es-ES"/>
              </w:rPr>
              <w:t>Concepto</w:t>
            </w:r>
          </w:p>
        </w:tc>
        <w:tc>
          <w:tcPr>
            <w:tcW w:w="1667" w:type="pct"/>
            <w:tcBorders>
              <w:top w:val="single" w:sz="4" w:space="0" w:color="000000"/>
              <w:left w:val="nil"/>
              <w:bottom w:val="single" w:sz="4" w:space="0" w:color="000000"/>
              <w:right w:val="single" w:sz="4" w:space="0" w:color="000000"/>
            </w:tcBorders>
            <w:shd w:val="clear" w:color="000000" w:fill="CCFFCC"/>
            <w:noWrap/>
            <w:vAlign w:val="center"/>
            <w:hideMark/>
          </w:tcPr>
          <w:p w:rsidR="006F550B" w:rsidRPr="006F550B" w:rsidRDefault="006F550B" w:rsidP="006F550B">
            <w:pPr>
              <w:jc w:val="center"/>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2023</w:t>
            </w:r>
          </w:p>
        </w:tc>
        <w:tc>
          <w:tcPr>
            <w:tcW w:w="1667" w:type="pct"/>
            <w:tcBorders>
              <w:top w:val="single" w:sz="4" w:space="0" w:color="000000"/>
              <w:left w:val="nil"/>
              <w:bottom w:val="single" w:sz="4" w:space="0" w:color="000000"/>
              <w:right w:val="single" w:sz="4" w:space="0" w:color="000000"/>
            </w:tcBorders>
            <w:shd w:val="clear" w:color="000000" w:fill="CCFFCC"/>
            <w:noWrap/>
            <w:vAlign w:val="center"/>
            <w:hideMark/>
          </w:tcPr>
          <w:p w:rsidR="006F550B" w:rsidRPr="006F550B" w:rsidRDefault="006F550B" w:rsidP="006F550B">
            <w:pPr>
              <w:jc w:val="center"/>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2022</w:t>
            </w:r>
          </w:p>
        </w:tc>
      </w:tr>
      <w:tr w:rsidR="006F550B" w:rsidRPr="006F550B" w:rsidTr="006F550B">
        <w:trPr>
          <w:trHeight w:val="330"/>
        </w:trPr>
        <w:tc>
          <w:tcPr>
            <w:tcW w:w="1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550B" w:rsidRPr="006F550B" w:rsidRDefault="006F550B" w:rsidP="006F550B">
            <w:pPr>
              <w:rPr>
                <w:rFonts w:ascii="Lucida Bright" w:hAnsi="Lucida Bright" w:cs="Calibri"/>
                <w:sz w:val="14"/>
                <w:szCs w:val="14"/>
                <w:lang w:val="es-ES"/>
              </w:rPr>
            </w:pPr>
            <w:r w:rsidRPr="006F550B">
              <w:rPr>
                <w:rFonts w:ascii="Lucida Bright" w:hAnsi="Lucida Bright" w:cs="Calibri"/>
                <w:sz w:val="14"/>
                <w:szCs w:val="14"/>
                <w:lang w:val="es-ES"/>
              </w:rPr>
              <w:t>Compras de materiales de reparación y conservación</w:t>
            </w:r>
          </w:p>
        </w:tc>
        <w:tc>
          <w:tcPr>
            <w:tcW w:w="1667" w:type="pct"/>
            <w:tcBorders>
              <w:top w:val="single" w:sz="4" w:space="0" w:color="000000"/>
              <w:left w:val="nil"/>
              <w:bottom w:val="single" w:sz="4" w:space="0" w:color="000000"/>
              <w:right w:val="single" w:sz="4" w:space="0" w:color="000000"/>
            </w:tcBorders>
            <w:shd w:val="clear" w:color="auto" w:fill="auto"/>
            <w:noWrap/>
            <w:vAlign w:val="center"/>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212.653,07</w:t>
            </w:r>
          </w:p>
        </w:tc>
        <w:tc>
          <w:tcPr>
            <w:tcW w:w="1667" w:type="pct"/>
            <w:tcBorders>
              <w:top w:val="single" w:sz="4" w:space="0" w:color="000000"/>
              <w:left w:val="nil"/>
              <w:bottom w:val="single" w:sz="4" w:space="0" w:color="000000"/>
              <w:right w:val="single" w:sz="4" w:space="0" w:color="000000"/>
            </w:tcBorders>
            <w:shd w:val="clear" w:color="auto" w:fill="auto"/>
            <w:noWrap/>
            <w:vAlign w:val="center"/>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160.544,12</w:t>
            </w:r>
          </w:p>
        </w:tc>
      </w:tr>
      <w:tr w:rsidR="006F550B" w:rsidRPr="006F550B" w:rsidTr="006F550B">
        <w:trPr>
          <w:trHeight w:val="330"/>
        </w:trPr>
        <w:tc>
          <w:tcPr>
            <w:tcW w:w="1667" w:type="pct"/>
            <w:tcBorders>
              <w:top w:val="single" w:sz="4" w:space="0" w:color="000000"/>
              <w:left w:val="single" w:sz="4" w:space="0" w:color="000000"/>
              <w:bottom w:val="nil"/>
              <w:right w:val="single" w:sz="4" w:space="0" w:color="000000"/>
            </w:tcBorders>
            <w:shd w:val="clear" w:color="auto" w:fill="auto"/>
            <w:vAlign w:val="center"/>
            <w:hideMark/>
          </w:tcPr>
          <w:p w:rsidR="006F550B" w:rsidRPr="006F550B" w:rsidRDefault="006F550B" w:rsidP="006F550B">
            <w:pPr>
              <w:rPr>
                <w:rFonts w:ascii="Lucida Bright" w:hAnsi="Lucida Bright" w:cs="Calibri"/>
                <w:sz w:val="14"/>
                <w:szCs w:val="14"/>
                <w:lang w:val="es-ES"/>
              </w:rPr>
            </w:pPr>
            <w:r w:rsidRPr="006F550B">
              <w:rPr>
                <w:rFonts w:ascii="Lucida Bright" w:hAnsi="Lucida Bright" w:cs="Calibri"/>
                <w:sz w:val="14"/>
                <w:szCs w:val="14"/>
                <w:lang w:val="es-ES"/>
              </w:rPr>
              <w:t>Variación de existencias</w:t>
            </w:r>
          </w:p>
        </w:tc>
        <w:tc>
          <w:tcPr>
            <w:tcW w:w="1667" w:type="pct"/>
            <w:tcBorders>
              <w:top w:val="single" w:sz="4" w:space="0" w:color="000000"/>
              <w:left w:val="nil"/>
              <w:bottom w:val="single" w:sz="4" w:space="0" w:color="000000"/>
              <w:right w:val="single" w:sz="4" w:space="0" w:color="000000"/>
            </w:tcBorders>
            <w:shd w:val="clear" w:color="auto" w:fill="auto"/>
            <w:noWrap/>
            <w:vAlign w:val="center"/>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1.660,96</w:t>
            </w:r>
          </w:p>
        </w:tc>
        <w:tc>
          <w:tcPr>
            <w:tcW w:w="1667" w:type="pct"/>
            <w:tcBorders>
              <w:top w:val="single" w:sz="4" w:space="0" w:color="000000"/>
              <w:left w:val="nil"/>
              <w:bottom w:val="single" w:sz="4" w:space="0" w:color="000000"/>
              <w:right w:val="single" w:sz="4" w:space="0" w:color="000000"/>
            </w:tcBorders>
            <w:shd w:val="clear" w:color="auto" w:fill="auto"/>
            <w:noWrap/>
            <w:vAlign w:val="center"/>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11.869,21</w:t>
            </w:r>
          </w:p>
        </w:tc>
      </w:tr>
      <w:tr w:rsidR="006F550B" w:rsidRPr="006F550B" w:rsidTr="006F550B">
        <w:trPr>
          <w:trHeight w:val="330"/>
        </w:trPr>
        <w:tc>
          <w:tcPr>
            <w:tcW w:w="1667" w:type="pct"/>
            <w:tcBorders>
              <w:top w:val="single" w:sz="4" w:space="0" w:color="auto"/>
              <w:left w:val="single" w:sz="4" w:space="0" w:color="auto"/>
              <w:bottom w:val="single" w:sz="4" w:space="0" w:color="auto"/>
              <w:right w:val="single" w:sz="4" w:space="0" w:color="000000"/>
            </w:tcBorders>
            <w:shd w:val="clear" w:color="auto" w:fill="auto"/>
            <w:vAlign w:val="center"/>
            <w:hideMark/>
          </w:tcPr>
          <w:p w:rsidR="006F550B" w:rsidRPr="006F550B" w:rsidRDefault="006F550B" w:rsidP="006F550B">
            <w:pPr>
              <w:rPr>
                <w:rFonts w:ascii="Lucida Bright" w:hAnsi="Lucida Bright" w:cs="Calibri"/>
                <w:b/>
                <w:bCs/>
                <w:sz w:val="14"/>
                <w:szCs w:val="14"/>
                <w:lang w:val="es-ES"/>
              </w:rPr>
            </w:pPr>
            <w:r w:rsidRPr="006F550B">
              <w:rPr>
                <w:rFonts w:ascii="Lucida Bright" w:hAnsi="Lucida Bright" w:cs="Calibri"/>
                <w:b/>
                <w:bCs/>
                <w:sz w:val="14"/>
                <w:szCs w:val="14"/>
                <w:lang w:val="es-ES"/>
              </w:rPr>
              <w:t>Total</w:t>
            </w:r>
          </w:p>
        </w:tc>
        <w:tc>
          <w:tcPr>
            <w:tcW w:w="1667" w:type="pct"/>
            <w:tcBorders>
              <w:top w:val="single" w:sz="4" w:space="0" w:color="000000"/>
              <w:left w:val="nil"/>
              <w:bottom w:val="single" w:sz="4" w:space="0" w:color="auto"/>
              <w:right w:val="single" w:sz="4" w:space="0" w:color="000000"/>
            </w:tcBorders>
            <w:shd w:val="clear" w:color="auto" w:fill="auto"/>
            <w:noWrap/>
            <w:vAlign w:val="center"/>
            <w:hideMark/>
          </w:tcPr>
          <w:p w:rsidR="006F550B" w:rsidRPr="006F550B" w:rsidRDefault="006F550B" w:rsidP="006F550B">
            <w:pPr>
              <w:jc w:val="right"/>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214.314,03</w:t>
            </w:r>
          </w:p>
        </w:tc>
        <w:tc>
          <w:tcPr>
            <w:tcW w:w="1667" w:type="pct"/>
            <w:tcBorders>
              <w:top w:val="single" w:sz="4" w:space="0" w:color="000000"/>
              <w:left w:val="nil"/>
              <w:bottom w:val="single" w:sz="4" w:space="0" w:color="auto"/>
              <w:right w:val="single" w:sz="4" w:space="0" w:color="000000"/>
            </w:tcBorders>
            <w:shd w:val="clear" w:color="auto" w:fill="auto"/>
            <w:noWrap/>
            <w:vAlign w:val="center"/>
            <w:hideMark/>
          </w:tcPr>
          <w:p w:rsidR="006F550B" w:rsidRPr="006F550B" w:rsidRDefault="006F550B" w:rsidP="006F550B">
            <w:pPr>
              <w:jc w:val="right"/>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172.413,33</w:t>
            </w:r>
          </w:p>
        </w:tc>
      </w:tr>
    </w:tbl>
    <w:p w:rsidR="00074931" w:rsidRPr="00846803" w:rsidRDefault="00074931" w:rsidP="00D45E66">
      <w:pPr>
        <w:pStyle w:val="Sangradetextonormal"/>
        <w:tabs>
          <w:tab w:val="clear" w:pos="8364"/>
          <w:tab w:val="right" w:pos="8222"/>
        </w:tabs>
        <w:rPr>
          <w:sz w:val="20"/>
        </w:rPr>
      </w:pPr>
    </w:p>
    <w:p w:rsidR="00074931" w:rsidRDefault="00074931">
      <w:pPr>
        <w:tabs>
          <w:tab w:val="right" w:pos="8364"/>
        </w:tabs>
        <w:jc w:val="both"/>
      </w:pPr>
    </w:p>
    <w:p w:rsidR="002E1C3E" w:rsidRDefault="002019D4" w:rsidP="00357986">
      <w:pPr>
        <w:tabs>
          <w:tab w:val="right" w:pos="8364"/>
        </w:tabs>
        <w:ind w:left="567" w:hanging="567"/>
        <w:jc w:val="both"/>
      </w:pPr>
      <w:bookmarkStart w:id="2" w:name="_Hlk4421662"/>
      <w:r>
        <w:rPr>
          <w:bCs/>
        </w:rPr>
        <w:tab/>
      </w:r>
      <w:bookmarkEnd w:id="2"/>
    </w:p>
    <w:p w:rsidR="002C4355" w:rsidRPr="00AC6040" w:rsidRDefault="002D2A8D" w:rsidP="002019D4">
      <w:pPr>
        <w:tabs>
          <w:tab w:val="right" w:pos="8364"/>
        </w:tabs>
        <w:ind w:left="567" w:hanging="567"/>
        <w:jc w:val="both"/>
        <w:rPr>
          <w:bCs/>
        </w:rPr>
      </w:pPr>
      <w:r>
        <w:rPr>
          <w:bCs/>
        </w:rPr>
        <w:tab/>
      </w:r>
      <w:r w:rsidR="00BE2A0A">
        <w:rPr>
          <w:bCs/>
        </w:rPr>
        <w:t>a.2</w:t>
      </w:r>
      <w:r w:rsidR="00192EA6">
        <w:rPr>
          <w:bCs/>
        </w:rPr>
        <w:t xml:space="preserve">) </w:t>
      </w:r>
      <w:r w:rsidR="002C4355" w:rsidRPr="00846803">
        <w:rPr>
          <w:bCs/>
        </w:rPr>
        <w:t>Cargas sociales</w:t>
      </w:r>
      <w:r w:rsidR="002C4355" w:rsidRPr="00AC6040">
        <w:rPr>
          <w:bCs/>
        </w:rPr>
        <w:t xml:space="preserve"> </w:t>
      </w:r>
    </w:p>
    <w:p w:rsidR="002C4355" w:rsidRPr="00951BCB" w:rsidRDefault="002C4355" w:rsidP="00EF6B46">
      <w:pPr>
        <w:tabs>
          <w:tab w:val="right" w:pos="8364"/>
        </w:tabs>
        <w:jc w:val="both"/>
        <w:rPr>
          <w:rFonts w:ascii="NewBaskerville" w:hAnsi="NewBaskerville"/>
          <w:b/>
        </w:rPr>
      </w:pPr>
    </w:p>
    <w:p w:rsidR="002C4355" w:rsidRDefault="002C4355">
      <w:pPr>
        <w:pStyle w:val="Sangra3detindependiente"/>
        <w:tabs>
          <w:tab w:val="clear" w:pos="5671"/>
          <w:tab w:val="clear" w:pos="7797"/>
          <w:tab w:val="right" w:pos="8364"/>
        </w:tabs>
        <w:rPr>
          <w:rFonts w:ascii="NewBaskerville" w:hAnsi="NewBaskerville"/>
          <w:bCs/>
          <w:sz w:val="20"/>
          <w:szCs w:val="20"/>
        </w:rPr>
      </w:pPr>
      <w:r w:rsidRPr="00951BCB">
        <w:rPr>
          <w:rFonts w:ascii="NewBaskerville" w:hAnsi="NewBaskerville"/>
          <w:bCs/>
          <w:sz w:val="20"/>
          <w:szCs w:val="20"/>
        </w:rPr>
        <w:t>El desglose de esta partida de la cuent</w:t>
      </w:r>
      <w:r w:rsidR="000274DE" w:rsidRPr="00951BCB">
        <w:rPr>
          <w:rFonts w:ascii="NewBaskerville" w:hAnsi="NewBaskerville"/>
          <w:bCs/>
          <w:sz w:val="20"/>
          <w:szCs w:val="20"/>
        </w:rPr>
        <w:t>a</w:t>
      </w:r>
      <w:r w:rsidR="00DF7304" w:rsidRPr="00951BCB">
        <w:rPr>
          <w:rFonts w:ascii="NewBaskerville" w:hAnsi="NewBaskerville"/>
          <w:bCs/>
          <w:sz w:val="20"/>
          <w:szCs w:val="20"/>
        </w:rPr>
        <w:t xml:space="preserve"> de pérdidas y ganancias en 202</w:t>
      </w:r>
      <w:r w:rsidR="009423E1">
        <w:rPr>
          <w:rFonts w:ascii="NewBaskerville" w:hAnsi="NewBaskerville"/>
          <w:bCs/>
          <w:sz w:val="20"/>
          <w:szCs w:val="20"/>
        </w:rPr>
        <w:t>3</w:t>
      </w:r>
      <w:r w:rsidR="008C2E68" w:rsidRPr="00951BCB">
        <w:rPr>
          <w:rFonts w:ascii="NewBaskerville" w:hAnsi="NewBaskerville"/>
          <w:bCs/>
          <w:sz w:val="20"/>
          <w:szCs w:val="20"/>
        </w:rPr>
        <w:t xml:space="preserve"> </w:t>
      </w:r>
      <w:r w:rsidR="00DF7304" w:rsidRPr="00951BCB">
        <w:rPr>
          <w:rFonts w:ascii="NewBaskerville" w:hAnsi="NewBaskerville"/>
          <w:bCs/>
          <w:sz w:val="20"/>
          <w:szCs w:val="20"/>
        </w:rPr>
        <w:t>y 202</w:t>
      </w:r>
      <w:r w:rsidR="009423E1">
        <w:rPr>
          <w:rFonts w:ascii="NewBaskerville" w:hAnsi="NewBaskerville"/>
          <w:bCs/>
          <w:sz w:val="20"/>
          <w:szCs w:val="20"/>
        </w:rPr>
        <w:t>2</w:t>
      </w:r>
      <w:r w:rsidRPr="00951BCB">
        <w:rPr>
          <w:rFonts w:ascii="NewBaskerville" w:hAnsi="NewBaskerville"/>
          <w:bCs/>
          <w:sz w:val="20"/>
          <w:szCs w:val="20"/>
        </w:rPr>
        <w:t xml:space="preserve"> es </w:t>
      </w:r>
      <w:r w:rsidR="00BE2A0A">
        <w:rPr>
          <w:rFonts w:ascii="NewBaskerville" w:hAnsi="NewBaskerville"/>
          <w:bCs/>
          <w:sz w:val="20"/>
          <w:szCs w:val="20"/>
        </w:rPr>
        <w:t>el</w:t>
      </w:r>
      <w:r w:rsidRPr="00951BCB">
        <w:rPr>
          <w:rFonts w:ascii="NewBaskerville" w:hAnsi="NewBaskerville"/>
          <w:bCs/>
          <w:sz w:val="20"/>
          <w:szCs w:val="20"/>
        </w:rPr>
        <w:t xml:space="preserve"> </w:t>
      </w:r>
      <w:r w:rsidR="008155BC" w:rsidRPr="00951BCB">
        <w:rPr>
          <w:rFonts w:ascii="NewBaskerville" w:hAnsi="NewBaskerville"/>
          <w:bCs/>
          <w:sz w:val="20"/>
          <w:szCs w:val="20"/>
        </w:rPr>
        <w:t>siguiente:</w:t>
      </w:r>
    </w:p>
    <w:p w:rsidR="006F550B" w:rsidRPr="00951BCB" w:rsidRDefault="006F550B">
      <w:pPr>
        <w:pStyle w:val="Sangra3detindependiente"/>
        <w:tabs>
          <w:tab w:val="clear" w:pos="5671"/>
          <w:tab w:val="clear" w:pos="7797"/>
          <w:tab w:val="right" w:pos="8364"/>
        </w:tabs>
        <w:rPr>
          <w:rFonts w:ascii="NewBaskerville" w:hAnsi="NewBaskerville"/>
          <w:bCs/>
          <w:sz w:val="20"/>
          <w:szCs w:val="20"/>
        </w:rPr>
      </w:pPr>
    </w:p>
    <w:tbl>
      <w:tblPr>
        <w:tblW w:w="5000" w:type="pct"/>
        <w:tblCellMar>
          <w:left w:w="70" w:type="dxa"/>
          <w:right w:w="70" w:type="dxa"/>
        </w:tblCellMar>
        <w:tblLook w:val="04A0" w:firstRow="1" w:lastRow="0" w:firstColumn="1" w:lastColumn="0" w:noHBand="0" w:noVBand="1"/>
      </w:tblPr>
      <w:tblGrid>
        <w:gridCol w:w="2914"/>
        <w:gridCol w:w="2865"/>
        <w:gridCol w:w="2865"/>
      </w:tblGrid>
      <w:tr w:rsidR="006F550B" w:rsidRPr="006F550B" w:rsidTr="006F550B">
        <w:trPr>
          <w:trHeight w:val="300"/>
        </w:trPr>
        <w:tc>
          <w:tcPr>
            <w:tcW w:w="1685" w:type="pct"/>
            <w:tcBorders>
              <w:top w:val="single" w:sz="4" w:space="0" w:color="auto"/>
              <w:left w:val="single" w:sz="4" w:space="0" w:color="auto"/>
              <w:bottom w:val="single" w:sz="4" w:space="0" w:color="auto"/>
              <w:right w:val="single" w:sz="4" w:space="0" w:color="000000"/>
            </w:tcBorders>
            <w:shd w:val="clear" w:color="000000" w:fill="CCFFCC"/>
            <w:vAlign w:val="center"/>
            <w:hideMark/>
          </w:tcPr>
          <w:p w:rsidR="006F550B" w:rsidRPr="006F550B" w:rsidRDefault="006F550B" w:rsidP="006F550B">
            <w:pPr>
              <w:jc w:val="center"/>
              <w:rPr>
                <w:rFonts w:ascii="Lucida Bright" w:hAnsi="Lucida Bright" w:cs="Calibri"/>
                <w:b/>
                <w:bCs/>
                <w:sz w:val="14"/>
                <w:szCs w:val="14"/>
                <w:lang w:val="es-ES"/>
              </w:rPr>
            </w:pPr>
            <w:r w:rsidRPr="006F550B">
              <w:rPr>
                <w:rFonts w:ascii="Lucida Bright" w:hAnsi="Lucida Bright" w:cs="Calibri"/>
                <w:b/>
                <w:bCs/>
                <w:sz w:val="14"/>
                <w:szCs w:val="14"/>
                <w:lang w:val="es-ES"/>
              </w:rPr>
              <w:t>Concepto</w:t>
            </w:r>
          </w:p>
        </w:tc>
        <w:tc>
          <w:tcPr>
            <w:tcW w:w="1657" w:type="pct"/>
            <w:tcBorders>
              <w:top w:val="single" w:sz="4" w:space="0" w:color="auto"/>
              <w:left w:val="nil"/>
              <w:bottom w:val="single" w:sz="4" w:space="0" w:color="auto"/>
              <w:right w:val="single" w:sz="4" w:space="0" w:color="000000"/>
            </w:tcBorders>
            <w:shd w:val="clear" w:color="000000" w:fill="CCFFCC"/>
            <w:noWrap/>
            <w:vAlign w:val="center"/>
            <w:hideMark/>
          </w:tcPr>
          <w:p w:rsidR="006F550B" w:rsidRPr="006F550B" w:rsidRDefault="006F550B" w:rsidP="006F550B">
            <w:pPr>
              <w:jc w:val="center"/>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2023</w:t>
            </w:r>
          </w:p>
        </w:tc>
        <w:tc>
          <w:tcPr>
            <w:tcW w:w="1657" w:type="pct"/>
            <w:tcBorders>
              <w:top w:val="single" w:sz="4" w:space="0" w:color="auto"/>
              <w:left w:val="nil"/>
              <w:bottom w:val="single" w:sz="4" w:space="0" w:color="auto"/>
              <w:right w:val="single" w:sz="4" w:space="0" w:color="000000"/>
            </w:tcBorders>
            <w:shd w:val="clear" w:color="000000" w:fill="CCFFCC"/>
            <w:noWrap/>
            <w:vAlign w:val="center"/>
            <w:hideMark/>
          </w:tcPr>
          <w:p w:rsidR="006F550B" w:rsidRPr="006F550B" w:rsidRDefault="006F550B" w:rsidP="006F550B">
            <w:pPr>
              <w:jc w:val="center"/>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2022</w:t>
            </w:r>
          </w:p>
        </w:tc>
      </w:tr>
      <w:tr w:rsidR="006F550B" w:rsidRPr="006F550B" w:rsidTr="006F550B">
        <w:trPr>
          <w:trHeight w:val="330"/>
        </w:trPr>
        <w:tc>
          <w:tcPr>
            <w:tcW w:w="1685" w:type="pct"/>
            <w:tcBorders>
              <w:top w:val="nil"/>
              <w:left w:val="single" w:sz="4" w:space="0" w:color="000000"/>
              <w:bottom w:val="single" w:sz="4" w:space="0" w:color="000000"/>
              <w:right w:val="single" w:sz="4" w:space="0" w:color="000000"/>
            </w:tcBorders>
            <w:shd w:val="clear" w:color="auto" w:fill="auto"/>
            <w:vAlign w:val="center"/>
            <w:hideMark/>
          </w:tcPr>
          <w:p w:rsidR="006F550B" w:rsidRPr="006F550B" w:rsidRDefault="006F550B" w:rsidP="006F550B">
            <w:pPr>
              <w:rPr>
                <w:rFonts w:ascii="Lucida Bright" w:hAnsi="Lucida Bright" w:cs="Calibri"/>
                <w:sz w:val="14"/>
                <w:szCs w:val="14"/>
                <w:lang w:val="es-ES"/>
              </w:rPr>
            </w:pPr>
            <w:r w:rsidRPr="006F550B">
              <w:rPr>
                <w:rFonts w:ascii="Lucida Bright" w:hAnsi="Lucida Bright" w:cs="Calibri"/>
                <w:sz w:val="14"/>
                <w:szCs w:val="14"/>
                <w:lang w:val="es-ES"/>
              </w:rPr>
              <w:t>Seguridad social a cargo de la empresa</w:t>
            </w:r>
          </w:p>
        </w:tc>
        <w:tc>
          <w:tcPr>
            <w:tcW w:w="1657" w:type="pct"/>
            <w:tcBorders>
              <w:top w:val="nil"/>
              <w:left w:val="nil"/>
              <w:bottom w:val="single" w:sz="4" w:space="0" w:color="000000"/>
              <w:right w:val="single" w:sz="4" w:space="0" w:color="000000"/>
            </w:tcBorders>
            <w:shd w:val="clear" w:color="auto" w:fill="auto"/>
            <w:noWrap/>
            <w:vAlign w:val="center"/>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3.987.248,29</w:t>
            </w:r>
          </w:p>
        </w:tc>
        <w:tc>
          <w:tcPr>
            <w:tcW w:w="1657" w:type="pct"/>
            <w:tcBorders>
              <w:top w:val="nil"/>
              <w:left w:val="nil"/>
              <w:bottom w:val="single" w:sz="4" w:space="0" w:color="000000"/>
              <w:right w:val="single" w:sz="4" w:space="0" w:color="000000"/>
            </w:tcBorders>
            <w:shd w:val="clear" w:color="auto" w:fill="auto"/>
            <w:noWrap/>
            <w:vAlign w:val="center"/>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3.548.307,89</w:t>
            </w:r>
          </w:p>
        </w:tc>
      </w:tr>
      <w:tr w:rsidR="006F550B" w:rsidRPr="006F550B" w:rsidTr="006F550B">
        <w:trPr>
          <w:trHeight w:val="330"/>
        </w:trPr>
        <w:tc>
          <w:tcPr>
            <w:tcW w:w="1685" w:type="pct"/>
            <w:tcBorders>
              <w:top w:val="nil"/>
              <w:left w:val="single" w:sz="4" w:space="0" w:color="000000"/>
              <w:bottom w:val="single" w:sz="4" w:space="0" w:color="000000"/>
              <w:right w:val="single" w:sz="4" w:space="0" w:color="000000"/>
            </w:tcBorders>
            <w:shd w:val="clear" w:color="auto" w:fill="auto"/>
            <w:vAlign w:val="center"/>
            <w:hideMark/>
          </w:tcPr>
          <w:p w:rsidR="006F550B" w:rsidRPr="006F550B" w:rsidRDefault="006F550B" w:rsidP="006F550B">
            <w:pPr>
              <w:rPr>
                <w:rFonts w:ascii="Lucida Bright" w:hAnsi="Lucida Bright" w:cs="Calibri"/>
                <w:sz w:val="14"/>
                <w:szCs w:val="14"/>
                <w:lang w:val="es-ES"/>
              </w:rPr>
            </w:pPr>
            <w:r w:rsidRPr="006F550B">
              <w:rPr>
                <w:rFonts w:ascii="Lucida Bright" w:hAnsi="Lucida Bright" w:cs="Calibri"/>
                <w:sz w:val="14"/>
                <w:szCs w:val="14"/>
                <w:lang w:val="es-ES"/>
              </w:rPr>
              <w:t>Otros gastos sociales</w:t>
            </w:r>
          </w:p>
        </w:tc>
        <w:tc>
          <w:tcPr>
            <w:tcW w:w="1657" w:type="pct"/>
            <w:tcBorders>
              <w:top w:val="single" w:sz="4" w:space="0" w:color="000000"/>
              <w:left w:val="nil"/>
              <w:bottom w:val="single" w:sz="4" w:space="0" w:color="000000"/>
              <w:right w:val="single" w:sz="4" w:space="0" w:color="000000"/>
            </w:tcBorders>
            <w:shd w:val="clear" w:color="auto" w:fill="auto"/>
            <w:noWrap/>
            <w:vAlign w:val="center"/>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721.360,47</w:t>
            </w:r>
          </w:p>
        </w:tc>
        <w:tc>
          <w:tcPr>
            <w:tcW w:w="1657" w:type="pct"/>
            <w:tcBorders>
              <w:top w:val="single" w:sz="4" w:space="0" w:color="000000"/>
              <w:left w:val="nil"/>
              <w:bottom w:val="single" w:sz="4" w:space="0" w:color="000000"/>
              <w:right w:val="single" w:sz="4" w:space="0" w:color="000000"/>
            </w:tcBorders>
            <w:shd w:val="clear" w:color="auto" w:fill="auto"/>
            <w:noWrap/>
            <w:vAlign w:val="center"/>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545.008,56</w:t>
            </w:r>
          </w:p>
        </w:tc>
      </w:tr>
      <w:tr w:rsidR="006F550B" w:rsidRPr="006F550B" w:rsidTr="006F550B">
        <w:trPr>
          <w:trHeight w:val="330"/>
        </w:trPr>
        <w:tc>
          <w:tcPr>
            <w:tcW w:w="1685" w:type="pct"/>
            <w:tcBorders>
              <w:top w:val="nil"/>
              <w:left w:val="single" w:sz="4" w:space="0" w:color="000000"/>
              <w:bottom w:val="single" w:sz="4" w:space="0" w:color="000000"/>
              <w:right w:val="single" w:sz="4" w:space="0" w:color="000000"/>
            </w:tcBorders>
            <w:shd w:val="clear" w:color="auto" w:fill="auto"/>
            <w:vAlign w:val="center"/>
            <w:hideMark/>
          </w:tcPr>
          <w:p w:rsidR="006F550B" w:rsidRPr="006F550B" w:rsidRDefault="006F550B" w:rsidP="006F550B">
            <w:pPr>
              <w:rPr>
                <w:rFonts w:ascii="Lucida Bright" w:hAnsi="Lucida Bright" w:cs="Calibri"/>
                <w:b/>
                <w:bCs/>
                <w:sz w:val="14"/>
                <w:szCs w:val="14"/>
                <w:lang w:val="es-ES"/>
              </w:rPr>
            </w:pPr>
            <w:r w:rsidRPr="006F550B">
              <w:rPr>
                <w:rFonts w:ascii="Lucida Bright" w:hAnsi="Lucida Bright" w:cs="Calibri"/>
                <w:b/>
                <w:bCs/>
                <w:sz w:val="14"/>
                <w:szCs w:val="14"/>
                <w:lang w:val="es-ES"/>
              </w:rPr>
              <w:t>Total</w:t>
            </w:r>
          </w:p>
        </w:tc>
        <w:tc>
          <w:tcPr>
            <w:tcW w:w="1657" w:type="pct"/>
            <w:tcBorders>
              <w:top w:val="single" w:sz="4" w:space="0" w:color="000000"/>
              <w:left w:val="nil"/>
              <w:bottom w:val="single" w:sz="4" w:space="0" w:color="000000"/>
              <w:right w:val="single" w:sz="4" w:space="0" w:color="000000"/>
            </w:tcBorders>
            <w:shd w:val="clear" w:color="auto" w:fill="auto"/>
            <w:noWrap/>
            <w:vAlign w:val="center"/>
            <w:hideMark/>
          </w:tcPr>
          <w:p w:rsidR="006F550B" w:rsidRPr="006F550B" w:rsidRDefault="006F550B" w:rsidP="006F550B">
            <w:pPr>
              <w:jc w:val="right"/>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4.708.608,76</w:t>
            </w:r>
          </w:p>
        </w:tc>
        <w:tc>
          <w:tcPr>
            <w:tcW w:w="1657" w:type="pct"/>
            <w:tcBorders>
              <w:top w:val="single" w:sz="4" w:space="0" w:color="000000"/>
              <w:left w:val="nil"/>
              <w:bottom w:val="single" w:sz="4" w:space="0" w:color="000000"/>
              <w:right w:val="single" w:sz="4" w:space="0" w:color="000000"/>
            </w:tcBorders>
            <w:shd w:val="clear" w:color="auto" w:fill="auto"/>
            <w:noWrap/>
            <w:vAlign w:val="center"/>
            <w:hideMark/>
          </w:tcPr>
          <w:p w:rsidR="006F550B" w:rsidRPr="006F550B" w:rsidRDefault="006F550B" w:rsidP="006F550B">
            <w:pPr>
              <w:jc w:val="right"/>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4.093.316,45</w:t>
            </w:r>
          </w:p>
        </w:tc>
      </w:tr>
    </w:tbl>
    <w:p w:rsidR="002C4355" w:rsidRPr="00846803" w:rsidRDefault="002C4355">
      <w:pPr>
        <w:tabs>
          <w:tab w:val="right" w:pos="8364"/>
        </w:tabs>
        <w:jc w:val="both"/>
        <w:rPr>
          <w:b/>
        </w:rPr>
      </w:pPr>
    </w:p>
    <w:p w:rsidR="002C4355" w:rsidRPr="009757ED" w:rsidRDefault="002019D4" w:rsidP="002019D4">
      <w:pPr>
        <w:tabs>
          <w:tab w:val="right" w:pos="8364"/>
        </w:tabs>
        <w:ind w:left="567" w:hanging="567"/>
        <w:jc w:val="both"/>
        <w:rPr>
          <w:rFonts w:ascii="NewBaskerville" w:hAnsi="NewBaskerville"/>
          <w:bCs/>
        </w:rPr>
      </w:pPr>
      <w:r>
        <w:rPr>
          <w:bCs/>
        </w:rPr>
        <w:tab/>
      </w:r>
      <w:r w:rsidR="00192EA6" w:rsidRPr="009757ED">
        <w:rPr>
          <w:rFonts w:ascii="NewBaskerville" w:hAnsi="NewBaskerville"/>
          <w:bCs/>
        </w:rPr>
        <w:t>a.</w:t>
      </w:r>
      <w:r w:rsidR="00BE2A0A">
        <w:rPr>
          <w:rFonts w:ascii="NewBaskerville" w:hAnsi="NewBaskerville"/>
          <w:bCs/>
        </w:rPr>
        <w:t>3</w:t>
      </w:r>
      <w:r w:rsidR="00192EA6" w:rsidRPr="009757ED">
        <w:rPr>
          <w:rFonts w:ascii="NewBaskerville" w:hAnsi="NewBaskerville"/>
          <w:bCs/>
        </w:rPr>
        <w:t xml:space="preserve">) </w:t>
      </w:r>
      <w:r w:rsidR="002C4355" w:rsidRPr="009757ED">
        <w:rPr>
          <w:rFonts w:ascii="NewBaskerville" w:hAnsi="NewBaskerville"/>
          <w:bCs/>
        </w:rPr>
        <w:t>Plan de Pensiones</w:t>
      </w:r>
    </w:p>
    <w:p w:rsidR="002C4355" w:rsidRPr="009757ED" w:rsidRDefault="002C4355">
      <w:pPr>
        <w:pStyle w:val="Sangradetextonormal"/>
        <w:tabs>
          <w:tab w:val="clear" w:pos="8364"/>
          <w:tab w:val="right" w:pos="8222"/>
        </w:tabs>
        <w:rPr>
          <w:rFonts w:ascii="NewBaskerville" w:hAnsi="NewBaskerville"/>
          <w:sz w:val="20"/>
        </w:rPr>
      </w:pPr>
    </w:p>
    <w:p w:rsidR="00FE620A" w:rsidRPr="009757ED" w:rsidRDefault="002C4355">
      <w:pPr>
        <w:pStyle w:val="Sangradetextonormal"/>
        <w:tabs>
          <w:tab w:val="clear" w:pos="8364"/>
          <w:tab w:val="right" w:pos="8222"/>
        </w:tabs>
        <w:rPr>
          <w:rFonts w:ascii="NewBaskerville" w:hAnsi="NewBaskerville"/>
          <w:sz w:val="20"/>
        </w:rPr>
      </w:pPr>
      <w:r w:rsidRPr="009757ED">
        <w:rPr>
          <w:rFonts w:ascii="NewBaskerville" w:hAnsi="NewBaskerville"/>
          <w:sz w:val="20"/>
        </w:rPr>
        <w:tab/>
      </w:r>
      <w:r w:rsidR="008834BF">
        <w:rPr>
          <w:rFonts w:ascii="NewBaskerville" w:hAnsi="NewBaskerville"/>
          <w:sz w:val="20"/>
        </w:rPr>
        <w:t xml:space="preserve"> La </w:t>
      </w:r>
      <w:r w:rsidR="008155BC" w:rsidRPr="009757ED">
        <w:rPr>
          <w:rFonts w:ascii="NewBaskerville" w:hAnsi="NewBaskerville"/>
          <w:sz w:val="20"/>
        </w:rPr>
        <w:t>AP</w:t>
      </w:r>
      <w:r w:rsidRPr="009757ED">
        <w:rPr>
          <w:rFonts w:ascii="NewBaskerville" w:hAnsi="NewBaskerville"/>
          <w:sz w:val="20"/>
        </w:rPr>
        <w:t>B mantiene constituido un Plan de Pens</w:t>
      </w:r>
      <w:r w:rsidR="00914B2C" w:rsidRPr="009757ED">
        <w:rPr>
          <w:rFonts w:ascii="NewBaskerville" w:hAnsi="NewBaskerville"/>
          <w:sz w:val="20"/>
        </w:rPr>
        <w:t xml:space="preserve">iones a favor de sus empleados que </w:t>
      </w:r>
      <w:r w:rsidRPr="009757ED">
        <w:rPr>
          <w:rFonts w:ascii="NewBaskerville" w:hAnsi="NewBaskerville"/>
          <w:sz w:val="20"/>
        </w:rPr>
        <w:t>se integra en la actualidad en el Fondo de Pensiones “PUERTO PENSIONES, FONDO DE PENSIONES”, inscrito en el Registro Mercantil de Madrid.</w:t>
      </w:r>
    </w:p>
    <w:p w:rsidR="002C4355" w:rsidRPr="009757ED" w:rsidRDefault="002C4355" w:rsidP="00FE620A">
      <w:pPr>
        <w:pStyle w:val="Sangradetextonormal"/>
        <w:tabs>
          <w:tab w:val="clear" w:pos="8364"/>
          <w:tab w:val="right" w:pos="8222"/>
        </w:tabs>
        <w:rPr>
          <w:rFonts w:ascii="NewBaskerville" w:hAnsi="NewBaskerville"/>
          <w:sz w:val="20"/>
        </w:rPr>
      </w:pPr>
    </w:p>
    <w:p w:rsidR="002C4355" w:rsidRPr="009757ED" w:rsidRDefault="002C4355">
      <w:pPr>
        <w:pStyle w:val="Sangradetextonormal"/>
        <w:tabs>
          <w:tab w:val="clear" w:pos="8364"/>
          <w:tab w:val="right" w:pos="8222"/>
        </w:tabs>
        <w:rPr>
          <w:rFonts w:ascii="NewBaskerville" w:hAnsi="NewBaskerville"/>
          <w:sz w:val="20"/>
        </w:rPr>
      </w:pPr>
      <w:r w:rsidRPr="009757ED">
        <w:rPr>
          <w:rFonts w:ascii="NewBaskerville" w:hAnsi="NewBaskerville"/>
          <w:sz w:val="20"/>
        </w:rPr>
        <w:t>Las contingencias cubiertas son la jubilación, el fallecimiento o l</w:t>
      </w:r>
      <w:r w:rsidR="00F8542D" w:rsidRPr="009757ED">
        <w:rPr>
          <w:rFonts w:ascii="NewBaskerville" w:hAnsi="NewBaskerville"/>
          <w:sz w:val="20"/>
        </w:rPr>
        <w:t>a invalidez permanente del partí</w:t>
      </w:r>
      <w:r w:rsidRPr="009757ED">
        <w:rPr>
          <w:rFonts w:ascii="NewBaskerville" w:hAnsi="NewBaskerville"/>
          <w:sz w:val="20"/>
        </w:rPr>
        <w:t xml:space="preserve">cipe, siendo el importe de la prestación igual al derecho consolidado por el </w:t>
      </w:r>
      <w:r w:rsidR="00F8542D" w:rsidRPr="009757ED">
        <w:rPr>
          <w:rFonts w:ascii="NewBaskerville" w:hAnsi="NewBaskerville"/>
          <w:sz w:val="20"/>
        </w:rPr>
        <w:t>p</w:t>
      </w:r>
      <w:r w:rsidRPr="009757ED">
        <w:rPr>
          <w:rFonts w:ascii="NewBaskerville" w:hAnsi="NewBaskerville"/>
          <w:sz w:val="20"/>
        </w:rPr>
        <w:t>artícipe en la fecha de abono de esta prestación.</w:t>
      </w:r>
    </w:p>
    <w:p w:rsidR="00E37DF1" w:rsidRPr="009757ED" w:rsidRDefault="00E37DF1">
      <w:pPr>
        <w:pStyle w:val="Sangradetextonormal"/>
        <w:tabs>
          <w:tab w:val="clear" w:pos="8364"/>
          <w:tab w:val="right" w:pos="8222"/>
        </w:tabs>
        <w:rPr>
          <w:rFonts w:ascii="NewBaskerville" w:hAnsi="NewBaskerville"/>
          <w:sz w:val="20"/>
        </w:rPr>
      </w:pPr>
    </w:p>
    <w:p w:rsidR="004A041C" w:rsidRPr="009757ED" w:rsidRDefault="00E37DF1">
      <w:pPr>
        <w:pStyle w:val="Sangradetextonormal"/>
        <w:tabs>
          <w:tab w:val="clear" w:pos="8364"/>
          <w:tab w:val="right" w:pos="8222"/>
        </w:tabs>
        <w:rPr>
          <w:rFonts w:ascii="NewBaskerville" w:hAnsi="NewBaskerville"/>
          <w:sz w:val="20"/>
        </w:rPr>
      </w:pPr>
      <w:r w:rsidRPr="009757ED">
        <w:rPr>
          <w:rFonts w:ascii="NewBaskerville" w:hAnsi="NewBaskerville"/>
          <w:sz w:val="20"/>
        </w:rPr>
        <w:t>El art.22.</w:t>
      </w:r>
      <w:r w:rsidR="00E74052" w:rsidRPr="009757ED">
        <w:rPr>
          <w:rFonts w:ascii="NewBaskerville" w:hAnsi="NewBaskerville"/>
          <w:sz w:val="20"/>
        </w:rPr>
        <w:t>3</w:t>
      </w:r>
      <w:r w:rsidRPr="009757ED">
        <w:rPr>
          <w:rFonts w:ascii="NewBaskerville" w:hAnsi="NewBaskerville"/>
          <w:sz w:val="20"/>
        </w:rPr>
        <w:t xml:space="preserve"> de la Ley </w:t>
      </w:r>
      <w:r w:rsidR="00E74052" w:rsidRPr="009757ED">
        <w:rPr>
          <w:rFonts w:ascii="NewBaskerville" w:hAnsi="NewBaskerville"/>
          <w:sz w:val="20"/>
        </w:rPr>
        <w:t>17</w:t>
      </w:r>
      <w:r w:rsidR="00A03932" w:rsidRPr="009757ED">
        <w:rPr>
          <w:rFonts w:ascii="NewBaskerville" w:hAnsi="NewBaskerville"/>
          <w:sz w:val="20"/>
        </w:rPr>
        <w:t>/201</w:t>
      </w:r>
      <w:r w:rsidR="00E74052" w:rsidRPr="009757ED">
        <w:rPr>
          <w:rFonts w:ascii="NewBaskerville" w:hAnsi="NewBaskerville"/>
          <w:sz w:val="20"/>
        </w:rPr>
        <w:t>2</w:t>
      </w:r>
      <w:r w:rsidRPr="009757ED">
        <w:rPr>
          <w:rFonts w:ascii="NewBaskerville" w:hAnsi="NewBaskerville"/>
          <w:sz w:val="20"/>
        </w:rPr>
        <w:t xml:space="preserve"> de Presupuestos Generales del Estado establece que </w:t>
      </w:r>
      <w:r w:rsidR="0053692E" w:rsidRPr="009757ED">
        <w:rPr>
          <w:rFonts w:ascii="NewBaskerville" w:hAnsi="NewBaskerville"/>
          <w:sz w:val="20"/>
        </w:rPr>
        <w:t>a partir d</w:t>
      </w:r>
      <w:r w:rsidRPr="009757ED">
        <w:rPr>
          <w:rFonts w:ascii="NewBaskerville" w:hAnsi="NewBaskerville"/>
          <w:sz w:val="20"/>
        </w:rPr>
        <w:t>el año 201</w:t>
      </w:r>
      <w:r w:rsidR="00914B2C" w:rsidRPr="009757ED">
        <w:rPr>
          <w:rFonts w:ascii="NewBaskerville" w:hAnsi="NewBaskerville"/>
          <w:sz w:val="20"/>
        </w:rPr>
        <w:t>3</w:t>
      </w:r>
      <w:r w:rsidRPr="009757ED">
        <w:rPr>
          <w:rFonts w:ascii="NewBaskerville" w:hAnsi="NewBaskerville"/>
          <w:sz w:val="20"/>
        </w:rPr>
        <w:t xml:space="preserve"> no se podrán realizar aportaciones a los planes de pensiones al p</w:t>
      </w:r>
      <w:r w:rsidR="00E74052" w:rsidRPr="009757ED">
        <w:rPr>
          <w:rFonts w:ascii="NewBaskerville" w:hAnsi="NewBaskerville"/>
          <w:sz w:val="20"/>
        </w:rPr>
        <w:t xml:space="preserve">ersonal del sector público por </w:t>
      </w:r>
      <w:r w:rsidRPr="009757ED">
        <w:rPr>
          <w:rFonts w:ascii="NewBaskerville" w:hAnsi="NewBaskerville"/>
          <w:sz w:val="20"/>
        </w:rPr>
        <w:t>lo que este año no ha habido n</w:t>
      </w:r>
      <w:r w:rsidR="00E46ADF" w:rsidRPr="009757ED">
        <w:rPr>
          <w:rFonts w:ascii="NewBaskerville" w:hAnsi="NewBaskerville"/>
          <w:sz w:val="20"/>
        </w:rPr>
        <w:t>inguna aportación de la empresa</w:t>
      </w:r>
      <w:r w:rsidR="0053692E" w:rsidRPr="009757ED">
        <w:rPr>
          <w:rFonts w:ascii="NewBaskerville" w:hAnsi="NewBaskerville"/>
          <w:sz w:val="20"/>
        </w:rPr>
        <w:t>.</w:t>
      </w:r>
    </w:p>
    <w:p w:rsidR="00484FB9" w:rsidRDefault="00484FB9" w:rsidP="002019D4">
      <w:pPr>
        <w:tabs>
          <w:tab w:val="right" w:pos="8364"/>
        </w:tabs>
        <w:ind w:left="567"/>
        <w:jc w:val="both"/>
        <w:rPr>
          <w:bCs/>
        </w:rPr>
      </w:pPr>
      <w:bookmarkStart w:id="3" w:name="_Hlk4422481"/>
    </w:p>
    <w:p w:rsidR="00507DEF" w:rsidRDefault="00507DEF" w:rsidP="002019D4">
      <w:pPr>
        <w:tabs>
          <w:tab w:val="right" w:pos="8364"/>
        </w:tabs>
        <w:ind w:left="567"/>
        <w:jc w:val="both"/>
        <w:rPr>
          <w:rFonts w:ascii="NewBaskerville" w:hAnsi="NewBaskerville"/>
          <w:bCs/>
        </w:rPr>
      </w:pPr>
    </w:p>
    <w:p w:rsidR="00994409" w:rsidRDefault="00BE2A0A" w:rsidP="002019D4">
      <w:pPr>
        <w:tabs>
          <w:tab w:val="right" w:pos="8364"/>
        </w:tabs>
        <w:ind w:left="567"/>
        <w:jc w:val="both"/>
        <w:rPr>
          <w:rFonts w:ascii="NewBaskerville" w:hAnsi="NewBaskerville"/>
          <w:bCs/>
        </w:rPr>
      </w:pPr>
      <w:r>
        <w:rPr>
          <w:rFonts w:ascii="NewBaskerville" w:hAnsi="NewBaskerville"/>
          <w:bCs/>
        </w:rPr>
        <w:t>a.4</w:t>
      </w:r>
      <w:r w:rsidR="008155BC" w:rsidRPr="009757ED">
        <w:rPr>
          <w:rFonts w:ascii="NewBaskerville" w:hAnsi="NewBaskerville"/>
          <w:bCs/>
        </w:rPr>
        <w:t>)</w:t>
      </w:r>
      <w:r w:rsidR="00192EA6" w:rsidRPr="009757ED">
        <w:rPr>
          <w:rFonts w:ascii="NewBaskerville" w:hAnsi="NewBaskerville"/>
          <w:bCs/>
        </w:rPr>
        <w:t xml:space="preserve"> </w:t>
      </w:r>
      <w:r w:rsidR="00994409" w:rsidRPr="009757ED">
        <w:rPr>
          <w:rFonts w:ascii="NewBaskerville" w:hAnsi="NewBaskerville"/>
          <w:bCs/>
        </w:rPr>
        <w:t>Otros gastos de gestión corriente:</w:t>
      </w:r>
    </w:p>
    <w:p w:rsidR="006F550B" w:rsidRDefault="006F550B" w:rsidP="002019D4">
      <w:pPr>
        <w:tabs>
          <w:tab w:val="right" w:pos="8364"/>
        </w:tabs>
        <w:ind w:left="567"/>
        <w:jc w:val="both"/>
        <w:rPr>
          <w:rFonts w:ascii="NewBaskerville" w:hAnsi="NewBaskerville"/>
          <w:bCs/>
        </w:rPr>
      </w:pPr>
    </w:p>
    <w:tbl>
      <w:tblPr>
        <w:tblW w:w="5000" w:type="pct"/>
        <w:tblCellMar>
          <w:left w:w="70" w:type="dxa"/>
          <w:right w:w="70" w:type="dxa"/>
        </w:tblCellMar>
        <w:tblLook w:val="04A0" w:firstRow="1" w:lastRow="0" w:firstColumn="1" w:lastColumn="0" w:noHBand="0" w:noVBand="1"/>
      </w:tblPr>
      <w:tblGrid>
        <w:gridCol w:w="4882"/>
        <w:gridCol w:w="275"/>
        <w:gridCol w:w="275"/>
        <w:gridCol w:w="308"/>
        <w:gridCol w:w="1452"/>
        <w:gridCol w:w="1452"/>
      </w:tblGrid>
      <w:tr w:rsidR="006F550B" w:rsidRPr="006F550B" w:rsidTr="006F550B">
        <w:trPr>
          <w:trHeight w:val="300"/>
        </w:trPr>
        <w:tc>
          <w:tcPr>
            <w:tcW w:w="3319" w:type="pct"/>
            <w:gridSpan w:val="4"/>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6F550B" w:rsidRPr="006F550B" w:rsidRDefault="006F550B" w:rsidP="006F550B">
            <w:pPr>
              <w:jc w:val="center"/>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Concepto</w:t>
            </w:r>
          </w:p>
        </w:tc>
        <w:tc>
          <w:tcPr>
            <w:tcW w:w="840" w:type="pct"/>
            <w:tcBorders>
              <w:top w:val="single" w:sz="4" w:space="0" w:color="auto"/>
              <w:left w:val="nil"/>
              <w:bottom w:val="single" w:sz="4" w:space="0" w:color="auto"/>
              <w:right w:val="single" w:sz="4" w:space="0" w:color="auto"/>
            </w:tcBorders>
            <w:shd w:val="clear" w:color="000000" w:fill="CCFFCC"/>
            <w:noWrap/>
            <w:vAlign w:val="bottom"/>
            <w:hideMark/>
          </w:tcPr>
          <w:p w:rsidR="006F550B" w:rsidRPr="006F550B" w:rsidRDefault="006F550B" w:rsidP="006F550B">
            <w:pPr>
              <w:jc w:val="center"/>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2023</w:t>
            </w:r>
          </w:p>
        </w:tc>
        <w:tc>
          <w:tcPr>
            <w:tcW w:w="840" w:type="pct"/>
            <w:tcBorders>
              <w:top w:val="single" w:sz="4" w:space="0" w:color="auto"/>
              <w:left w:val="nil"/>
              <w:bottom w:val="single" w:sz="4" w:space="0" w:color="auto"/>
              <w:right w:val="single" w:sz="4" w:space="0" w:color="auto"/>
            </w:tcBorders>
            <w:shd w:val="clear" w:color="000000" w:fill="CCFFCC"/>
            <w:noWrap/>
            <w:vAlign w:val="bottom"/>
            <w:hideMark/>
          </w:tcPr>
          <w:p w:rsidR="006F550B" w:rsidRPr="006F550B" w:rsidRDefault="006F550B" w:rsidP="006F550B">
            <w:pPr>
              <w:jc w:val="center"/>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2022</w:t>
            </w:r>
          </w:p>
        </w:tc>
      </w:tr>
      <w:tr w:rsidR="006F550B" w:rsidRPr="006F550B" w:rsidTr="006F550B">
        <w:trPr>
          <w:trHeight w:val="300"/>
        </w:trPr>
        <w:tc>
          <w:tcPr>
            <w:tcW w:w="3319"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Dietas asistencia al Consejo de Administración (no personal)</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142.321,83</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139.846,00</w:t>
            </w:r>
          </w:p>
        </w:tc>
      </w:tr>
      <w:tr w:rsidR="006F550B" w:rsidRPr="006F550B" w:rsidTr="006F550B">
        <w:trPr>
          <w:trHeight w:val="300"/>
        </w:trPr>
        <w:tc>
          <w:tcPr>
            <w:tcW w:w="3141" w:type="pct"/>
            <w:gridSpan w:val="3"/>
            <w:tcBorders>
              <w:top w:val="single" w:sz="4" w:space="0" w:color="auto"/>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xml:space="preserve">Daños a terceros, costas judiciales, </w:t>
            </w:r>
            <w:proofErr w:type="spellStart"/>
            <w:r w:rsidRPr="006F550B">
              <w:rPr>
                <w:rFonts w:ascii="Lucida Bright" w:hAnsi="Lucida Bright" w:cs="Calibri"/>
                <w:color w:val="000000"/>
                <w:sz w:val="14"/>
                <w:szCs w:val="14"/>
                <w:lang w:val="es-ES"/>
              </w:rPr>
              <w:t>etc</w:t>
            </w:r>
            <w:proofErr w:type="spellEnd"/>
          </w:p>
        </w:tc>
        <w:tc>
          <w:tcPr>
            <w:tcW w:w="178"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13.289,53</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7.411,42</w:t>
            </w:r>
          </w:p>
        </w:tc>
      </w:tr>
      <w:tr w:rsidR="006F550B" w:rsidRPr="006F550B" w:rsidTr="006F550B">
        <w:trPr>
          <w:trHeight w:val="300"/>
        </w:trPr>
        <w:tc>
          <w:tcPr>
            <w:tcW w:w="2982" w:type="pct"/>
            <w:gridSpan w:val="2"/>
            <w:tcBorders>
              <w:top w:val="single" w:sz="4" w:space="0" w:color="auto"/>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Otros gastos de gestión</w:t>
            </w:r>
          </w:p>
        </w:tc>
        <w:tc>
          <w:tcPr>
            <w:tcW w:w="159"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178"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344.581,31</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626.125,65</w:t>
            </w:r>
          </w:p>
        </w:tc>
      </w:tr>
      <w:tr w:rsidR="006F550B" w:rsidRPr="006F550B" w:rsidTr="006F550B">
        <w:trPr>
          <w:trHeight w:val="300"/>
        </w:trPr>
        <w:tc>
          <w:tcPr>
            <w:tcW w:w="3141" w:type="pct"/>
            <w:gridSpan w:val="3"/>
            <w:tcBorders>
              <w:top w:val="single" w:sz="4" w:space="0" w:color="auto"/>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Gastos de gestión cobro de deudas en vía de apremio</w:t>
            </w:r>
          </w:p>
        </w:tc>
        <w:tc>
          <w:tcPr>
            <w:tcW w:w="178"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39.625,88</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71.193,70</w:t>
            </w:r>
          </w:p>
        </w:tc>
      </w:tr>
      <w:tr w:rsidR="006F550B" w:rsidRPr="006F550B" w:rsidTr="006F550B">
        <w:trPr>
          <w:trHeight w:val="300"/>
        </w:trPr>
        <w:tc>
          <w:tcPr>
            <w:tcW w:w="2982" w:type="pct"/>
            <w:gridSpan w:val="2"/>
            <w:tcBorders>
              <w:top w:val="single" w:sz="4" w:space="0" w:color="auto"/>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Provisión para responsabilidades</w:t>
            </w:r>
          </w:p>
        </w:tc>
        <w:tc>
          <w:tcPr>
            <w:tcW w:w="159"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178"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0,00</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7.580.463,94</w:t>
            </w:r>
          </w:p>
        </w:tc>
      </w:tr>
      <w:tr w:rsidR="006F550B" w:rsidRPr="006F550B" w:rsidTr="006F550B">
        <w:trPr>
          <w:trHeight w:val="300"/>
        </w:trPr>
        <w:tc>
          <w:tcPr>
            <w:tcW w:w="2982" w:type="pct"/>
            <w:gridSpan w:val="2"/>
            <w:tcBorders>
              <w:top w:val="single" w:sz="4" w:space="0" w:color="auto"/>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Ministerio de Justicia</w:t>
            </w:r>
          </w:p>
        </w:tc>
        <w:tc>
          <w:tcPr>
            <w:tcW w:w="159"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178"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83.275,44</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79.418,48</w:t>
            </w:r>
          </w:p>
        </w:tc>
      </w:tr>
      <w:tr w:rsidR="006F550B" w:rsidRPr="006F550B" w:rsidTr="006F550B">
        <w:trPr>
          <w:trHeight w:val="300"/>
        </w:trPr>
        <w:tc>
          <w:tcPr>
            <w:tcW w:w="2824" w:type="pct"/>
            <w:tcBorders>
              <w:top w:val="nil"/>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Patrocinios</w:t>
            </w:r>
          </w:p>
        </w:tc>
        <w:tc>
          <w:tcPr>
            <w:tcW w:w="159"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159"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178"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42.764,71</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54.117,92</w:t>
            </w:r>
          </w:p>
        </w:tc>
      </w:tr>
      <w:tr w:rsidR="006F550B" w:rsidRPr="006F550B" w:rsidTr="006F550B">
        <w:trPr>
          <w:trHeight w:val="300"/>
        </w:trPr>
        <w:tc>
          <w:tcPr>
            <w:tcW w:w="2982" w:type="pct"/>
            <w:gridSpan w:val="2"/>
            <w:tcBorders>
              <w:top w:val="single" w:sz="4" w:space="0" w:color="auto"/>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Recargos y Sanciones</w:t>
            </w:r>
          </w:p>
        </w:tc>
        <w:tc>
          <w:tcPr>
            <w:tcW w:w="159"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178"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32.779,16</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7.203,02</w:t>
            </w:r>
          </w:p>
        </w:tc>
      </w:tr>
      <w:tr w:rsidR="006F550B" w:rsidRPr="006F550B" w:rsidTr="006F550B">
        <w:trPr>
          <w:trHeight w:val="300"/>
        </w:trPr>
        <w:tc>
          <w:tcPr>
            <w:tcW w:w="3141" w:type="pct"/>
            <w:gridSpan w:val="3"/>
            <w:tcBorders>
              <w:top w:val="single" w:sz="4" w:space="0" w:color="auto"/>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Devolución de subvenciones a la explotación</w:t>
            </w:r>
          </w:p>
        </w:tc>
        <w:tc>
          <w:tcPr>
            <w:tcW w:w="178"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63.106,37</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r>
      <w:tr w:rsidR="006F550B" w:rsidRPr="006F550B" w:rsidTr="006F550B">
        <w:trPr>
          <w:trHeight w:val="300"/>
        </w:trPr>
        <w:tc>
          <w:tcPr>
            <w:tcW w:w="2824" w:type="pct"/>
            <w:tcBorders>
              <w:top w:val="nil"/>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Total</w:t>
            </w:r>
          </w:p>
        </w:tc>
        <w:tc>
          <w:tcPr>
            <w:tcW w:w="159"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159"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178"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761.744,23</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8.565.780,13</w:t>
            </w:r>
          </w:p>
        </w:tc>
      </w:tr>
    </w:tbl>
    <w:p w:rsidR="003737B4" w:rsidRDefault="003737B4" w:rsidP="002019D4">
      <w:pPr>
        <w:tabs>
          <w:tab w:val="right" w:pos="8364"/>
        </w:tabs>
        <w:ind w:left="567"/>
        <w:jc w:val="both"/>
        <w:rPr>
          <w:rFonts w:ascii="NewBaskerville" w:hAnsi="NewBaskerville"/>
          <w:bCs/>
          <w:lang w:val="es-ES"/>
        </w:rPr>
      </w:pPr>
    </w:p>
    <w:bookmarkEnd w:id="3"/>
    <w:p w:rsidR="008834BF" w:rsidRPr="002D2BC3" w:rsidRDefault="002D2BC3" w:rsidP="00245534">
      <w:pPr>
        <w:tabs>
          <w:tab w:val="right" w:pos="8364"/>
        </w:tabs>
        <w:jc w:val="both"/>
        <w:rPr>
          <w:rFonts w:ascii="NewBaskerville" w:hAnsi="NewBaskerville"/>
          <w:bCs/>
        </w:rPr>
      </w:pPr>
      <w:r w:rsidRPr="002D2BC3">
        <w:rPr>
          <w:rFonts w:ascii="NewBaskerville" w:hAnsi="NewBaskerville"/>
          <w:bCs/>
        </w:rPr>
        <w:t xml:space="preserve">En el ejercicio se ha efectuado el cierre de la subvención a la explotación Port Forward Puertos Inteligentes e Interconectados, del programa </w:t>
      </w:r>
      <w:proofErr w:type="spellStart"/>
      <w:r w:rsidRPr="002D2BC3">
        <w:rPr>
          <w:rFonts w:ascii="NewBaskerville" w:hAnsi="NewBaskerville"/>
          <w:bCs/>
        </w:rPr>
        <w:t>Horizon</w:t>
      </w:r>
      <w:proofErr w:type="spellEnd"/>
      <w:r w:rsidRPr="002D2BC3">
        <w:rPr>
          <w:rFonts w:ascii="NewBaskerville" w:hAnsi="NewBaskerville"/>
          <w:bCs/>
        </w:rPr>
        <w:t xml:space="preserve"> 2020 (H2020) de la Unión Europea. Este cierre ha supuesto para la APB </w:t>
      </w:r>
      <w:r>
        <w:rPr>
          <w:rFonts w:ascii="NewBaskerville" w:hAnsi="NewBaskerville"/>
          <w:bCs/>
        </w:rPr>
        <w:t>reducir en 63.106,37 euros la inicialmente reconocida en ejercicios anteriores.</w:t>
      </w:r>
    </w:p>
    <w:p w:rsidR="003737B4" w:rsidRPr="00846803" w:rsidRDefault="003737B4" w:rsidP="00245534">
      <w:pPr>
        <w:tabs>
          <w:tab w:val="right" w:pos="8364"/>
        </w:tabs>
        <w:jc w:val="both"/>
        <w:rPr>
          <w:bCs/>
        </w:rPr>
      </w:pPr>
    </w:p>
    <w:p w:rsidR="002C4355" w:rsidRPr="003737B4" w:rsidRDefault="00BE2A0A" w:rsidP="002019D4">
      <w:pPr>
        <w:tabs>
          <w:tab w:val="right" w:pos="8364"/>
        </w:tabs>
        <w:ind w:left="567"/>
        <w:jc w:val="both"/>
        <w:rPr>
          <w:rFonts w:ascii="NewBaskerville" w:hAnsi="NewBaskerville"/>
          <w:bCs/>
        </w:rPr>
      </w:pPr>
      <w:r>
        <w:rPr>
          <w:rFonts w:ascii="NewBaskerville" w:hAnsi="NewBaskerville"/>
          <w:bCs/>
        </w:rPr>
        <w:t>a.5</w:t>
      </w:r>
      <w:r w:rsidR="00192EA6" w:rsidRPr="003737B4">
        <w:rPr>
          <w:rFonts w:ascii="NewBaskerville" w:hAnsi="NewBaskerville"/>
          <w:bCs/>
        </w:rPr>
        <w:t xml:space="preserve">) </w:t>
      </w:r>
      <w:r w:rsidR="00762B1B" w:rsidRPr="003737B4">
        <w:rPr>
          <w:rFonts w:ascii="NewBaskerville" w:hAnsi="NewBaskerville"/>
          <w:bCs/>
        </w:rPr>
        <w:t>Gastos financieros:</w:t>
      </w:r>
    </w:p>
    <w:p w:rsidR="00762B1B" w:rsidRPr="00846803" w:rsidRDefault="00762B1B" w:rsidP="004A041C">
      <w:pPr>
        <w:tabs>
          <w:tab w:val="right" w:pos="8364"/>
        </w:tabs>
        <w:ind w:left="284" w:hanging="284"/>
        <w:jc w:val="both"/>
        <w:rPr>
          <w:b/>
          <w:bCs/>
        </w:rPr>
      </w:pPr>
    </w:p>
    <w:p w:rsidR="006F550B" w:rsidRDefault="00253378" w:rsidP="00245534">
      <w:pPr>
        <w:tabs>
          <w:tab w:val="right" w:pos="8364"/>
        </w:tabs>
        <w:jc w:val="both"/>
        <w:rPr>
          <w:b/>
          <w:bCs/>
          <w:sz w:val="24"/>
        </w:rPr>
      </w:pPr>
      <w:r>
        <w:rPr>
          <w:bCs/>
          <w:sz w:val="24"/>
        </w:rPr>
        <w:t xml:space="preserve">      </w:t>
      </w:r>
    </w:p>
    <w:tbl>
      <w:tblPr>
        <w:tblW w:w="5000" w:type="pct"/>
        <w:tblCellMar>
          <w:left w:w="70" w:type="dxa"/>
          <w:right w:w="70" w:type="dxa"/>
        </w:tblCellMar>
        <w:tblLook w:val="04A0" w:firstRow="1" w:lastRow="0" w:firstColumn="1" w:lastColumn="0" w:noHBand="0" w:noVBand="1"/>
      </w:tblPr>
      <w:tblGrid>
        <w:gridCol w:w="4216"/>
        <w:gridCol w:w="489"/>
        <w:gridCol w:w="489"/>
        <w:gridCol w:w="546"/>
        <w:gridCol w:w="1452"/>
        <w:gridCol w:w="1452"/>
      </w:tblGrid>
      <w:tr w:rsidR="006F550B" w:rsidRPr="006F550B" w:rsidTr="006F550B">
        <w:trPr>
          <w:trHeight w:val="300"/>
        </w:trPr>
        <w:tc>
          <w:tcPr>
            <w:tcW w:w="3319" w:type="pct"/>
            <w:gridSpan w:val="4"/>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6F550B" w:rsidRPr="006F550B" w:rsidRDefault="006F550B" w:rsidP="006F550B">
            <w:pPr>
              <w:jc w:val="center"/>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Concepto</w:t>
            </w:r>
          </w:p>
        </w:tc>
        <w:tc>
          <w:tcPr>
            <w:tcW w:w="840" w:type="pct"/>
            <w:tcBorders>
              <w:top w:val="single" w:sz="4" w:space="0" w:color="auto"/>
              <w:left w:val="nil"/>
              <w:bottom w:val="single" w:sz="4" w:space="0" w:color="auto"/>
              <w:right w:val="single" w:sz="4" w:space="0" w:color="auto"/>
            </w:tcBorders>
            <w:shd w:val="clear" w:color="000000" w:fill="CCFFCC"/>
            <w:noWrap/>
            <w:vAlign w:val="bottom"/>
            <w:hideMark/>
          </w:tcPr>
          <w:p w:rsidR="006F550B" w:rsidRPr="006F550B" w:rsidRDefault="006F550B" w:rsidP="006F550B">
            <w:pPr>
              <w:jc w:val="center"/>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2023</w:t>
            </w:r>
          </w:p>
        </w:tc>
        <w:tc>
          <w:tcPr>
            <w:tcW w:w="840" w:type="pct"/>
            <w:tcBorders>
              <w:top w:val="single" w:sz="4" w:space="0" w:color="auto"/>
              <w:left w:val="nil"/>
              <w:bottom w:val="single" w:sz="4" w:space="0" w:color="auto"/>
              <w:right w:val="single" w:sz="4" w:space="0" w:color="auto"/>
            </w:tcBorders>
            <w:shd w:val="clear" w:color="000000" w:fill="CCFFCC"/>
            <w:noWrap/>
            <w:vAlign w:val="bottom"/>
            <w:hideMark/>
          </w:tcPr>
          <w:p w:rsidR="006F550B" w:rsidRPr="006F550B" w:rsidRDefault="006F550B" w:rsidP="006F550B">
            <w:pPr>
              <w:jc w:val="center"/>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2022</w:t>
            </w:r>
          </w:p>
        </w:tc>
      </w:tr>
      <w:tr w:rsidR="006F550B" w:rsidRPr="006F550B" w:rsidTr="006F550B">
        <w:trPr>
          <w:trHeight w:val="300"/>
        </w:trPr>
        <w:tc>
          <w:tcPr>
            <w:tcW w:w="2721" w:type="pct"/>
            <w:gridSpan w:val="2"/>
            <w:tcBorders>
              <w:top w:val="single" w:sz="4" w:space="0" w:color="auto"/>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Actualización de provisiones</w:t>
            </w:r>
          </w:p>
        </w:tc>
        <w:tc>
          <w:tcPr>
            <w:tcW w:w="283"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316"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356.833,74</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57.278,86</w:t>
            </w:r>
          </w:p>
        </w:tc>
      </w:tr>
      <w:tr w:rsidR="006F550B" w:rsidRPr="006F550B" w:rsidTr="006F550B">
        <w:trPr>
          <w:trHeight w:val="300"/>
        </w:trPr>
        <w:tc>
          <w:tcPr>
            <w:tcW w:w="3004" w:type="pct"/>
            <w:gridSpan w:val="3"/>
            <w:tcBorders>
              <w:top w:val="single" w:sz="4" w:space="0" w:color="auto"/>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Intereses de demora por otros conceptos</w:t>
            </w:r>
          </w:p>
        </w:tc>
        <w:tc>
          <w:tcPr>
            <w:tcW w:w="316"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9.278,27</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6.943,47</w:t>
            </w:r>
          </w:p>
        </w:tc>
      </w:tr>
      <w:tr w:rsidR="006F550B" w:rsidRPr="006F550B" w:rsidTr="006F550B">
        <w:trPr>
          <w:trHeight w:val="300"/>
        </w:trPr>
        <w:tc>
          <w:tcPr>
            <w:tcW w:w="2438" w:type="pct"/>
            <w:tcBorders>
              <w:top w:val="nil"/>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Total</w:t>
            </w:r>
          </w:p>
        </w:tc>
        <w:tc>
          <w:tcPr>
            <w:tcW w:w="283"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283"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316"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366.112,01</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64.222,33</w:t>
            </w:r>
          </w:p>
        </w:tc>
      </w:tr>
    </w:tbl>
    <w:p w:rsidR="008A1987" w:rsidRDefault="008A1987" w:rsidP="00245534">
      <w:pPr>
        <w:tabs>
          <w:tab w:val="right" w:pos="8364"/>
        </w:tabs>
        <w:jc w:val="both"/>
        <w:rPr>
          <w:b/>
          <w:bCs/>
          <w:sz w:val="24"/>
        </w:rPr>
      </w:pPr>
      <w:r>
        <w:rPr>
          <w:b/>
          <w:bCs/>
          <w:sz w:val="24"/>
        </w:rPr>
        <w:br w:type="page"/>
      </w:r>
    </w:p>
    <w:p w:rsidR="00CA7882" w:rsidRPr="00192EA6" w:rsidRDefault="00CA7882" w:rsidP="00B114F7">
      <w:pPr>
        <w:tabs>
          <w:tab w:val="right" w:pos="8364"/>
        </w:tabs>
        <w:jc w:val="both"/>
        <w:rPr>
          <w:b/>
          <w:bCs/>
          <w:sz w:val="24"/>
        </w:rPr>
      </w:pPr>
    </w:p>
    <w:p w:rsidR="002C4355" w:rsidRPr="007B5A30" w:rsidRDefault="00253378" w:rsidP="002019D4">
      <w:pPr>
        <w:tabs>
          <w:tab w:val="right" w:pos="8364"/>
        </w:tabs>
        <w:ind w:left="567" w:hanging="567"/>
        <w:jc w:val="both"/>
        <w:rPr>
          <w:rFonts w:ascii="NewBaskerville" w:hAnsi="NewBaskerville"/>
          <w:b/>
          <w:bCs/>
        </w:rPr>
      </w:pPr>
      <w:r w:rsidRPr="007B5A30">
        <w:rPr>
          <w:rFonts w:ascii="NewBaskerville" w:hAnsi="NewBaskerville"/>
          <w:b/>
          <w:bCs/>
        </w:rPr>
        <w:t xml:space="preserve"> </w:t>
      </w:r>
      <w:r w:rsidR="003A2FD1" w:rsidRPr="007B5A30">
        <w:rPr>
          <w:rFonts w:ascii="NewBaskerville" w:hAnsi="NewBaskerville"/>
          <w:b/>
          <w:bCs/>
        </w:rPr>
        <w:t>b) Ingresos</w:t>
      </w:r>
      <w:r w:rsidR="000A2322" w:rsidRPr="007B5A30">
        <w:rPr>
          <w:rFonts w:ascii="NewBaskerville" w:hAnsi="NewBaskerville"/>
          <w:b/>
          <w:bCs/>
        </w:rPr>
        <w:t xml:space="preserve"> </w:t>
      </w:r>
    </w:p>
    <w:p w:rsidR="002C4355" w:rsidRDefault="002C4355" w:rsidP="009F0C37">
      <w:pPr>
        <w:tabs>
          <w:tab w:val="right" w:pos="8364"/>
        </w:tabs>
        <w:jc w:val="both"/>
        <w:rPr>
          <w:rFonts w:ascii="NewBaskerville" w:hAnsi="NewBaskerville"/>
          <w:bCs/>
        </w:rPr>
      </w:pPr>
    </w:p>
    <w:p w:rsidR="00A563E0" w:rsidRPr="007B5A30" w:rsidRDefault="00A563E0" w:rsidP="009F0C37">
      <w:pPr>
        <w:tabs>
          <w:tab w:val="right" w:pos="8364"/>
        </w:tabs>
        <w:jc w:val="both"/>
        <w:rPr>
          <w:rFonts w:ascii="NewBaskerville" w:hAnsi="NewBaskerville"/>
          <w:bCs/>
        </w:rPr>
      </w:pPr>
    </w:p>
    <w:p w:rsidR="002C4355" w:rsidRPr="007B5A30" w:rsidRDefault="00192EA6" w:rsidP="002019D4">
      <w:pPr>
        <w:tabs>
          <w:tab w:val="right" w:pos="8364"/>
        </w:tabs>
        <w:ind w:left="567"/>
        <w:jc w:val="both"/>
        <w:rPr>
          <w:rFonts w:ascii="NewBaskerville" w:hAnsi="NewBaskerville"/>
          <w:bCs/>
        </w:rPr>
      </w:pPr>
      <w:r w:rsidRPr="007B5A30">
        <w:rPr>
          <w:rFonts w:ascii="NewBaskerville" w:hAnsi="NewBaskerville"/>
          <w:bCs/>
        </w:rPr>
        <w:t xml:space="preserve"> b.1) </w:t>
      </w:r>
      <w:r w:rsidR="002C4355" w:rsidRPr="007B5A30">
        <w:rPr>
          <w:rFonts w:ascii="NewBaskerville" w:hAnsi="NewBaskerville"/>
          <w:bCs/>
        </w:rPr>
        <w:t>Otros ingresos de negocio</w:t>
      </w:r>
      <w:r w:rsidR="006F550B">
        <w:rPr>
          <w:rFonts w:ascii="NewBaskerville" w:hAnsi="NewBaskerville"/>
          <w:bCs/>
        </w:rPr>
        <w:t>:</w:t>
      </w:r>
    </w:p>
    <w:p w:rsidR="002304EF" w:rsidRPr="00846803" w:rsidRDefault="002304EF" w:rsidP="00C05DE0">
      <w:pPr>
        <w:tabs>
          <w:tab w:val="right" w:pos="8364"/>
        </w:tabs>
        <w:jc w:val="both"/>
      </w:pPr>
    </w:p>
    <w:tbl>
      <w:tblPr>
        <w:tblW w:w="5000" w:type="pct"/>
        <w:tblCellMar>
          <w:left w:w="70" w:type="dxa"/>
          <w:right w:w="70" w:type="dxa"/>
        </w:tblCellMar>
        <w:tblLook w:val="04A0" w:firstRow="1" w:lastRow="0" w:firstColumn="1" w:lastColumn="0" w:noHBand="0" w:noVBand="1"/>
      </w:tblPr>
      <w:tblGrid>
        <w:gridCol w:w="4221"/>
        <w:gridCol w:w="489"/>
        <w:gridCol w:w="489"/>
        <w:gridCol w:w="546"/>
        <w:gridCol w:w="1450"/>
        <w:gridCol w:w="1449"/>
      </w:tblGrid>
      <w:tr w:rsidR="006F550B" w:rsidRPr="006F550B" w:rsidTr="006F550B">
        <w:trPr>
          <w:trHeight w:val="300"/>
        </w:trPr>
        <w:tc>
          <w:tcPr>
            <w:tcW w:w="3323" w:type="pct"/>
            <w:gridSpan w:val="4"/>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6F550B" w:rsidRPr="006F550B" w:rsidRDefault="006F550B" w:rsidP="006F550B">
            <w:pPr>
              <w:jc w:val="center"/>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Concepto</w:t>
            </w:r>
          </w:p>
        </w:tc>
        <w:tc>
          <w:tcPr>
            <w:tcW w:w="839" w:type="pct"/>
            <w:tcBorders>
              <w:top w:val="single" w:sz="4" w:space="0" w:color="auto"/>
              <w:left w:val="nil"/>
              <w:bottom w:val="single" w:sz="4" w:space="0" w:color="auto"/>
              <w:right w:val="single" w:sz="4" w:space="0" w:color="auto"/>
            </w:tcBorders>
            <w:shd w:val="clear" w:color="000000" w:fill="CCFFCC"/>
            <w:noWrap/>
            <w:vAlign w:val="bottom"/>
            <w:hideMark/>
          </w:tcPr>
          <w:p w:rsidR="006F550B" w:rsidRPr="006F550B" w:rsidRDefault="006F550B" w:rsidP="006F550B">
            <w:pPr>
              <w:jc w:val="center"/>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2023</w:t>
            </w:r>
          </w:p>
        </w:tc>
        <w:tc>
          <w:tcPr>
            <w:tcW w:w="839" w:type="pct"/>
            <w:tcBorders>
              <w:top w:val="single" w:sz="4" w:space="0" w:color="auto"/>
              <w:left w:val="nil"/>
              <w:bottom w:val="single" w:sz="4" w:space="0" w:color="auto"/>
              <w:right w:val="single" w:sz="4" w:space="0" w:color="auto"/>
            </w:tcBorders>
            <w:shd w:val="clear" w:color="000000" w:fill="CCFFCC"/>
            <w:noWrap/>
            <w:vAlign w:val="bottom"/>
            <w:hideMark/>
          </w:tcPr>
          <w:p w:rsidR="006F550B" w:rsidRPr="006F550B" w:rsidRDefault="006F550B" w:rsidP="006F550B">
            <w:pPr>
              <w:jc w:val="center"/>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2022</w:t>
            </w:r>
          </w:p>
        </w:tc>
      </w:tr>
      <w:tr w:rsidR="006F550B" w:rsidRPr="006F550B" w:rsidTr="006F550B">
        <w:trPr>
          <w:trHeight w:val="300"/>
        </w:trPr>
        <w:tc>
          <w:tcPr>
            <w:tcW w:w="2724" w:type="pct"/>
            <w:gridSpan w:val="2"/>
            <w:tcBorders>
              <w:top w:val="single" w:sz="4" w:space="0" w:color="auto"/>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Importes adicionales a las tasas</w:t>
            </w:r>
          </w:p>
        </w:tc>
        <w:tc>
          <w:tcPr>
            <w:tcW w:w="283"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316"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39"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31.241.745,02</w:t>
            </w:r>
          </w:p>
        </w:tc>
        <w:tc>
          <w:tcPr>
            <w:tcW w:w="839"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23.390.083,30</w:t>
            </w:r>
          </w:p>
        </w:tc>
      </w:tr>
      <w:tr w:rsidR="006F550B" w:rsidRPr="006F550B" w:rsidTr="006F550B">
        <w:trPr>
          <w:trHeight w:val="300"/>
        </w:trPr>
        <w:tc>
          <w:tcPr>
            <w:tcW w:w="2724" w:type="pct"/>
            <w:gridSpan w:val="2"/>
            <w:tcBorders>
              <w:top w:val="single" w:sz="4" w:space="0" w:color="auto"/>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Tarifas por servicios comerciales</w:t>
            </w:r>
          </w:p>
        </w:tc>
        <w:tc>
          <w:tcPr>
            <w:tcW w:w="283"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316"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39"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8.349.830,27</w:t>
            </w:r>
          </w:p>
        </w:tc>
        <w:tc>
          <w:tcPr>
            <w:tcW w:w="839"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8.266.775,36</w:t>
            </w:r>
          </w:p>
        </w:tc>
      </w:tr>
      <w:tr w:rsidR="006F550B" w:rsidRPr="006F550B" w:rsidTr="006F550B">
        <w:trPr>
          <w:trHeight w:val="300"/>
        </w:trPr>
        <w:tc>
          <w:tcPr>
            <w:tcW w:w="3323"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xml:space="preserve">Tarifas por el servicio de recepción de desechos </w:t>
            </w:r>
            <w:r w:rsidR="00DD448C" w:rsidRPr="006F550B">
              <w:rPr>
                <w:rFonts w:ascii="Lucida Bright" w:hAnsi="Lucida Bright" w:cs="Calibri"/>
                <w:color w:val="000000"/>
                <w:sz w:val="14"/>
                <w:szCs w:val="14"/>
                <w:lang w:val="es-ES"/>
              </w:rPr>
              <w:t>generados</w:t>
            </w:r>
            <w:r w:rsidRPr="006F550B">
              <w:rPr>
                <w:rFonts w:ascii="Lucida Bright" w:hAnsi="Lucida Bright" w:cs="Calibri"/>
                <w:color w:val="000000"/>
                <w:sz w:val="14"/>
                <w:szCs w:val="14"/>
                <w:lang w:val="es-ES"/>
              </w:rPr>
              <w:t xml:space="preserve"> por buques</w:t>
            </w:r>
          </w:p>
        </w:tc>
        <w:tc>
          <w:tcPr>
            <w:tcW w:w="839"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4.296.813,60</w:t>
            </w:r>
          </w:p>
        </w:tc>
        <w:tc>
          <w:tcPr>
            <w:tcW w:w="839"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4.002.754,31</w:t>
            </w:r>
          </w:p>
        </w:tc>
      </w:tr>
      <w:tr w:rsidR="006F550B" w:rsidRPr="006F550B" w:rsidTr="006F550B">
        <w:trPr>
          <w:trHeight w:val="300"/>
        </w:trPr>
        <w:tc>
          <w:tcPr>
            <w:tcW w:w="2441" w:type="pct"/>
            <w:tcBorders>
              <w:top w:val="nil"/>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Total</w:t>
            </w:r>
          </w:p>
        </w:tc>
        <w:tc>
          <w:tcPr>
            <w:tcW w:w="283"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283"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316"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39"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43.888.388,89</w:t>
            </w:r>
          </w:p>
        </w:tc>
        <w:tc>
          <w:tcPr>
            <w:tcW w:w="839"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35.659.612,97</w:t>
            </w:r>
          </w:p>
        </w:tc>
      </w:tr>
    </w:tbl>
    <w:p w:rsidR="00A563E0" w:rsidRDefault="00A563E0" w:rsidP="00D8691B">
      <w:pPr>
        <w:tabs>
          <w:tab w:val="right" w:pos="8364"/>
        </w:tabs>
        <w:ind w:right="2977"/>
        <w:jc w:val="both"/>
        <w:rPr>
          <w:sz w:val="24"/>
        </w:rPr>
      </w:pPr>
    </w:p>
    <w:p w:rsidR="00A563E0" w:rsidRDefault="00A563E0" w:rsidP="00D8691B">
      <w:pPr>
        <w:tabs>
          <w:tab w:val="right" w:pos="8364"/>
        </w:tabs>
        <w:ind w:right="2977"/>
        <w:jc w:val="both"/>
        <w:rPr>
          <w:sz w:val="24"/>
        </w:rPr>
      </w:pPr>
    </w:p>
    <w:p w:rsidR="005B3620" w:rsidRPr="006265E2" w:rsidRDefault="00192EA6" w:rsidP="002019D4">
      <w:pPr>
        <w:tabs>
          <w:tab w:val="right" w:pos="8364"/>
        </w:tabs>
        <w:ind w:left="567"/>
        <w:jc w:val="both"/>
        <w:rPr>
          <w:rFonts w:ascii="NewBaskerville" w:hAnsi="NewBaskerville"/>
          <w:bCs/>
        </w:rPr>
      </w:pPr>
      <w:r w:rsidRPr="006265E2">
        <w:rPr>
          <w:rFonts w:ascii="NewBaskerville" w:hAnsi="NewBaskerville"/>
          <w:bCs/>
        </w:rPr>
        <w:t xml:space="preserve">b.2) </w:t>
      </w:r>
      <w:r w:rsidR="002C4355" w:rsidRPr="006265E2">
        <w:rPr>
          <w:rFonts w:ascii="NewBaskerville" w:hAnsi="NewBaskerville"/>
          <w:bCs/>
        </w:rPr>
        <w:t>Ingresos accesorios y otros de gestión corriente</w:t>
      </w:r>
      <w:r w:rsidR="007148D9">
        <w:rPr>
          <w:rFonts w:ascii="NewBaskerville" w:hAnsi="NewBaskerville"/>
          <w:bCs/>
        </w:rPr>
        <w:t>:</w:t>
      </w:r>
    </w:p>
    <w:p w:rsidR="00300BDF" w:rsidRDefault="00300BDF" w:rsidP="002019D4">
      <w:pPr>
        <w:tabs>
          <w:tab w:val="right" w:pos="8364"/>
        </w:tabs>
        <w:ind w:left="567"/>
        <w:jc w:val="both"/>
        <w:rPr>
          <w:bCs/>
        </w:rPr>
      </w:pPr>
    </w:p>
    <w:tbl>
      <w:tblPr>
        <w:tblW w:w="5000" w:type="pct"/>
        <w:tblCellMar>
          <w:left w:w="70" w:type="dxa"/>
          <w:right w:w="70" w:type="dxa"/>
        </w:tblCellMar>
        <w:tblLook w:val="04A0" w:firstRow="1" w:lastRow="0" w:firstColumn="1" w:lastColumn="0" w:noHBand="0" w:noVBand="1"/>
      </w:tblPr>
      <w:tblGrid>
        <w:gridCol w:w="4717"/>
        <w:gridCol w:w="328"/>
        <w:gridCol w:w="328"/>
        <w:gridCol w:w="367"/>
        <w:gridCol w:w="1452"/>
        <w:gridCol w:w="1452"/>
      </w:tblGrid>
      <w:tr w:rsidR="006F550B" w:rsidRPr="006F550B" w:rsidTr="006F550B">
        <w:trPr>
          <w:trHeight w:val="300"/>
        </w:trPr>
        <w:tc>
          <w:tcPr>
            <w:tcW w:w="3319" w:type="pct"/>
            <w:gridSpan w:val="4"/>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6F550B" w:rsidRPr="006F550B" w:rsidRDefault="006F550B" w:rsidP="006F550B">
            <w:pPr>
              <w:jc w:val="center"/>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Concepto</w:t>
            </w:r>
          </w:p>
        </w:tc>
        <w:tc>
          <w:tcPr>
            <w:tcW w:w="840" w:type="pct"/>
            <w:tcBorders>
              <w:top w:val="single" w:sz="4" w:space="0" w:color="auto"/>
              <w:left w:val="nil"/>
              <w:bottom w:val="single" w:sz="4" w:space="0" w:color="auto"/>
              <w:right w:val="single" w:sz="4" w:space="0" w:color="auto"/>
            </w:tcBorders>
            <w:shd w:val="clear" w:color="000000" w:fill="CCFFCC"/>
            <w:noWrap/>
            <w:vAlign w:val="bottom"/>
            <w:hideMark/>
          </w:tcPr>
          <w:p w:rsidR="006F550B" w:rsidRPr="006F550B" w:rsidRDefault="006F550B" w:rsidP="006F550B">
            <w:pPr>
              <w:jc w:val="center"/>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2023</w:t>
            </w:r>
          </w:p>
        </w:tc>
        <w:tc>
          <w:tcPr>
            <w:tcW w:w="840" w:type="pct"/>
            <w:tcBorders>
              <w:top w:val="single" w:sz="4" w:space="0" w:color="auto"/>
              <w:left w:val="nil"/>
              <w:bottom w:val="single" w:sz="4" w:space="0" w:color="auto"/>
              <w:right w:val="single" w:sz="4" w:space="0" w:color="auto"/>
            </w:tcBorders>
            <w:shd w:val="clear" w:color="000000" w:fill="CCFFCC"/>
            <w:noWrap/>
            <w:vAlign w:val="bottom"/>
            <w:hideMark/>
          </w:tcPr>
          <w:p w:rsidR="006F550B" w:rsidRPr="006F550B" w:rsidRDefault="006F550B" w:rsidP="006F550B">
            <w:pPr>
              <w:jc w:val="center"/>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2022</w:t>
            </w:r>
          </w:p>
        </w:tc>
      </w:tr>
      <w:tr w:rsidR="006F550B" w:rsidRPr="006F550B" w:rsidTr="006F550B">
        <w:trPr>
          <w:trHeight w:val="300"/>
        </w:trPr>
        <w:tc>
          <w:tcPr>
            <w:tcW w:w="2917" w:type="pct"/>
            <w:gridSpan w:val="2"/>
            <w:tcBorders>
              <w:top w:val="single" w:sz="4" w:space="0" w:color="auto"/>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Ingresos por tráficos mínimos</w:t>
            </w:r>
          </w:p>
        </w:tc>
        <w:tc>
          <w:tcPr>
            <w:tcW w:w="190"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212"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0,00</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1.645,25</w:t>
            </w:r>
          </w:p>
        </w:tc>
      </w:tr>
      <w:tr w:rsidR="006F550B" w:rsidRPr="006F550B" w:rsidTr="006F550B">
        <w:trPr>
          <w:trHeight w:val="300"/>
        </w:trPr>
        <w:tc>
          <w:tcPr>
            <w:tcW w:w="2917" w:type="pct"/>
            <w:gridSpan w:val="2"/>
            <w:tcBorders>
              <w:top w:val="single" w:sz="4" w:space="0" w:color="auto"/>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Ingresos por arrendamientos</w:t>
            </w:r>
          </w:p>
        </w:tc>
        <w:tc>
          <w:tcPr>
            <w:tcW w:w="190"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212"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301.569,85</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406.346,11</w:t>
            </w:r>
          </w:p>
        </w:tc>
      </w:tr>
      <w:tr w:rsidR="006F550B" w:rsidRPr="006F550B" w:rsidTr="006F550B">
        <w:trPr>
          <w:trHeight w:val="300"/>
        </w:trPr>
        <w:tc>
          <w:tcPr>
            <w:tcW w:w="2917" w:type="pct"/>
            <w:gridSpan w:val="2"/>
            <w:tcBorders>
              <w:top w:val="single" w:sz="4" w:space="0" w:color="auto"/>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Ingresos por servicios al personal</w:t>
            </w:r>
          </w:p>
        </w:tc>
        <w:tc>
          <w:tcPr>
            <w:tcW w:w="190"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212"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391.515,51</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381.855,06</w:t>
            </w:r>
          </w:p>
        </w:tc>
      </w:tr>
      <w:tr w:rsidR="006F550B" w:rsidRPr="006F550B" w:rsidTr="006F550B">
        <w:trPr>
          <w:trHeight w:val="300"/>
        </w:trPr>
        <w:tc>
          <w:tcPr>
            <w:tcW w:w="2917" w:type="pct"/>
            <w:gridSpan w:val="2"/>
            <w:tcBorders>
              <w:top w:val="single" w:sz="4" w:space="0" w:color="auto"/>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Ingresos por ventas de publicaciones</w:t>
            </w:r>
          </w:p>
        </w:tc>
        <w:tc>
          <w:tcPr>
            <w:tcW w:w="190"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212"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19.311,85</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20.657,73</w:t>
            </w:r>
          </w:p>
        </w:tc>
      </w:tr>
      <w:tr w:rsidR="006F550B" w:rsidRPr="006F550B" w:rsidTr="006F550B">
        <w:trPr>
          <w:trHeight w:val="300"/>
        </w:trPr>
        <w:tc>
          <w:tcPr>
            <w:tcW w:w="3107" w:type="pct"/>
            <w:gridSpan w:val="3"/>
            <w:tcBorders>
              <w:top w:val="single" w:sz="4" w:space="0" w:color="auto"/>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Servicios de vigilancia, inspección y dirección de obra</w:t>
            </w:r>
          </w:p>
        </w:tc>
        <w:tc>
          <w:tcPr>
            <w:tcW w:w="212"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r>
      <w:tr w:rsidR="006F550B" w:rsidRPr="006F550B" w:rsidTr="006F550B">
        <w:trPr>
          <w:trHeight w:val="300"/>
        </w:trPr>
        <w:tc>
          <w:tcPr>
            <w:tcW w:w="2917" w:type="pct"/>
            <w:gridSpan w:val="2"/>
            <w:tcBorders>
              <w:top w:val="single" w:sz="4" w:space="0" w:color="auto"/>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Ingresos por multas y sanciones</w:t>
            </w:r>
          </w:p>
        </w:tc>
        <w:tc>
          <w:tcPr>
            <w:tcW w:w="190"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212"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522.437,91</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406.956,62</w:t>
            </w:r>
          </w:p>
        </w:tc>
      </w:tr>
      <w:tr w:rsidR="006F550B" w:rsidRPr="006F550B" w:rsidTr="006F550B">
        <w:trPr>
          <w:trHeight w:val="300"/>
        </w:trPr>
        <w:tc>
          <w:tcPr>
            <w:tcW w:w="2917" w:type="pct"/>
            <w:gridSpan w:val="2"/>
            <w:tcBorders>
              <w:top w:val="single" w:sz="4" w:space="0" w:color="auto"/>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Ingresos por indemnizaciones</w:t>
            </w:r>
          </w:p>
        </w:tc>
        <w:tc>
          <w:tcPr>
            <w:tcW w:w="190"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212"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r>
      <w:tr w:rsidR="006F550B" w:rsidRPr="006F550B" w:rsidTr="006F550B">
        <w:trPr>
          <w:trHeight w:val="300"/>
        </w:trPr>
        <w:tc>
          <w:tcPr>
            <w:tcW w:w="3107" w:type="pct"/>
            <w:gridSpan w:val="3"/>
            <w:tcBorders>
              <w:top w:val="single" w:sz="4" w:space="0" w:color="auto"/>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Daños a instalaciones,  costas judiciales</w:t>
            </w:r>
          </w:p>
        </w:tc>
        <w:tc>
          <w:tcPr>
            <w:tcW w:w="212"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30.364,07</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503.073,07</w:t>
            </w:r>
          </w:p>
        </w:tc>
      </w:tr>
      <w:tr w:rsidR="006F550B" w:rsidRPr="006F550B" w:rsidTr="006F550B">
        <w:trPr>
          <w:trHeight w:val="300"/>
        </w:trPr>
        <w:tc>
          <w:tcPr>
            <w:tcW w:w="2728" w:type="pct"/>
            <w:tcBorders>
              <w:top w:val="nil"/>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Recargos</w:t>
            </w:r>
          </w:p>
        </w:tc>
        <w:tc>
          <w:tcPr>
            <w:tcW w:w="190"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190"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212"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67.548,29</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89.769,24</w:t>
            </w:r>
          </w:p>
        </w:tc>
      </w:tr>
      <w:tr w:rsidR="006F550B" w:rsidRPr="006F550B" w:rsidTr="006F550B">
        <w:trPr>
          <w:trHeight w:val="300"/>
        </w:trPr>
        <w:tc>
          <w:tcPr>
            <w:tcW w:w="2917" w:type="pct"/>
            <w:gridSpan w:val="2"/>
            <w:tcBorders>
              <w:top w:val="single" w:sz="4" w:space="0" w:color="auto"/>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Rehabilitación de fallidos</w:t>
            </w:r>
          </w:p>
        </w:tc>
        <w:tc>
          <w:tcPr>
            <w:tcW w:w="190"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212"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252,41</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4.408,81</w:t>
            </w:r>
          </w:p>
        </w:tc>
      </w:tr>
      <w:tr w:rsidR="006F550B" w:rsidRPr="006F550B" w:rsidTr="006F550B">
        <w:trPr>
          <w:trHeight w:val="300"/>
        </w:trPr>
        <w:tc>
          <w:tcPr>
            <w:tcW w:w="2917" w:type="pct"/>
            <w:gridSpan w:val="2"/>
            <w:tcBorders>
              <w:top w:val="single" w:sz="4" w:space="0" w:color="auto"/>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Otros ingresos de gestión:</w:t>
            </w:r>
          </w:p>
        </w:tc>
        <w:tc>
          <w:tcPr>
            <w:tcW w:w="190"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212"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2.729.924,07</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EB035D">
            <w:pPr>
              <w:jc w:val="right"/>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7.56</w:t>
            </w:r>
            <w:r w:rsidR="00EB035D">
              <w:rPr>
                <w:rFonts w:ascii="Lucida Bright" w:hAnsi="Lucida Bright" w:cs="Calibri"/>
                <w:color w:val="000000"/>
                <w:sz w:val="14"/>
                <w:szCs w:val="14"/>
                <w:lang w:val="es-ES"/>
              </w:rPr>
              <w:t>9</w:t>
            </w:r>
            <w:r w:rsidRPr="006F550B">
              <w:rPr>
                <w:rFonts w:ascii="Lucida Bright" w:hAnsi="Lucida Bright" w:cs="Calibri"/>
                <w:color w:val="000000"/>
                <w:sz w:val="14"/>
                <w:szCs w:val="14"/>
                <w:lang w:val="es-ES"/>
              </w:rPr>
              <w:t>.</w:t>
            </w:r>
            <w:r w:rsidR="00EB035D">
              <w:rPr>
                <w:rFonts w:ascii="Lucida Bright" w:hAnsi="Lucida Bright" w:cs="Calibri"/>
                <w:color w:val="000000"/>
                <w:sz w:val="14"/>
                <w:szCs w:val="14"/>
                <w:lang w:val="es-ES"/>
              </w:rPr>
              <w:t>791</w:t>
            </w:r>
            <w:r w:rsidRPr="006F550B">
              <w:rPr>
                <w:rFonts w:ascii="Lucida Bright" w:hAnsi="Lucida Bright" w:cs="Calibri"/>
                <w:color w:val="000000"/>
                <w:sz w:val="14"/>
                <w:szCs w:val="14"/>
                <w:lang w:val="es-ES"/>
              </w:rPr>
              <w:t>,</w:t>
            </w:r>
            <w:r w:rsidR="00EB035D">
              <w:rPr>
                <w:rFonts w:ascii="Lucida Bright" w:hAnsi="Lucida Bright" w:cs="Calibri"/>
                <w:color w:val="000000"/>
                <w:sz w:val="14"/>
                <w:szCs w:val="14"/>
                <w:lang w:val="es-ES"/>
              </w:rPr>
              <w:t>62</w:t>
            </w:r>
          </w:p>
        </w:tc>
      </w:tr>
      <w:tr w:rsidR="006F550B" w:rsidRPr="006F550B" w:rsidTr="006F550B">
        <w:trPr>
          <w:trHeight w:val="420"/>
        </w:trPr>
        <w:tc>
          <w:tcPr>
            <w:tcW w:w="3319"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6F550B" w:rsidRPr="006F550B" w:rsidRDefault="006F550B" w:rsidP="006F550B">
            <w:pPr>
              <w:rPr>
                <w:rFonts w:ascii="Lucida Bright" w:hAnsi="Lucida Bright" w:cs="Calibri"/>
                <w:i/>
                <w:iCs/>
                <w:color w:val="000000"/>
                <w:sz w:val="14"/>
                <w:szCs w:val="14"/>
                <w:lang w:val="es-ES"/>
              </w:rPr>
            </w:pPr>
            <w:r w:rsidRPr="006F550B">
              <w:rPr>
                <w:rFonts w:ascii="Lucida Bright" w:hAnsi="Lucida Bright" w:cs="Calibri"/>
                <w:i/>
                <w:iCs/>
                <w:color w:val="000000"/>
                <w:sz w:val="14"/>
                <w:szCs w:val="14"/>
                <w:lang w:val="es-ES"/>
              </w:rPr>
              <w:t xml:space="preserve">      a) Contraprestación por ocupación del dominio público portuario sin título habilitante, reclamación por enriquecimiento injusto</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i/>
                <w:iCs/>
                <w:color w:val="000000"/>
                <w:sz w:val="14"/>
                <w:szCs w:val="14"/>
                <w:lang w:val="es-ES"/>
              </w:rPr>
            </w:pPr>
            <w:r w:rsidRPr="006F550B">
              <w:rPr>
                <w:rFonts w:ascii="Lucida Bright" w:hAnsi="Lucida Bright" w:cs="Calibri"/>
                <w:i/>
                <w:iCs/>
                <w:color w:val="000000"/>
                <w:sz w:val="14"/>
                <w:szCs w:val="14"/>
                <w:lang w:val="es-ES"/>
              </w:rPr>
              <w:t>835.711,30</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i/>
                <w:iCs/>
                <w:color w:val="000000"/>
                <w:sz w:val="14"/>
                <w:szCs w:val="14"/>
                <w:lang w:val="es-ES"/>
              </w:rPr>
            </w:pPr>
            <w:r w:rsidRPr="006F550B">
              <w:rPr>
                <w:rFonts w:ascii="Lucida Bright" w:hAnsi="Lucida Bright" w:cs="Calibri"/>
                <w:i/>
                <w:iCs/>
                <w:color w:val="000000"/>
                <w:sz w:val="14"/>
                <w:szCs w:val="14"/>
                <w:lang w:val="es-ES"/>
              </w:rPr>
              <w:t>3.608.841,62</w:t>
            </w:r>
          </w:p>
        </w:tc>
      </w:tr>
      <w:tr w:rsidR="006F550B" w:rsidRPr="006F550B" w:rsidTr="006F550B">
        <w:trPr>
          <w:trHeight w:val="420"/>
        </w:trPr>
        <w:tc>
          <w:tcPr>
            <w:tcW w:w="3319"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6F550B" w:rsidRPr="006F550B" w:rsidRDefault="006F550B" w:rsidP="006F550B">
            <w:pPr>
              <w:rPr>
                <w:rFonts w:ascii="Lucida Bright" w:hAnsi="Lucida Bright" w:cs="Calibri"/>
                <w:i/>
                <w:iCs/>
                <w:color w:val="000000"/>
                <w:sz w:val="14"/>
                <w:szCs w:val="14"/>
                <w:lang w:val="es-ES"/>
              </w:rPr>
            </w:pPr>
            <w:r w:rsidRPr="006F550B">
              <w:rPr>
                <w:rFonts w:ascii="Lucida Bright" w:hAnsi="Lucida Bright" w:cs="Calibri"/>
                <w:i/>
                <w:iCs/>
                <w:color w:val="000000"/>
                <w:sz w:val="14"/>
                <w:szCs w:val="14"/>
                <w:lang w:val="es-ES"/>
              </w:rPr>
              <w:t xml:space="preserve">      b) Contraprestación por actividad del dominio público portuario sin título habilitante, reclamación por enriquecimiento injusto</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i/>
                <w:iCs/>
                <w:color w:val="000000"/>
                <w:sz w:val="14"/>
                <w:szCs w:val="14"/>
                <w:lang w:val="es-ES"/>
              </w:rPr>
            </w:pPr>
            <w:r w:rsidRPr="006F550B">
              <w:rPr>
                <w:rFonts w:ascii="Lucida Bright" w:hAnsi="Lucida Bright" w:cs="Calibri"/>
                <w:i/>
                <w:iCs/>
                <w:color w:val="000000"/>
                <w:sz w:val="14"/>
                <w:szCs w:val="14"/>
                <w:lang w:val="es-ES"/>
              </w:rPr>
              <w:t>444.589,09</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i/>
                <w:iCs/>
                <w:color w:val="000000"/>
                <w:sz w:val="14"/>
                <w:szCs w:val="14"/>
                <w:lang w:val="es-ES"/>
              </w:rPr>
            </w:pPr>
            <w:r w:rsidRPr="006F550B">
              <w:rPr>
                <w:rFonts w:ascii="Lucida Bright" w:hAnsi="Lucida Bright" w:cs="Calibri"/>
                <w:i/>
                <w:iCs/>
                <w:color w:val="000000"/>
                <w:sz w:val="14"/>
                <w:szCs w:val="14"/>
                <w:lang w:val="es-ES"/>
              </w:rPr>
              <w:t>1.039.775,90</w:t>
            </w:r>
          </w:p>
        </w:tc>
      </w:tr>
      <w:tr w:rsidR="006F550B" w:rsidRPr="006F550B" w:rsidTr="006F550B">
        <w:trPr>
          <w:trHeight w:val="420"/>
        </w:trPr>
        <w:tc>
          <w:tcPr>
            <w:tcW w:w="3319"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6F550B" w:rsidRPr="006F550B" w:rsidRDefault="006F550B" w:rsidP="006F550B">
            <w:pPr>
              <w:rPr>
                <w:rFonts w:ascii="Lucida Bright" w:hAnsi="Lucida Bright" w:cs="Calibri"/>
                <w:i/>
                <w:iCs/>
                <w:color w:val="000000"/>
                <w:sz w:val="14"/>
                <w:szCs w:val="14"/>
                <w:lang w:val="es-ES"/>
              </w:rPr>
            </w:pPr>
            <w:r w:rsidRPr="006F550B">
              <w:rPr>
                <w:rFonts w:ascii="Lucida Bright" w:hAnsi="Lucida Bright" w:cs="Calibri"/>
                <w:i/>
                <w:iCs/>
                <w:color w:val="000000"/>
                <w:sz w:val="14"/>
                <w:szCs w:val="14"/>
                <w:lang w:val="es-ES"/>
              </w:rPr>
              <w:t xml:space="preserve">     c) Otras contraprestaciones</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i/>
                <w:iCs/>
                <w:color w:val="000000"/>
                <w:sz w:val="14"/>
                <w:szCs w:val="14"/>
                <w:lang w:val="es-ES"/>
              </w:rPr>
            </w:pPr>
            <w:r w:rsidRPr="006F550B">
              <w:rPr>
                <w:rFonts w:ascii="Lucida Bright" w:hAnsi="Lucida Bright" w:cs="Calibri"/>
                <w:i/>
                <w:iCs/>
                <w:color w:val="000000"/>
                <w:sz w:val="14"/>
                <w:szCs w:val="14"/>
                <w:lang w:val="es-ES"/>
              </w:rPr>
              <w:t>1.445.156,84</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i/>
                <w:iCs/>
                <w:color w:val="000000"/>
                <w:sz w:val="14"/>
                <w:szCs w:val="14"/>
                <w:lang w:val="es-ES"/>
              </w:rPr>
            </w:pPr>
            <w:r w:rsidRPr="006F550B">
              <w:rPr>
                <w:rFonts w:ascii="Lucida Bright" w:hAnsi="Lucida Bright" w:cs="Calibri"/>
                <w:i/>
                <w:iCs/>
                <w:color w:val="000000"/>
                <w:sz w:val="14"/>
                <w:szCs w:val="14"/>
                <w:lang w:val="es-ES"/>
              </w:rPr>
              <w:t>2.896.878,96</w:t>
            </w:r>
          </w:p>
        </w:tc>
      </w:tr>
      <w:tr w:rsidR="006F550B" w:rsidRPr="006F550B" w:rsidTr="006F550B">
        <w:trPr>
          <w:trHeight w:val="390"/>
        </w:trPr>
        <w:tc>
          <w:tcPr>
            <w:tcW w:w="3319"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6F550B" w:rsidRPr="006F550B" w:rsidRDefault="006F550B" w:rsidP="006F550B">
            <w:pPr>
              <w:rPr>
                <w:rFonts w:ascii="Lucida Bright" w:hAnsi="Lucida Bright" w:cs="Calibri"/>
                <w:i/>
                <w:iCs/>
                <w:color w:val="000000"/>
                <w:sz w:val="14"/>
                <w:szCs w:val="14"/>
                <w:lang w:val="es-ES"/>
              </w:rPr>
            </w:pPr>
            <w:r w:rsidRPr="006F550B">
              <w:rPr>
                <w:rFonts w:ascii="Lucida Bright" w:hAnsi="Lucida Bright" w:cs="Calibri"/>
                <w:i/>
                <w:iCs/>
                <w:color w:val="000000"/>
                <w:sz w:val="14"/>
                <w:szCs w:val="14"/>
                <w:lang w:val="es-ES"/>
              </w:rPr>
              <w:t xml:space="preserve">     d) Otros ingresos de gestión</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i/>
                <w:iCs/>
                <w:color w:val="000000"/>
                <w:sz w:val="14"/>
                <w:szCs w:val="14"/>
                <w:lang w:val="es-ES"/>
              </w:rPr>
            </w:pPr>
            <w:r w:rsidRPr="006F550B">
              <w:rPr>
                <w:rFonts w:ascii="Lucida Bright" w:hAnsi="Lucida Bright" w:cs="Calibri"/>
                <w:i/>
                <w:iCs/>
                <w:color w:val="000000"/>
                <w:sz w:val="14"/>
                <w:szCs w:val="14"/>
                <w:lang w:val="es-ES"/>
              </w:rPr>
              <w:t>4.466,84</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EB035D">
            <w:pPr>
              <w:jc w:val="right"/>
              <w:rPr>
                <w:rFonts w:ascii="Lucida Bright" w:hAnsi="Lucida Bright" w:cs="Calibri"/>
                <w:i/>
                <w:iCs/>
                <w:color w:val="000000"/>
                <w:sz w:val="14"/>
                <w:szCs w:val="14"/>
                <w:lang w:val="es-ES"/>
              </w:rPr>
            </w:pPr>
            <w:r w:rsidRPr="006F550B">
              <w:rPr>
                <w:rFonts w:ascii="Lucida Bright" w:hAnsi="Lucida Bright" w:cs="Calibri"/>
                <w:i/>
                <w:iCs/>
                <w:color w:val="000000"/>
                <w:sz w:val="14"/>
                <w:szCs w:val="14"/>
                <w:lang w:val="es-ES"/>
              </w:rPr>
              <w:t>2</w:t>
            </w:r>
            <w:r w:rsidR="00EB035D">
              <w:rPr>
                <w:rFonts w:ascii="Lucida Bright" w:hAnsi="Lucida Bright" w:cs="Calibri"/>
                <w:i/>
                <w:iCs/>
                <w:color w:val="000000"/>
                <w:sz w:val="14"/>
                <w:szCs w:val="14"/>
                <w:lang w:val="es-ES"/>
              </w:rPr>
              <w:t>4</w:t>
            </w:r>
            <w:r w:rsidRPr="006F550B">
              <w:rPr>
                <w:rFonts w:ascii="Lucida Bright" w:hAnsi="Lucida Bright" w:cs="Calibri"/>
                <w:i/>
                <w:iCs/>
                <w:color w:val="000000"/>
                <w:sz w:val="14"/>
                <w:szCs w:val="14"/>
                <w:lang w:val="es-ES"/>
              </w:rPr>
              <w:t>.</w:t>
            </w:r>
            <w:r w:rsidR="00EB035D">
              <w:rPr>
                <w:rFonts w:ascii="Lucida Bright" w:hAnsi="Lucida Bright" w:cs="Calibri"/>
                <w:i/>
                <w:iCs/>
                <w:color w:val="000000"/>
                <w:sz w:val="14"/>
                <w:szCs w:val="14"/>
                <w:lang w:val="es-ES"/>
              </w:rPr>
              <w:t>295</w:t>
            </w:r>
            <w:r w:rsidRPr="006F550B">
              <w:rPr>
                <w:rFonts w:ascii="Lucida Bright" w:hAnsi="Lucida Bright" w:cs="Calibri"/>
                <w:i/>
                <w:iCs/>
                <w:color w:val="000000"/>
                <w:sz w:val="14"/>
                <w:szCs w:val="14"/>
                <w:lang w:val="es-ES"/>
              </w:rPr>
              <w:t>,</w:t>
            </w:r>
            <w:r w:rsidR="00EB035D">
              <w:rPr>
                <w:rFonts w:ascii="Lucida Bright" w:hAnsi="Lucida Bright" w:cs="Calibri"/>
                <w:i/>
                <w:iCs/>
                <w:color w:val="000000"/>
                <w:sz w:val="14"/>
                <w:szCs w:val="14"/>
                <w:lang w:val="es-ES"/>
              </w:rPr>
              <w:t>14</w:t>
            </w:r>
          </w:p>
        </w:tc>
      </w:tr>
      <w:tr w:rsidR="006F550B" w:rsidRPr="006F550B" w:rsidTr="006F550B">
        <w:trPr>
          <w:trHeight w:val="300"/>
        </w:trPr>
        <w:tc>
          <w:tcPr>
            <w:tcW w:w="2728" w:type="pct"/>
            <w:tcBorders>
              <w:top w:val="nil"/>
              <w:left w:val="single" w:sz="4" w:space="0" w:color="auto"/>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Total</w:t>
            </w:r>
          </w:p>
        </w:tc>
        <w:tc>
          <w:tcPr>
            <w:tcW w:w="190"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190" w:type="pct"/>
            <w:tcBorders>
              <w:top w:val="nil"/>
              <w:left w:val="nil"/>
              <w:bottom w:val="single" w:sz="4" w:space="0" w:color="auto"/>
              <w:right w:val="nil"/>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212"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6F550B">
            <w:pPr>
              <w:rPr>
                <w:rFonts w:ascii="Lucida Bright" w:hAnsi="Lucida Bright" w:cs="Calibri"/>
                <w:color w:val="000000"/>
                <w:sz w:val="14"/>
                <w:szCs w:val="14"/>
                <w:lang w:val="es-ES"/>
              </w:rPr>
            </w:pPr>
            <w:r w:rsidRPr="006F550B">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6F550B" w:rsidRPr="006F550B" w:rsidRDefault="006F550B" w:rsidP="006F550B">
            <w:pPr>
              <w:jc w:val="right"/>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4.062.923,96</w:t>
            </w:r>
          </w:p>
        </w:tc>
        <w:tc>
          <w:tcPr>
            <w:tcW w:w="840" w:type="pct"/>
            <w:tcBorders>
              <w:top w:val="nil"/>
              <w:left w:val="nil"/>
              <w:bottom w:val="single" w:sz="4" w:space="0" w:color="auto"/>
              <w:right w:val="single" w:sz="4" w:space="0" w:color="auto"/>
            </w:tcBorders>
            <w:shd w:val="clear" w:color="auto" w:fill="auto"/>
            <w:noWrap/>
            <w:vAlign w:val="bottom"/>
            <w:hideMark/>
          </w:tcPr>
          <w:p w:rsidR="006F550B" w:rsidRPr="006F550B" w:rsidRDefault="006F550B" w:rsidP="00EB035D">
            <w:pPr>
              <w:jc w:val="right"/>
              <w:rPr>
                <w:rFonts w:ascii="Lucida Bright" w:hAnsi="Lucida Bright" w:cs="Calibri"/>
                <w:b/>
                <w:bCs/>
                <w:color w:val="000000"/>
                <w:sz w:val="14"/>
                <w:szCs w:val="14"/>
                <w:lang w:val="es-ES"/>
              </w:rPr>
            </w:pPr>
            <w:r w:rsidRPr="006F550B">
              <w:rPr>
                <w:rFonts w:ascii="Lucida Bright" w:hAnsi="Lucida Bright" w:cs="Calibri"/>
                <w:b/>
                <w:bCs/>
                <w:color w:val="000000"/>
                <w:sz w:val="14"/>
                <w:szCs w:val="14"/>
                <w:lang w:val="es-ES"/>
              </w:rPr>
              <w:t>9.38</w:t>
            </w:r>
            <w:r w:rsidR="00EB035D">
              <w:rPr>
                <w:rFonts w:ascii="Lucida Bright" w:hAnsi="Lucida Bright" w:cs="Calibri"/>
                <w:b/>
                <w:bCs/>
                <w:color w:val="000000"/>
                <w:sz w:val="14"/>
                <w:szCs w:val="14"/>
                <w:lang w:val="es-ES"/>
              </w:rPr>
              <w:t>4</w:t>
            </w:r>
            <w:r w:rsidRPr="006F550B">
              <w:rPr>
                <w:rFonts w:ascii="Lucida Bright" w:hAnsi="Lucida Bright" w:cs="Calibri"/>
                <w:b/>
                <w:bCs/>
                <w:color w:val="000000"/>
                <w:sz w:val="14"/>
                <w:szCs w:val="14"/>
                <w:lang w:val="es-ES"/>
              </w:rPr>
              <w:t>.</w:t>
            </w:r>
            <w:r w:rsidR="00EB035D">
              <w:rPr>
                <w:rFonts w:ascii="Lucida Bright" w:hAnsi="Lucida Bright" w:cs="Calibri"/>
                <w:b/>
                <w:bCs/>
                <w:color w:val="000000"/>
                <w:sz w:val="14"/>
                <w:szCs w:val="14"/>
                <w:lang w:val="es-ES"/>
              </w:rPr>
              <w:t>503</w:t>
            </w:r>
            <w:r w:rsidRPr="006F550B">
              <w:rPr>
                <w:rFonts w:ascii="Lucida Bright" w:hAnsi="Lucida Bright" w:cs="Calibri"/>
                <w:b/>
                <w:bCs/>
                <w:color w:val="000000"/>
                <w:sz w:val="14"/>
                <w:szCs w:val="14"/>
                <w:lang w:val="es-ES"/>
              </w:rPr>
              <w:t>,</w:t>
            </w:r>
            <w:r w:rsidR="00EB035D">
              <w:rPr>
                <w:rFonts w:ascii="Lucida Bright" w:hAnsi="Lucida Bright" w:cs="Calibri"/>
                <w:b/>
                <w:bCs/>
                <w:color w:val="000000"/>
                <w:sz w:val="14"/>
                <w:szCs w:val="14"/>
                <w:lang w:val="es-ES"/>
              </w:rPr>
              <w:t>51</w:t>
            </w:r>
          </w:p>
        </w:tc>
      </w:tr>
    </w:tbl>
    <w:p w:rsidR="00300BDF" w:rsidRDefault="00300BDF" w:rsidP="002019D4">
      <w:pPr>
        <w:tabs>
          <w:tab w:val="right" w:pos="8364"/>
        </w:tabs>
        <w:ind w:left="567"/>
        <w:jc w:val="both"/>
        <w:rPr>
          <w:bCs/>
        </w:rPr>
      </w:pPr>
    </w:p>
    <w:p w:rsidR="00AD6BAC" w:rsidRDefault="00AD6BAC" w:rsidP="002019D4">
      <w:pPr>
        <w:tabs>
          <w:tab w:val="right" w:pos="8364"/>
        </w:tabs>
        <w:ind w:left="567"/>
        <w:jc w:val="both"/>
        <w:rPr>
          <w:bCs/>
        </w:rPr>
      </w:pPr>
    </w:p>
    <w:p w:rsidR="006B4182" w:rsidRPr="00AD6BAC" w:rsidRDefault="00192EA6" w:rsidP="002019D4">
      <w:pPr>
        <w:tabs>
          <w:tab w:val="right" w:pos="8364"/>
        </w:tabs>
        <w:ind w:left="567"/>
        <w:jc w:val="both"/>
        <w:rPr>
          <w:rFonts w:ascii="NewBaskerville" w:hAnsi="NewBaskerville"/>
          <w:bCs/>
        </w:rPr>
      </w:pPr>
      <w:r w:rsidRPr="00AD6BAC">
        <w:rPr>
          <w:rFonts w:ascii="NewBaskerville" w:hAnsi="NewBaskerville"/>
          <w:bCs/>
        </w:rPr>
        <w:t xml:space="preserve">b.3) </w:t>
      </w:r>
      <w:r w:rsidR="003F0772" w:rsidRPr="00AD6BAC">
        <w:rPr>
          <w:rFonts w:ascii="NewBaskerville" w:hAnsi="NewBaskerville"/>
          <w:bCs/>
        </w:rPr>
        <w:t>Subvenciones de explotación</w:t>
      </w:r>
    </w:p>
    <w:p w:rsidR="003F0772" w:rsidRPr="00846803" w:rsidRDefault="003F0772" w:rsidP="006B4182">
      <w:pPr>
        <w:tabs>
          <w:tab w:val="right" w:pos="8364"/>
        </w:tabs>
        <w:ind w:left="360"/>
        <w:jc w:val="both"/>
        <w:rPr>
          <w:bCs/>
        </w:rPr>
      </w:pPr>
      <w:r w:rsidRPr="00846803">
        <w:rPr>
          <w:bCs/>
        </w:rPr>
        <w:t xml:space="preserve"> </w:t>
      </w:r>
    </w:p>
    <w:p w:rsidR="00781D42" w:rsidRDefault="00AE1189" w:rsidP="00781D42">
      <w:pPr>
        <w:tabs>
          <w:tab w:val="right" w:pos="8364"/>
        </w:tabs>
        <w:ind w:firstLine="567"/>
        <w:jc w:val="both"/>
        <w:rPr>
          <w:rFonts w:ascii="NewBaskerville" w:hAnsi="NewBaskerville"/>
          <w:bCs/>
        </w:rPr>
      </w:pPr>
      <w:r>
        <w:rPr>
          <w:rFonts w:ascii="NewBaskerville" w:hAnsi="NewBaskerville"/>
          <w:bCs/>
        </w:rPr>
        <w:t>La APB como destinataria</w:t>
      </w:r>
      <w:r w:rsidR="007148D9">
        <w:rPr>
          <w:rFonts w:ascii="NewBaskerville" w:hAnsi="NewBaskerville"/>
          <w:bCs/>
        </w:rPr>
        <w:t xml:space="preserve"> del reparto del Fondo de Solidaridad de la Unión Europea por el gasto para mitigar los efectos provocados por la pandemia de COVID-19, </w:t>
      </w:r>
      <w:r w:rsidR="003E4A98">
        <w:rPr>
          <w:rFonts w:ascii="NewBaskerville" w:hAnsi="NewBaskerville"/>
          <w:bCs/>
        </w:rPr>
        <w:t xml:space="preserve">cuyo beneficiario fue el </w:t>
      </w:r>
      <w:r w:rsidR="00DD448C">
        <w:rPr>
          <w:rFonts w:ascii="NewBaskerville" w:hAnsi="NewBaskerville"/>
          <w:bCs/>
        </w:rPr>
        <w:t>Organismo</w:t>
      </w:r>
      <w:r w:rsidR="003E4A98">
        <w:rPr>
          <w:rFonts w:ascii="NewBaskerville" w:hAnsi="NewBaskerville"/>
          <w:bCs/>
        </w:rPr>
        <w:t xml:space="preserve"> Público de Puertos del Estado, ha percibido la cantidad de 137.191,05 euros. </w:t>
      </w:r>
      <w:r w:rsidR="007148D9">
        <w:rPr>
          <w:rFonts w:ascii="NewBaskerville" w:hAnsi="NewBaskerville"/>
          <w:bCs/>
        </w:rPr>
        <w:t xml:space="preserve"> </w:t>
      </w:r>
    </w:p>
    <w:p w:rsidR="00904CFE" w:rsidRDefault="00904CFE" w:rsidP="00CB0A46">
      <w:pPr>
        <w:tabs>
          <w:tab w:val="right" w:pos="8364"/>
        </w:tabs>
        <w:ind w:firstLine="567"/>
        <w:jc w:val="both"/>
        <w:rPr>
          <w:rFonts w:ascii="NewBaskerville" w:hAnsi="NewBaskerville"/>
          <w:bCs/>
        </w:rPr>
      </w:pPr>
      <w:r>
        <w:rPr>
          <w:rFonts w:ascii="NewBaskerville" w:hAnsi="NewBaskerville"/>
          <w:bCs/>
        </w:rPr>
        <w:t xml:space="preserve">La cantidad se corresponde a la adquisición a Puertos del Estado de mascarillas anti COVID, en el marco de las órdenes ministeriales TMA/2063/2020 y TMA/292/2020, quedando excluidas aquellas por las que la APB recibió algún pago por </w:t>
      </w:r>
      <w:proofErr w:type="spellStart"/>
      <w:r>
        <w:rPr>
          <w:rFonts w:ascii="NewBaskerville" w:hAnsi="NewBaskerville"/>
          <w:bCs/>
        </w:rPr>
        <w:t>refacturación</w:t>
      </w:r>
      <w:proofErr w:type="spellEnd"/>
      <w:r>
        <w:rPr>
          <w:rFonts w:ascii="NewBaskerville" w:hAnsi="NewBaskerville"/>
          <w:bCs/>
        </w:rPr>
        <w:t xml:space="preserve"> correspondiente a esta operación.</w:t>
      </w:r>
    </w:p>
    <w:p w:rsidR="003D5B03" w:rsidRDefault="00AE1189" w:rsidP="00CB0A46">
      <w:pPr>
        <w:tabs>
          <w:tab w:val="right" w:pos="8364"/>
        </w:tabs>
        <w:ind w:firstLine="567"/>
        <w:jc w:val="both"/>
        <w:rPr>
          <w:b/>
          <w:bCs/>
        </w:rPr>
      </w:pPr>
      <w:r>
        <w:rPr>
          <w:rFonts w:ascii="NewBaskerville" w:hAnsi="NewBaskerville"/>
          <w:bCs/>
        </w:rPr>
        <w:lastRenderedPageBreak/>
        <w:t>La cantidad</w:t>
      </w:r>
      <w:r w:rsidR="00904CFE">
        <w:rPr>
          <w:rFonts w:ascii="NewBaskerville" w:hAnsi="NewBaskerville"/>
          <w:bCs/>
        </w:rPr>
        <w:t xml:space="preserve"> percibida</w:t>
      </w:r>
      <w:r w:rsidR="00781D42">
        <w:rPr>
          <w:rFonts w:ascii="NewBaskerville" w:hAnsi="NewBaskerville"/>
          <w:bCs/>
        </w:rPr>
        <w:t xml:space="preserve"> </w:t>
      </w:r>
      <w:r w:rsidR="001552D3">
        <w:rPr>
          <w:rFonts w:ascii="NewBaskerville" w:hAnsi="NewBaskerville"/>
          <w:bCs/>
        </w:rPr>
        <w:t xml:space="preserve">se </w:t>
      </w:r>
      <w:r w:rsidR="00904CFE">
        <w:rPr>
          <w:rFonts w:ascii="NewBaskerville" w:hAnsi="NewBaskerville"/>
          <w:bCs/>
        </w:rPr>
        <w:t xml:space="preserve">ha </w:t>
      </w:r>
      <w:r w:rsidR="001552D3">
        <w:rPr>
          <w:rFonts w:ascii="NewBaskerville" w:hAnsi="NewBaskerville"/>
          <w:bCs/>
        </w:rPr>
        <w:t>clasifica</w:t>
      </w:r>
      <w:r w:rsidR="00904CFE">
        <w:rPr>
          <w:rFonts w:ascii="NewBaskerville" w:hAnsi="NewBaskerville"/>
          <w:bCs/>
        </w:rPr>
        <w:t>do</w:t>
      </w:r>
      <w:r w:rsidR="001552D3">
        <w:rPr>
          <w:rFonts w:ascii="NewBaskerville" w:hAnsi="NewBaskerville"/>
          <w:bCs/>
        </w:rPr>
        <w:t xml:space="preserve"> como</w:t>
      </w:r>
      <w:r w:rsidR="00904CFE">
        <w:rPr>
          <w:rFonts w:ascii="NewBaskerville" w:hAnsi="NewBaskerville"/>
          <w:bCs/>
        </w:rPr>
        <w:t xml:space="preserve"> subvención a la explotación </w:t>
      </w:r>
      <w:r w:rsidR="00CB0A46">
        <w:rPr>
          <w:rFonts w:ascii="NewBaskerville" w:hAnsi="NewBaskerville"/>
          <w:bCs/>
        </w:rPr>
        <w:t>y</w:t>
      </w:r>
      <w:r w:rsidR="00904CFE">
        <w:rPr>
          <w:rFonts w:ascii="NewBaskerville" w:hAnsi="NewBaskerville"/>
          <w:bCs/>
        </w:rPr>
        <w:t xml:space="preserve"> se ha registrado</w:t>
      </w:r>
      <w:r w:rsidR="00CB0A46">
        <w:rPr>
          <w:rFonts w:ascii="NewBaskerville" w:hAnsi="NewBaskerville"/>
          <w:bCs/>
        </w:rPr>
        <w:t xml:space="preserve"> en el epígrafe </w:t>
      </w:r>
      <w:r w:rsidR="00CB0A46">
        <w:rPr>
          <w:rFonts w:ascii="NewBaskerville" w:hAnsi="NewBaskerville"/>
          <w:b/>
          <w:bCs/>
        </w:rPr>
        <w:t>5.b) Subvenciones de explotación incorporadas al resultado del ejercicio.</w:t>
      </w:r>
      <w:r w:rsidR="00CB0A46">
        <w:rPr>
          <w:rFonts w:ascii="NewBaskerville" w:hAnsi="NewBaskerville"/>
          <w:bCs/>
        </w:rPr>
        <w:t xml:space="preserve"> En el ejercicio 202</w:t>
      </w:r>
      <w:r w:rsidR="007148D9">
        <w:rPr>
          <w:rFonts w:ascii="NewBaskerville" w:hAnsi="NewBaskerville"/>
          <w:bCs/>
        </w:rPr>
        <w:t xml:space="preserve">2 </w:t>
      </w:r>
      <w:r w:rsidR="00CB0A46">
        <w:rPr>
          <w:rFonts w:ascii="NewBaskerville" w:hAnsi="NewBaskerville"/>
          <w:bCs/>
        </w:rPr>
        <w:t>se recibieron subvenciones a la explotación</w:t>
      </w:r>
      <w:r w:rsidR="007148D9">
        <w:rPr>
          <w:rFonts w:ascii="NewBaskerville" w:hAnsi="NewBaskerville"/>
          <w:bCs/>
        </w:rPr>
        <w:t xml:space="preserve"> por valor de 2.109.285,97 euros</w:t>
      </w:r>
      <w:r w:rsidR="00CB0A46">
        <w:rPr>
          <w:rFonts w:ascii="NewBaskerville" w:hAnsi="NewBaskerville"/>
          <w:bCs/>
        </w:rPr>
        <w:t>.</w:t>
      </w:r>
    </w:p>
    <w:p w:rsidR="003D5B03" w:rsidRPr="003D5B03" w:rsidRDefault="003D5B03">
      <w:pPr>
        <w:tabs>
          <w:tab w:val="right" w:pos="8364"/>
        </w:tabs>
        <w:ind w:left="851" w:hanging="851"/>
        <w:jc w:val="both"/>
        <w:rPr>
          <w:bCs/>
        </w:rPr>
      </w:pPr>
    </w:p>
    <w:p w:rsidR="003D5B03" w:rsidRPr="00CB0A46" w:rsidRDefault="003D5B03">
      <w:pPr>
        <w:tabs>
          <w:tab w:val="right" w:pos="8364"/>
        </w:tabs>
        <w:ind w:left="851" w:hanging="851"/>
        <w:jc w:val="both"/>
        <w:rPr>
          <w:rFonts w:ascii="NewBaskerville" w:hAnsi="NewBaskerville"/>
          <w:b/>
          <w:bCs/>
        </w:rPr>
      </w:pPr>
    </w:p>
    <w:p w:rsidR="00087381" w:rsidRDefault="00A861CC" w:rsidP="002019D4">
      <w:pPr>
        <w:tabs>
          <w:tab w:val="right" w:pos="8364"/>
        </w:tabs>
        <w:ind w:left="567"/>
        <w:jc w:val="both"/>
        <w:rPr>
          <w:rFonts w:ascii="NewBaskerville" w:hAnsi="NewBaskerville"/>
          <w:bCs/>
        </w:rPr>
      </w:pPr>
      <w:r>
        <w:rPr>
          <w:rFonts w:ascii="NewBaskerville" w:hAnsi="NewBaskerville"/>
          <w:bCs/>
        </w:rPr>
        <w:t>b.4</w:t>
      </w:r>
      <w:r w:rsidR="00192EA6" w:rsidRPr="00CB0A46">
        <w:rPr>
          <w:rFonts w:ascii="NewBaskerville" w:hAnsi="NewBaskerville"/>
          <w:bCs/>
        </w:rPr>
        <w:t>)</w:t>
      </w:r>
      <w:r w:rsidR="00730D95" w:rsidRPr="00CB0A46">
        <w:rPr>
          <w:rFonts w:ascii="NewBaskerville" w:hAnsi="NewBaskerville"/>
          <w:bCs/>
        </w:rPr>
        <w:t xml:space="preserve"> </w:t>
      </w:r>
      <w:r w:rsidR="00087381" w:rsidRPr="00CB0A46">
        <w:rPr>
          <w:rFonts w:ascii="NewBaskerville" w:hAnsi="NewBaskerville"/>
          <w:bCs/>
        </w:rPr>
        <w:t>Ingresos financieros</w:t>
      </w:r>
    </w:p>
    <w:p w:rsidR="00A05591" w:rsidRPr="00CB0A46" w:rsidRDefault="00A05591" w:rsidP="002019D4">
      <w:pPr>
        <w:tabs>
          <w:tab w:val="right" w:pos="8364"/>
        </w:tabs>
        <w:ind w:left="567"/>
        <w:jc w:val="both"/>
        <w:rPr>
          <w:rFonts w:ascii="NewBaskerville" w:hAnsi="NewBaskerville"/>
          <w:bCs/>
        </w:rPr>
      </w:pPr>
    </w:p>
    <w:tbl>
      <w:tblPr>
        <w:tblW w:w="5000" w:type="pct"/>
        <w:tblCellMar>
          <w:left w:w="70" w:type="dxa"/>
          <w:right w:w="70" w:type="dxa"/>
        </w:tblCellMar>
        <w:tblLook w:val="04A0" w:firstRow="1" w:lastRow="0" w:firstColumn="1" w:lastColumn="0" w:noHBand="0" w:noVBand="1"/>
      </w:tblPr>
      <w:tblGrid>
        <w:gridCol w:w="4216"/>
        <w:gridCol w:w="489"/>
        <w:gridCol w:w="489"/>
        <w:gridCol w:w="546"/>
        <w:gridCol w:w="1452"/>
        <w:gridCol w:w="1452"/>
      </w:tblGrid>
      <w:tr w:rsidR="00A05591" w:rsidRPr="00A05591" w:rsidTr="00A05591">
        <w:trPr>
          <w:trHeight w:val="300"/>
        </w:trPr>
        <w:tc>
          <w:tcPr>
            <w:tcW w:w="3319" w:type="pct"/>
            <w:gridSpan w:val="4"/>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A05591" w:rsidRPr="00A05591" w:rsidRDefault="00A05591" w:rsidP="00A05591">
            <w:pPr>
              <w:jc w:val="center"/>
              <w:rPr>
                <w:rFonts w:ascii="Lucida Bright" w:hAnsi="Lucida Bright" w:cs="Calibri"/>
                <w:b/>
                <w:bCs/>
                <w:color w:val="000000"/>
                <w:sz w:val="14"/>
                <w:szCs w:val="14"/>
                <w:lang w:val="es-ES"/>
              </w:rPr>
            </w:pPr>
            <w:r w:rsidRPr="00A05591">
              <w:rPr>
                <w:rFonts w:ascii="Lucida Bright" w:hAnsi="Lucida Bright" w:cs="Calibri"/>
                <w:b/>
                <w:bCs/>
                <w:color w:val="000000"/>
                <w:sz w:val="14"/>
                <w:szCs w:val="14"/>
                <w:lang w:val="es-ES"/>
              </w:rPr>
              <w:t>Concepto</w:t>
            </w:r>
          </w:p>
        </w:tc>
        <w:tc>
          <w:tcPr>
            <w:tcW w:w="840" w:type="pct"/>
            <w:tcBorders>
              <w:top w:val="single" w:sz="4" w:space="0" w:color="auto"/>
              <w:left w:val="nil"/>
              <w:bottom w:val="single" w:sz="4" w:space="0" w:color="auto"/>
              <w:right w:val="single" w:sz="4" w:space="0" w:color="auto"/>
            </w:tcBorders>
            <w:shd w:val="clear" w:color="000000" w:fill="CCFFCC"/>
            <w:noWrap/>
            <w:vAlign w:val="bottom"/>
            <w:hideMark/>
          </w:tcPr>
          <w:p w:rsidR="00A05591" w:rsidRPr="00A05591" w:rsidRDefault="00A05591" w:rsidP="00A05591">
            <w:pPr>
              <w:jc w:val="center"/>
              <w:rPr>
                <w:rFonts w:ascii="Lucida Bright" w:hAnsi="Lucida Bright" w:cs="Calibri"/>
                <w:b/>
                <w:bCs/>
                <w:color w:val="000000"/>
                <w:sz w:val="14"/>
                <w:szCs w:val="14"/>
                <w:lang w:val="es-ES"/>
              </w:rPr>
            </w:pPr>
            <w:r w:rsidRPr="00A05591">
              <w:rPr>
                <w:rFonts w:ascii="Lucida Bright" w:hAnsi="Lucida Bright" w:cs="Calibri"/>
                <w:b/>
                <w:bCs/>
                <w:color w:val="000000"/>
                <w:sz w:val="14"/>
                <w:szCs w:val="14"/>
                <w:lang w:val="es-ES"/>
              </w:rPr>
              <w:t>2023</w:t>
            </w:r>
          </w:p>
        </w:tc>
        <w:tc>
          <w:tcPr>
            <w:tcW w:w="840" w:type="pct"/>
            <w:tcBorders>
              <w:top w:val="single" w:sz="4" w:space="0" w:color="auto"/>
              <w:left w:val="nil"/>
              <w:bottom w:val="single" w:sz="4" w:space="0" w:color="auto"/>
              <w:right w:val="single" w:sz="4" w:space="0" w:color="auto"/>
            </w:tcBorders>
            <w:shd w:val="clear" w:color="000000" w:fill="CCFFCC"/>
            <w:noWrap/>
            <w:vAlign w:val="bottom"/>
            <w:hideMark/>
          </w:tcPr>
          <w:p w:rsidR="00A05591" w:rsidRPr="00A05591" w:rsidRDefault="00A05591" w:rsidP="00A05591">
            <w:pPr>
              <w:jc w:val="center"/>
              <w:rPr>
                <w:rFonts w:ascii="Lucida Bright" w:hAnsi="Lucida Bright" w:cs="Calibri"/>
                <w:b/>
                <w:bCs/>
                <w:color w:val="000000"/>
                <w:sz w:val="14"/>
                <w:szCs w:val="14"/>
                <w:lang w:val="es-ES"/>
              </w:rPr>
            </w:pPr>
            <w:r w:rsidRPr="00A05591">
              <w:rPr>
                <w:rFonts w:ascii="Lucida Bright" w:hAnsi="Lucida Bright" w:cs="Calibri"/>
                <w:b/>
                <w:bCs/>
                <w:color w:val="000000"/>
                <w:sz w:val="14"/>
                <w:szCs w:val="14"/>
                <w:lang w:val="es-ES"/>
              </w:rPr>
              <w:t>2022</w:t>
            </w:r>
          </w:p>
        </w:tc>
      </w:tr>
      <w:tr w:rsidR="00A05591" w:rsidRPr="00A05591" w:rsidTr="00A05591">
        <w:trPr>
          <w:trHeight w:val="300"/>
        </w:trPr>
        <w:tc>
          <w:tcPr>
            <w:tcW w:w="2721" w:type="pct"/>
            <w:gridSpan w:val="2"/>
            <w:tcBorders>
              <w:top w:val="single" w:sz="4" w:space="0" w:color="auto"/>
              <w:left w:val="single" w:sz="4" w:space="0" w:color="auto"/>
              <w:bottom w:val="single" w:sz="4" w:space="0" w:color="auto"/>
              <w:right w:val="nil"/>
            </w:tcBorders>
            <w:shd w:val="clear" w:color="auto" w:fill="auto"/>
            <w:noWrap/>
            <w:vAlign w:val="bottom"/>
            <w:hideMark/>
          </w:tcPr>
          <w:p w:rsidR="00A05591" w:rsidRPr="00A05591" w:rsidRDefault="00A05591" w:rsidP="00A05591">
            <w:pPr>
              <w:rPr>
                <w:rFonts w:ascii="Lucida Bright" w:hAnsi="Lucida Bright" w:cs="Calibri"/>
                <w:color w:val="000000"/>
                <w:sz w:val="14"/>
                <w:szCs w:val="14"/>
                <w:lang w:val="es-ES"/>
              </w:rPr>
            </w:pPr>
            <w:r w:rsidRPr="00A05591">
              <w:rPr>
                <w:rFonts w:ascii="Lucida Bright" w:hAnsi="Lucida Bright" w:cs="Calibri"/>
                <w:color w:val="000000"/>
                <w:sz w:val="14"/>
                <w:szCs w:val="14"/>
                <w:lang w:val="es-ES"/>
              </w:rPr>
              <w:t xml:space="preserve">Intereses de demora  </w:t>
            </w:r>
          </w:p>
        </w:tc>
        <w:tc>
          <w:tcPr>
            <w:tcW w:w="283" w:type="pct"/>
            <w:tcBorders>
              <w:top w:val="nil"/>
              <w:left w:val="nil"/>
              <w:bottom w:val="single" w:sz="4" w:space="0" w:color="auto"/>
              <w:right w:val="nil"/>
            </w:tcBorders>
            <w:shd w:val="clear" w:color="auto" w:fill="auto"/>
            <w:noWrap/>
            <w:vAlign w:val="bottom"/>
            <w:hideMark/>
          </w:tcPr>
          <w:p w:rsidR="00A05591" w:rsidRPr="00A05591" w:rsidRDefault="00A05591" w:rsidP="00A05591">
            <w:pPr>
              <w:rPr>
                <w:rFonts w:ascii="Lucida Bright" w:hAnsi="Lucida Bright" w:cs="Calibri"/>
                <w:color w:val="000000"/>
                <w:sz w:val="14"/>
                <w:szCs w:val="14"/>
                <w:lang w:val="es-ES"/>
              </w:rPr>
            </w:pPr>
            <w:r w:rsidRPr="00A05591">
              <w:rPr>
                <w:rFonts w:ascii="Lucida Bright" w:hAnsi="Lucida Bright" w:cs="Calibri"/>
                <w:color w:val="000000"/>
                <w:sz w:val="14"/>
                <w:szCs w:val="14"/>
                <w:lang w:val="es-ES"/>
              </w:rPr>
              <w:t> </w:t>
            </w:r>
          </w:p>
        </w:tc>
        <w:tc>
          <w:tcPr>
            <w:tcW w:w="316" w:type="pct"/>
            <w:tcBorders>
              <w:top w:val="nil"/>
              <w:left w:val="nil"/>
              <w:bottom w:val="single" w:sz="4" w:space="0" w:color="auto"/>
              <w:right w:val="single" w:sz="4" w:space="0" w:color="auto"/>
            </w:tcBorders>
            <w:shd w:val="clear" w:color="auto" w:fill="auto"/>
            <w:noWrap/>
            <w:vAlign w:val="bottom"/>
            <w:hideMark/>
          </w:tcPr>
          <w:p w:rsidR="00A05591" w:rsidRPr="00A05591" w:rsidRDefault="00A05591" w:rsidP="00A05591">
            <w:pPr>
              <w:rPr>
                <w:rFonts w:ascii="Lucida Bright" w:hAnsi="Lucida Bright" w:cs="Calibri"/>
                <w:color w:val="000000"/>
                <w:sz w:val="14"/>
                <w:szCs w:val="14"/>
                <w:lang w:val="es-ES"/>
              </w:rPr>
            </w:pPr>
            <w:r w:rsidRPr="00A05591">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A05591" w:rsidRPr="00A05591" w:rsidRDefault="00A05591" w:rsidP="00A05591">
            <w:pPr>
              <w:jc w:val="right"/>
              <w:rPr>
                <w:rFonts w:ascii="Lucida Bright" w:hAnsi="Lucida Bright" w:cs="Calibri"/>
                <w:color w:val="000000"/>
                <w:sz w:val="14"/>
                <w:szCs w:val="14"/>
                <w:lang w:val="es-ES"/>
              </w:rPr>
            </w:pPr>
            <w:r w:rsidRPr="00A05591">
              <w:rPr>
                <w:rFonts w:ascii="Lucida Bright" w:hAnsi="Lucida Bright" w:cs="Calibri"/>
                <w:color w:val="000000"/>
                <w:sz w:val="14"/>
                <w:szCs w:val="14"/>
                <w:lang w:val="es-ES"/>
              </w:rPr>
              <w:t>32.418,01</w:t>
            </w:r>
          </w:p>
        </w:tc>
        <w:tc>
          <w:tcPr>
            <w:tcW w:w="840" w:type="pct"/>
            <w:tcBorders>
              <w:top w:val="nil"/>
              <w:left w:val="nil"/>
              <w:bottom w:val="single" w:sz="4" w:space="0" w:color="auto"/>
              <w:right w:val="single" w:sz="4" w:space="0" w:color="auto"/>
            </w:tcBorders>
            <w:shd w:val="clear" w:color="auto" w:fill="auto"/>
            <w:noWrap/>
            <w:vAlign w:val="bottom"/>
            <w:hideMark/>
          </w:tcPr>
          <w:p w:rsidR="00A05591" w:rsidRPr="00A05591" w:rsidRDefault="00A05591" w:rsidP="00A05591">
            <w:pPr>
              <w:jc w:val="right"/>
              <w:rPr>
                <w:rFonts w:ascii="Lucida Bright" w:hAnsi="Lucida Bright" w:cs="Calibri"/>
                <w:color w:val="000000"/>
                <w:sz w:val="14"/>
                <w:szCs w:val="14"/>
                <w:lang w:val="es-ES"/>
              </w:rPr>
            </w:pPr>
            <w:r w:rsidRPr="00A05591">
              <w:rPr>
                <w:rFonts w:ascii="Lucida Bright" w:hAnsi="Lucida Bright" w:cs="Calibri"/>
                <w:color w:val="000000"/>
                <w:sz w:val="14"/>
                <w:szCs w:val="14"/>
                <w:lang w:val="es-ES"/>
              </w:rPr>
              <w:t>193.199,91</w:t>
            </w:r>
          </w:p>
        </w:tc>
      </w:tr>
      <w:tr w:rsidR="00A05591" w:rsidRPr="00A05591" w:rsidTr="00A05591">
        <w:trPr>
          <w:trHeight w:val="300"/>
        </w:trPr>
        <w:tc>
          <w:tcPr>
            <w:tcW w:w="3004" w:type="pct"/>
            <w:gridSpan w:val="3"/>
            <w:tcBorders>
              <w:top w:val="single" w:sz="4" w:space="0" w:color="auto"/>
              <w:left w:val="single" w:sz="4" w:space="0" w:color="auto"/>
              <w:bottom w:val="single" w:sz="4" w:space="0" w:color="auto"/>
              <w:right w:val="nil"/>
            </w:tcBorders>
            <w:shd w:val="clear" w:color="auto" w:fill="auto"/>
            <w:noWrap/>
            <w:vAlign w:val="bottom"/>
            <w:hideMark/>
          </w:tcPr>
          <w:p w:rsidR="00A05591" w:rsidRPr="00A05591" w:rsidRDefault="00A05591" w:rsidP="00A05591">
            <w:pPr>
              <w:rPr>
                <w:rFonts w:ascii="Lucida Bright" w:hAnsi="Lucida Bright" w:cs="Calibri"/>
                <w:color w:val="000000"/>
                <w:sz w:val="14"/>
                <w:szCs w:val="14"/>
                <w:lang w:val="es-ES"/>
              </w:rPr>
            </w:pPr>
            <w:r w:rsidRPr="00A05591">
              <w:rPr>
                <w:rFonts w:ascii="Lucida Bright" w:hAnsi="Lucida Bright" w:cs="Calibri"/>
                <w:color w:val="000000"/>
                <w:sz w:val="14"/>
                <w:szCs w:val="14"/>
                <w:lang w:val="es-ES"/>
              </w:rPr>
              <w:t>Intereses de cuentas corrientes e inversiones financieras</w:t>
            </w:r>
          </w:p>
        </w:tc>
        <w:tc>
          <w:tcPr>
            <w:tcW w:w="316" w:type="pct"/>
            <w:tcBorders>
              <w:top w:val="nil"/>
              <w:left w:val="nil"/>
              <w:bottom w:val="single" w:sz="4" w:space="0" w:color="auto"/>
              <w:right w:val="single" w:sz="4" w:space="0" w:color="auto"/>
            </w:tcBorders>
            <w:shd w:val="clear" w:color="auto" w:fill="auto"/>
            <w:noWrap/>
            <w:vAlign w:val="bottom"/>
            <w:hideMark/>
          </w:tcPr>
          <w:p w:rsidR="00A05591" w:rsidRPr="00A05591" w:rsidRDefault="00A05591" w:rsidP="00A05591">
            <w:pPr>
              <w:rPr>
                <w:rFonts w:ascii="Lucida Bright" w:hAnsi="Lucida Bright" w:cs="Calibri"/>
                <w:color w:val="000000"/>
                <w:sz w:val="14"/>
                <w:szCs w:val="14"/>
                <w:lang w:val="es-ES"/>
              </w:rPr>
            </w:pPr>
            <w:r w:rsidRPr="00A05591">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A05591" w:rsidRPr="00A05591" w:rsidRDefault="00A05591" w:rsidP="00A05591">
            <w:pPr>
              <w:jc w:val="right"/>
              <w:rPr>
                <w:rFonts w:ascii="Lucida Bright" w:hAnsi="Lucida Bright" w:cs="Calibri"/>
                <w:color w:val="000000"/>
                <w:sz w:val="14"/>
                <w:szCs w:val="14"/>
                <w:lang w:val="es-ES"/>
              </w:rPr>
            </w:pPr>
            <w:r w:rsidRPr="00A05591">
              <w:rPr>
                <w:rFonts w:ascii="Lucida Bright" w:hAnsi="Lucida Bright" w:cs="Calibri"/>
                <w:color w:val="000000"/>
                <w:sz w:val="14"/>
                <w:szCs w:val="14"/>
                <w:lang w:val="es-ES"/>
              </w:rPr>
              <w:t>4.964.370,78</w:t>
            </w:r>
          </w:p>
        </w:tc>
        <w:tc>
          <w:tcPr>
            <w:tcW w:w="840" w:type="pct"/>
            <w:tcBorders>
              <w:top w:val="nil"/>
              <w:left w:val="nil"/>
              <w:bottom w:val="single" w:sz="4" w:space="0" w:color="auto"/>
              <w:right w:val="single" w:sz="4" w:space="0" w:color="auto"/>
            </w:tcBorders>
            <w:shd w:val="clear" w:color="auto" w:fill="auto"/>
            <w:noWrap/>
            <w:vAlign w:val="bottom"/>
            <w:hideMark/>
          </w:tcPr>
          <w:p w:rsidR="00A05591" w:rsidRPr="00A05591" w:rsidRDefault="00A05591" w:rsidP="00A05591">
            <w:pPr>
              <w:jc w:val="right"/>
              <w:rPr>
                <w:rFonts w:ascii="Lucida Bright" w:hAnsi="Lucida Bright" w:cs="Calibri"/>
                <w:color w:val="000000"/>
                <w:sz w:val="14"/>
                <w:szCs w:val="14"/>
                <w:lang w:val="es-ES"/>
              </w:rPr>
            </w:pPr>
            <w:r w:rsidRPr="00A05591">
              <w:rPr>
                <w:rFonts w:ascii="Lucida Bright" w:hAnsi="Lucida Bright" w:cs="Calibri"/>
                <w:color w:val="000000"/>
                <w:sz w:val="14"/>
                <w:szCs w:val="14"/>
                <w:lang w:val="es-ES"/>
              </w:rPr>
              <w:t>15.114,85</w:t>
            </w:r>
          </w:p>
        </w:tc>
      </w:tr>
      <w:tr w:rsidR="00A05591" w:rsidRPr="00A05591" w:rsidTr="00A05591">
        <w:trPr>
          <w:trHeight w:val="300"/>
        </w:trPr>
        <w:tc>
          <w:tcPr>
            <w:tcW w:w="2438" w:type="pct"/>
            <w:tcBorders>
              <w:top w:val="nil"/>
              <w:left w:val="single" w:sz="4" w:space="0" w:color="auto"/>
              <w:bottom w:val="single" w:sz="4" w:space="0" w:color="auto"/>
              <w:right w:val="nil"/>
            </w:tcBorders>
            <w:shd w:val="clear" w:color="auto" w:fill="auto"/>
            <w:noWrap/>
            <w:vAlign w:val="bottom"/>
            <w:hideMark/>
          </w:tcPr>
          <w:p w:rsidR="00A05591" w:rsidRPr="00A05591" w:rsidRDefault="00A05591" w:rsidP="00A05591">
            <w:pPr>
              <w:rPr>
                <w:rFonts w:ascii="Lucida Bright" w:hAnsi="Lucida Bright" w:cs="Calibri"/>
                <w:b/>
                <w:bCs/>
                <w:color w:val="000000"/>
                <w:sz w:val="14"/>
                <w:szCs w:val="14"/>
                <w:lang w:val="es-ES"/>
              </w:rPr>
            </w:pPr>
            <w:r w:rsidRPr="00A05591">
              <w:rPr>
                <w:rFonts w:ascii="Lucida Bright" w:hAnsi="Lucida Bright" w:cs="Calibri"/>
                <w:b/>
                <w:bCs/>
                <w:color w:val="000000"/>
                <w:sz w:val="14"/>
                <w:szCs w:val="14"/>
                <w:lang w:val="es-ES"/>
              </w:rPr>
              <w:t>Total</w:t>
            </w:r>
          </w:p>
        </w:tc>
        <w:tc>
          <w:tcPr>
            <w:tcW w:w="283" w:type="pct"/>
            <w:tcBorders>
              <w:top w:val="nil"/>
              <w:left w:val="nil"/>
              <w:bottom w:val="single" w:sz="4" w:space="0" w:color="auto"/>
              <w:right w:val="nil"/>
            </w:tcBorders>
            <w:shd w:val="clear" w:color="auto" w:fill="auto"/>
            <w:noWrap/>
            <w:vAlign w:val="bottom"/>
            <w:hideMark/>
          </w:tcPr>
          <w:p w:rsidR="00A05591" w:rsidRPr="00A05591" w:rsidRDefault="00A05591" w:rsidP="00A05591">
            <w:pPr>
              <w:rPr>
                <w:rFonts w:ascii="Lucida Bright" w:hAnsi="Lucida Bright" w:cs="Calibri"/>
                <w:color w:val="000000"/>
                <w:sz w:val="14"/>
                <w:szCs w:val="14"/>
                <w:lang w:val="es-ES"/>
              </w:rPr>
            </w:pPr>
            <w:r w:rsidRPr="00A05591">
              <w:rPr>
                <w:rFonts w:ascii="Lucida Bright" w:hAnsi="Lucida Bright" w:cs="Calibri"/>
                <w:color w:val="000000"/>
                <w:sz w:val="14"/>
                <w:szCs w:val="14"/>
                <w:lang w:val="es-ES"/>
              </w:rPr>
              <w:t> </w:t>
            </w:r>
          </w:p>
        </w:tc>
        <w:tc>
          <w:tcPr>
            <w:tcW w:w="283" w:type="pct"/>
            <w:tcBorders>
              <w:top w:val="nil"/>
              <w:left w:val="nil"/>
              <w:bottom w:val="single" w:sz="4" w:space="0" w:color="auto"/>
              <w:right w:val="nil"/>
            </w:tcBorders>
            <w:shd w:val="clear" w:color="auto" w:fill="auto"/>
            <w:noWrap/>
            <w:vAlign w:val="bottom"/>
            <w:hideMark/>
          </w:tcPr>
          <w:p w:rsidR="00A05591" w:rsidRPr="00A05591" w:rsidRDefault="00A05591" w:rsidP="00A05591">
            <w:pPr>
              <w:rPr>
                <w:rFonts w:ascii="Lucida Bright" w:hAnsi="Lucida Bright" w:cs="Calibri"/>
                <w:color w:val="000000"/>
                <w:sz w:val="14"/>
                <w:szCs w:val="14"/>
                <w:lang w:val="es-ES"/>
              </w:rPr>
            </w:pPr>
            <w:r w:rsidRPr="00A05591">
              <w:rPr>
                <w:rFonts w:ascii="Lucida Bright" w:hAnsi="Lucida Bright" w:cs="Calibri"/>
                <w:color w:val="000000"/>
                <w:sz w:val="14"/>
                <w:szCs w:val="14"/>
                <w:lang w:val="es-ES"/>
              </w:rPr>
              <w:t> </w:t>
            </w:r>
          </w:p>
        </w:tc>
        <w:tc>
          <w:tcPr>
            <w:tcW w:w="316" w:type="pct"/>
            <w:tcBorders>
              <w:top w:val="nil"/>
              <w:left w:val="nil"/>
              <w:bottom w:val="single" w:sz="4" w:space="0" w:color="auto"/>
              <w:right w:val="single" w:sz="4" w:space="0" w:color="auto"/>
            </w:tcBorders>
            <w:shd w:val="clear" w:color="auto" w:fill="auto"/>
            <w:noWrap/>
            <w:vAlign w:val="bottom"/>
            <w:hideMark/>
          </w:tcPr>
          <w:p w:rsidR="00A05591" w:rsidRPr="00A05591" w:rsidRDefault="00A05591" w:rsidP="00A05591">
            <w:pPr>
              <w:rPr>
                <w:rFonts w:ascii="Lucida Bright" w:hAnsi="Lucida Bright" w:cs="Calibri"/>
                <w:color w:val="000000"/>
                <w:sz w:val="14"/>
                <w:szCs w:val="14"/>
                <w:lang w:val="es-ES"/>
              </w:rPr>
            </w:pPr>
            <w:r w:rsidRPr="00A05591">
              <w:rPr>
                <w:rFonts w:ascii="Lucida Bright" w:hAnsi="Lucida Bright" w:cs="Calibri"/>
                <w:color w:val="000000"/>
                <w:sz w:val="14"/>
                <w:szCs w:val="14"/>
                <w:lang w:val="es-ES"/>
              </w:rPr>
              <w:t> </w:t>
            </w:r>
          </w:p>
        </w:tc>
        <w:tc>
          <w:tcPr>
            <w:tcW w:w="840" w:type="pct"/>
            <w:tcBorders>
              <w:top w:val="nil"/>
              <w:left w:val="single" w:sz="4" w:space="0" w:color="auto"/>
              <w:bottom w:val="single" w:sz="4" w:space="0" w:color="auto"/>
              <w:right w:val="single" w:sz="4" w:space="0" w:color="auto"/>
            </w:tcBorders>
            <w:shd w:val="clear" w:color="auto" w:fill="auto"/>
            <w:noWrap/>
            <w:vAlign w:val="bottom"/>
            <w:hideMark/>
          </w:tcPr>
          <w:p w:rsidR="00A05591" w:rsidRPr="00A05591" w:rsidRDefault="00A05591" w:rsidP="00A05591">
            <w:pPr>
              <w:jc w:val="right"/>
              <w:rPr>
                <w:rFonts w:ascii="Lucida Bright" w:hAnsi="Lucida Bright" w:cs="Calibri"/>
                <w:b/>
                <w:bCs/>
                <w:color w:val="000000"/>
                <w:sz w:val="14"/>
                <w:szCs w:val="14"/>
                <w:lang w:val="es-ES"/>
              </w:rPr>
            </w:pPr>
            <w:r w:rsidRPr="00A05591">
              <w:rPr>
                <w:rFonts w:ascii="Lucida Bright" w:hAnsi="Lucida Bright" w:cs="Calibri"/>
                <w:b/>
                <w:bCs/>
                <w:color w:val="000000"/>
                <w:sz w:val="14"/>
                <w:szCs w:val="14"/>
                <w:lang w:val="es-ES"/>
              </w:rPr>
              <w:t>4.996.788,79</w:t>
            </w:r>
          </w:p>
        </w:tc>
        <w:tc>
          <w:tcPr>
            <w:tcW w:w="840" w:type="pct"/>
            <w:tcBorders>
              <w:top w:val="nil"/>
              <w:left w:val="nil"/>
              <w:bottom w:val="single" w:sz="4" w:space="0" w:color="auto"/>
              <w:right w:val="single" w:sz="4" w:space="0" w:color="auto"/>
            </w:tcBorders>
            <w:shd w:val="clear" w:color="auto" w:fill="auto"/>
            <w:noWrap/>
            <w:vAlign w:val="bottom"/>
            <w:hideMark/>
          </w:tcPr>
          <w:p w:rsidR="00A05591" w:rsidRPr="00A05591" w:rsidRDefault="00A05591" w:rsidP="00A05591">
            <w:pPr>
              <w:jc w:val="right"/>
              <w:rPr>
                <w:rFonts w:ascii="Lucida Bright" w:hAnsi="Lucida Bright" w:cs="Calibri"/>
                <w:b/>
                <w:bCs/>
                <w:color w:val="000000"/>
                <w:sz w:val="14"/>
                <w:szCs w:val="14"/>
                <w:lang w:val="es-ES"/>
              </w:rPr>
            </w:pPr>
            <w:r w:rsidRPr="00A05591">
              <w:rPr>
                <w:rFonts w:ascii="Lucida Bright" w:hAnsi="Lucida Bright" w:cs="Calibri"/>
                <w:b/>
                <w:bCs/>
                <w:color w:val="000000"/>
                <w:sz w:val="14"/>
                <w:szCs w:val="14"/>
                <w:lang w:val="es-ES"/>
              </w:rPr>
              <w:t>208.314,76</w:t>
            </w:r>
          </w:p>
        </w:tc>
      </w:tr>
    </w:tbl>
    <w:p w:rsidR="00E70917" w:rsidRPr="00846803" w:rsidRDefault="00E70917" w:rsidP="0009572E">
      <w:pPr>
        <w:tabs>
          <w:tab w:val="right" w:pos="8364"/>
        </w:tabs>
        <w:jc w:val="both"/>
        <w:rPr>
          <w:bCs/>
        </w:rPr>
      </w:pPr>
    </w:p>
    <w:p w:rsidR="004A041C" w:rsidRPr="00EB4317" w:rsidRDefault="004A041C" w:rsidP="00DE5AD0">
      <w:pPr>
        <w:tabs>
          <w:tab w:val="right" w:pos="8364"/>
        </w:tabs>
        <w:jc w:val="both"/>
        <w:rPr>
          <w:bCs/>
        </w:rPr>
      </w:pPr>
    </w:p>
    <w:p w:rsidR="007D153C" w:rsidRDefault="007D153C" w:rsidP="002019D4">
      <w:pPr>
        <w:tabs>
          <w:tab w:val="right" w:pos="8364"/>
        </w:tabs>
        <w:ind w:left="567" w:hanging="567"/>
        <w:jc w:val="both"/>
        <w:rPr>
          <w:b/>
          <w:bCs/>
          <w:sz w:val="22"/>
        </w:rPr>
      </w:pPr>
    </w:p>
    <w:p w:rsidR="00EF6B46" w:rsidRPr="00B51BDD" w:rsidRDefault="002019D4" w:rsidP="002019D4">
      <w:pPr>
        <w:tabs>
          <w:tab w:val="right" w:pos="8364"/>
        </w:tabs>
        <w:ind w:left="567" w:hanging="567"/>
        <w:jc w:val="both"/>
        <w:rPr>
          <w:rFonts w:ascii="NewBaskerville" w:hAnsi="NewBaskerville"/>
          <w:b/>
          <w:bCs/>
          <w:sz w:val="22"/>
        </w:rPr>
      </w:pPr>
      <w:r w:rsidRPr="00B51BDD">
        <w:rPr>
          <w:rFonts w:ascii="NewBaskerville" w:hAnsi="NewBaskerville"/>
          <w:b/>
          <w:bCs/>
          <w:sz w:val="22"/>
        </w:rPr>
        <w:t xml:space="preserve">c) </w:t>
      </w:r>
      <w:r w:rsidR="00EF6B46" w:rsidRPr="00B51BDD">
        <w:rPr>
          <w:rFonts w:ascii="NewBaskerville" w:hAnsi="NewBaskerville"/>
          <w:b/>
          <w:bCs/>
          <w:sz w:val="22"/>
        </w:rPr>
        <w:t xml:space="preserve">Fondo de compensación </w:t>
      </w:r>
      <w:proofErr w:type="spellStart"/>
      <w:r w:rsidR="00EF6B46" w:rsidRPr="00B51BDD">
        <w:rPr>
          <w:rFonts w:ascii="NewBaskerville" w:hAnsi="NewBaskerville"/>
          <w:b/>
          <w:bCs/>
          <w:sz w:val="22"/>
        </w:rPr>
        <w:t>Interportuario</w:t>
      </w:r>
      <w:proofErr w:type="spellEnd"/>
      <w:r w:rsidR="00EF6B46" w:rsidRPr="00B51BDD">
        <w:rPr>
          <w:rFonts w:ascii="NewBaskerville" w:hAnsi="NewBaskerville"/>
          <w:b/>
          <w:bCs/>
          <w:sz w:val="22"/>
        </w:rPr>
        <w:t xml:space="preserve"> </w:t>
      </w:r>
      <w:r w:rsidR="00D54A29">
        <w:rPr>
          <w:rFonts w:ascii="NewBaskerville" w:hAnsi="NewBaskerville"/>
          <w:b/>
          <w:bCs/>
          <w:sz w:val="22"/>
        </w:rPr>
        <w:t>(F.C.I.)</w:t>
      </w:r>
    </w:p>
    <w:p w:rsidR="00130FA3" w:rsidRPr="00EB4317" w:rsidRDefault="00130FA3" w:rsidP="00130FA3">
      <w:pPr>
        <w:ind w:left="567"/>
        <w:jc w:val="both"/>
      </w:pPr>
    </w:p>
    <w:p w:rsidR="009941EF" w:rsidRPr="00B51BDD" w:rsidRDefault="005539B0" w:rsidP="005539B0">
      <w:pPr>
        <w:tabs>
          <w:tab w:val="left" w:pos="567"/>
          <w:tab w:val="right" w:pos="8364"/>
        </w:tabs>
        <w:jc w:val="both"/>
        <w:rPr>
          <w:rFonts w:ascii="NewBaskerville" w:hAnsi="NewBaskerville"/>
        </w:rPr>
      </w:pPr>
      <w:r w:rsidRPr="00B51BDD">
        <w:rPr>
          <w:rFonts w:ascii="NewBaskerville" w:hAnsi="NewBaskerville"/>
        </w:rPr>
        <w:tab/>
        <w:t>En el ejercicio 202</w:t>
      </w:r>
      <w:r w:rsidR="00021A30">
        <w:rPr>
          <w:rFonts w:ascii="NewBaskerville" w:hAnsi="NewBaskerville"/>
        </w:rPr>
        <w:t>3</w:t>
      </w:r>
      <w:r w:rsidRPr="00B51BDD">
        <w:rPr>
          <w:rFonts w:ascii="NewBaskerville" w:hAnsi="NewBaskerville"/>
        </w:rPr>
        <w:t xml:space="preserve"> se ha aportado </w:t>
      </w:r>
      <w:r w:rsidR="00D54A29">
        <w:rPr>
          <w:rFonts w:ascii="NewBaskerville" w:hAnsi="NewBaskerville"/>
        </w:rPr>
        <w:t>1.</w:t>
      </w:r>
      <w:r w:rsidR="00021A30">
        <w:rPr>
          <w:rFonts w:ascii="NewBaskerville" w:hAnsi="NewBaskerville"/>
        </w:rPr>
        <w:t>458</w:t>
      </w:r>
      <w:r w:rsidR="00D54A29">
        <w:rPr>
          <w:rFonts w:ascii="NewBaskerville" w:hAnsi="NewBaskerville"/>
        </w:rPr>
        <w:t>.000,00</w:t>
      </w:r>
      <w:r w:rsidR="00130FA3" w:rsidRPr="00B51BDD">
        <w:rPr>
          <w:rFonts w:ascii="NewBaskerville" w:hAnsi="NewBaskerville"/>
        </w:rPr>
        <w:t xml:space="preserve"> </w:t>
      </w:r>
      <w:r w:rsidRPr="00B51BDD">
        <w:t>€</w:t>
      </w:r>
      <w:r w:rsidRPr="00B51BDD">
        <w:rPr>
          <w:rFonts w:ascii="NewBaskerville" w:hAnsi="NewBaskerville"/>
        </w:rPr>
        <w:t xml:space="preserve"> al F.C.I. y se ha recibido </w:t>
      </w:r>
      <w:r w:rsidR="00D54A29">
        <w:rPr>
          <w:rFonts w:ascii="NewBaskerville" w:hAnsi="NewBaskerville"/>
        </w:rPr>
        <w:t>1.</w:t>
      </w:r>
      <w:r w:rsidR="00021A30">
        <w:rPr>
          <w:rFonts w:ascii="NewBaskerville" w:hAnsi="NewBaskerville"/>
        </w:rPr>
        <w:t>432</w:t>
      </w:r>
      <w:r w:rsidRPr="00B51BDD">
        <w:rPr>
          <w:rFonts w:ascii="NewBaskerville" w:hAnsi="NewBaskerville"/>
        </w:rPr>
        <w:t>.000</w:t>
      </w:r>
      <w:r w:rsidR="00D54A29">
        <w:rPr>
          <w:rFonts w:ascii="NewBaskerville" w:hAnsi="NewBaskerville"/>
        </w:rPr>
        <w:t>,00</w:t>
      </w:r>
      <w:r w:rsidRPr="00B51BDD">
        <w:rPr>
          <w:rFonts w:ascii="NewBaskerville" w:hAnsi="NewBaskerville"/>
        </w:rPr>
        <w:t xml:space="preserve"> </w:t>
      </w:r>
      <w:r w:rsidRPr="00B51BDD">
        <w:t>€</w:t>
      </w:r>
      <w:r w:rsidRPr="00B51BDD">
        <w:rPr>
          <w:rFonts w:ascii="NewBaskerville" w:hAnsi="NewBaskerville"/>
        </w:rPr>
        <w:t>.</w:t>
      </w:r>
      <w:r w:rsidR="00D54A29">
        <w:rPr>
          <w:rFonts w:ascii="NewBaskerville" w:hAnsi="NewBaskerville"/>
        </w:rPr>
        <w:t xml:space="preserve"> </w:t>
      </w:r>
      <w:r w:rsidR="00130FA3" w:rsidRPr="00B51BDD">
        <w:rPr>
          <w:rFonts w:ascii="NewBaskerville" w:hAnsi="NewBaskerville"/>
        </w:rPr>
        <w:t>En el ejerci</w:t>
      </w:r>
      <w:r w:rsidR="003131F1" w:rsidRPr="00B51BDD">
        <w:rPr>
          <w:rFonts w:ascii="NewBaskerville" w:hAnsi="NewBaskerville"/>
        </w:rPr>
        <w:t>ci</w:t>
      </w:r>
      <w:r w:rsidR="00021A30">
        <w:rPr>
          <w:rFonts w:ascii="NewBaskerville" w:hAnsi="NewBaskerville"/>
        </w:rPr>
        <w:t>o 2022</w:t>
      </w:r>
      <w:r w:rsidRPr="00B51BDD">
        <w:rPr>
          <w:rFonts w:ascii="NewBaskerville" w:hAnsi="NewBaskerville"/>
        </w:rPr>
        <w:t xml:space="preserve"> se aportó</w:t>
      </w:r>
      <w:r w:rsidR="00130FA3" w:rsidRPr="00B51BDD">
        <w:rPr>
          <w:rFonts w:ascii="NewBaskerville" w:hAnsi="NewBaskerville"/>
        </w:rPr>
        <w:t xml:space="preserve"> </w:t>
      </w:r>
      <w:r w:rsidR="00021A30">
        <w:rPr>
          <w:rFonts w:ascii="NewBaskerville" w:hAnsi="NewBaskerville"/>
        </w:rPr>
        <w:t>1.303</w:t>
      </w:r>
      <w:r w:rsidR="0053692E" w:rsidRPr="00B51BDD">
        <w:rPr>
          <w:rFonts w:ascii="NewBaskerville" w:hAnsi="NewBaskerville"/>
        </w:rPr>
        <w:t>.000</w:t>
      </w:r>
      <w:r w:rsidR="00D54A29">
        <w:rPr>
          <w:rFonts w:ascii="NewBaskerville" w:hAnsi="NewBaskerville"/>
        </w:rPr>
        <w:t>,00</w:t>
      </w:r>
      <w:r w:rsidRPr="00B51BDD">
        <w:rPr>
          <w:rFonts w:ascii="NewBaskerville" w:hAnsi="NewBaskerville"/>
        </w:rPr>
        <w:t xml:space="preserve"> </w:t>
      </w:r>
      <w:r w:rsidRPr="00B51BDD">
        <w:t>€</w:t>
      </w:r>
      <w:r w:rsidRPr="00B51BDD">
        <w:rPr>
          <w:rFonts w:ascii="NewBaskerville" w:hAnsi="NewBaskerville"/>
        </w:rPr>
        <w:t xml:space="preserve"> al F.C.I. y se recibi</w:t>
      </w:r>
      <w:r w:rsidR="00AE1189">
        <w:rPr>
          <w:rFonts w:ascii="NewBaskerville" w:hAnsi="NewBaskerville"/>
        </w:rPr>
        <w:t>ó</w:t>
      </w:r>
      <w:r w:rsidR="007D7867" w:rsidRPr="00B51BDD">
        <w:rPr>
          <w:rFonts w:ascii="NewBaskerville" w:hAnsi="NewBaskerville"/>
        </w:rPr>
        <w:t xml:space="preserve"> </w:t>
      </w:r>
      <w:r w:rsidR="00021A30">
        <w:rPr>
          <w:rFonts w:ascii="NewBaskerville" w:hAnsi="NewBaskerville"/>
        </w:rPr>
        <w:t>1.025</w:t>
      </w:r>
      <w:r w:rsidR="0053692E" w:rsidRPr="00B51BDD">
        <w:rPr>
          <w:rFonts w:ascii="NewBaskerville" w:hAnsi="NewBaskerville"/>
        </w:rPr>
        <w:t>.000</w:t>
      </w:r>
      <w:r w:rsidR="00D54A29">
        <w:rPr>
          <w:rFonts w:ascii="NewBaskerville" w:hAnsi="NewBaskerville"/>
        </w:rPr>
        <w:t>,00</w:t>
      </w:r>
      <w:r w:rsidR="00100DA5" w:rsidRPr="00B51BDD">
        <w:rPr>
          <w:rFonts w:ascii="NewBaskerville" w:hAnsi="NewBaskerville"/>
        </w:rPr>
        <w:t xml:space="preserve"> </w:t>
      </w:r>
      <w:r w:rsidR="00D40231" w:rsidRPr="00B51BDD">
        <w:t>€</w:t>
      </w:r>
      <w:r w:rsidR="00D40231" w:rsidRPr="00B51BDD">
        <w:rPr>
          <w:rFonts w:ascii="NewBaskerville" w:hAnsi="NewBaskerville"/>
        </w:rPr>
        <w:t xml:space="preserve">. </w:t>
      </w:r>
    </w:p>
    <w:p w:rsidR="00605444" w:rsidRPr="00EB4317" w:rsidRDefault="00605444" w:rsidP="004B5382">
      <w:pPr>
        <w:tabs>
          <w:tab w:val="right" w:pos="8364"/>
        </w:tabs>
        <w:jc w:val="both"/>
        <w:rPr>
          <w:b/>
          <w:bCs/>
        </w:rPr>
      </w:pPr>
    </w:p>
    <w:p w:rsidR="008A1987" w:rsidRPr="00EB4317" w:rsidRDefault="008A1987" w:rsidP="00EF6B46">
      <w:pPr>
        <w:tabs>
          <w:tab w:val="right" w:pos="8364"/>
        </w:tabs>
        <w:ind w:left="567" w:hanging="567"/>
        <w:jc w:val="both"/>
        <w:rPr>
          <w:b/>
          <w:bCs/>
        </w:rPr>
      </w:pPr>
    </w:p>
    <w:p w:rsidR="002D2A8D" w:rsidRDefault="002D2A8D" w:rsidP="00EF6B46">
      <w:pPr>
        <w:tabs>
          <w:tab w:val="right" w:pos="8364"/>
        </w:tabs>
        <w:ind w:left="567" w:hanging="567"/>
        <w:jc w:val="both"/>
        <w:rPr>
          <w:b/>
          <w:bCs/>
        </w:rPr>
      </w:pPr>
    </w:p>
    <w:p w:rsidR="00EF6B46" w:rsidRPr="00D54A29" w:rsidRDefault="00EF6B46" w:rsidP="00EF6B46">
      <w:pPr>
        <w:tabs>
          <w:tab w:val="right" w:pos="8364"/>
        </w:tabs>
        <w:ind w:left="567" w:hanging="567"/>
        <w:jc w:val="both"/>
        <w:rPr>
          <w:rFonts w:ascii="NewBaskerville" w:hAnsi="NewBaskerville"/>
          <w:b/>
          <w:bCs/>
          <w:sz w:val="24"/>
          <w:szCs w:val="24"/>
        </w:rPr>
      </w:pPr>
      <w:r w:rsidRPr="00D54A29">
        <w:rPr>
          <w:rFonts w:ascii="NewBaskerville" w:hAnsi="NewBaskerville"/>
          <w:b/>
          <w:bCs/>
          <w:sz w:val="24"/>
          <w:szCs w:val="24"/>
        </w:rPr>
        <w:t>1</w:t>
      </w:r>
      <w:r w:rsidR="00A00693" w:rsidRPr="00D54A29">
        <w:rPr>
          <w:rFonts w:ascii="NewBaskerville" w:hAnsi="NewBaskerville"/>
          <w:b/>
          <w:bCs/>
          <w:sz w:val="24"/>
          <w:szCs w:val="24"/>
        </w:rPr>
        <w:t>5</w:t>
      </w:r>
      <w:r w:rsidR="002019D4" w:rsidRPr="00D54A29">
        <w:rPr>
          <w:rFonts w:ascii="NewBaskerville" w:hAnsi="NewBaskerville"/>
          <w:b/>
          <w:bCs/>
          <w:sz w:val="24"/>
          <w:szCs w:val="24"/>
        </w:rPr>
        <w:t xml:space="preserve">. </w:t>
      </w:r>
      <w:r w:rsidRPr="00D54A29">
        <w:rPr>
          <w:rFonts w:ascii="NewBaskerville" w:hAnsi="NewBaskerville"/>
          <w:b/>
          <w:bCs/>
          <w:sz w:val="24"/>
          <w:szCs w:val="24"/>
        </w:rPr>
        <w:t>Detalle de la cifra de negocios de los puertos que pertenecen a esta Autoridad Portuaria</w:t>
      </w:r>
    </w:p>
    <w:p w:rsidR="00E70917" w:rsidRDefault="00E70917" w:rsidP="00EF6B46">
      <w:pPr>
        <w:tabs>
          <w:tab w:val="right" w:pos="8364"/>
        </w:tabs>
        <w:ind w:left="567" w:hanging="567"/>
        <w:jc w:val="both"/>
        <w:rPr>
          <w:b/>
          <w:bCs/>
        </w:rPr>
      </w:pPr>
    </w:p>
    <w:tbl>
      <w:tblPr>
        <w:tblW w:w="5000" w:type="pct"/>
        <w:tblCellMar>
          <w:left w:w="70" w:type="dxa"/>
          <w:right w:w="70" w:type="dxa"/>
        </w:tblCellMar>
        <w:tblLook w:val="04A0" w:firstRow="1" w:lastRow="0" w:firstColumn="1" w:lastColumn="0" w:noHBand="0" w:noVBand="1"/>
      </w:tblPr>
      <w:tblGrid>
        <w:gridCol w:w="1376"/>
        <w:gridCol w:w="1376"/>
        <w:gridCol w:w="1376"/>
        <w:gridCol w:w="940"/>
        <w:gridCol w:w="1864"/>
        <w:gridCol w:w="1712"/>
      </w:tblGrid>
      <w:tr w:rsidR="00395199" w:rsidRPr="00395199" w:rsidTr="00395199">
        <w:trPr>
          <w:trHeight w:val="300"/>
        </w:trPr>
        <w:tc>
          <w:tcPr>
            <w:tcW w:w="796" w:type="pct"/>
            <w:tcBorders>
              <w:top w:val="nil"/>
              <w:left w:val="nil"/>
              <w:bottom w:val="nil"/>
              <w:right w:val="nil"/>
            </w:tcBorders>
            <w:shd w:val="clear" w:color="auto" w:fill="auto"/>
            <w:noWrap/>
            <w:vAlign w:val="bottom"/>
            <w:hideMark/>
          </w:tcPr>
          <w:p w:rsidR="00395199" w:rsidRPr="00395199" w:rsidRDefault="00395199" w:rsidP="00395199">
            <w:pPr>
              <w:rPr>
                <w:rFonts w:ascii="Calibri" w:hAnsi="Calibri" w:cs="Calibri"/>
                <w:color w:val="000000"/>
                <w:sz w:val="22"/>
                <w:szCs w:val="22"/>
                <w:lang w:val="es-ES"/>
              </w:rPr>
            </w:pPr>
          </w:p>
        </w:tc>
        <w:tc>
          <w:tcPr>
            <w:tcW w:w="796" w:type="pct"/>
            <w:tcBorders>
              <w:top w:val="nil"/>
              <w:left w:val="nil"/>
              <w:bottom w:val="nil"/>
              <w:right w:val="nil"/>
            </w:tcBorders>
            <w:shd w:val="clear" w:color="auto" w:fill="auto"/>
            <w:noWrap/>
            <w:vAlign w:val="bottom"/>
            <w:hideMark/>
          </w:tcPr>
          <w:p w:rsidR="00395199" w:rsidRPr="00395199" w:rsidRDefault="00395199" w:rsidP="00395199">
            <w:pPr>
              <w:rPr>
                <w:rFonts w:ascii="Calibri" w:hAnsi="Calibri" w:cs="Calibri"/>
                <w:color w:val="000000"/>
                <w:sz w:val="22"/>
                <w:szCs w:val="22"/>
                <w:lang w:val="es-ES"/>
              </w:rPr>
            </w:pPr>
          </w:p>
        </w:tc>
        <w:tc>
          <w:tcPr>
            <w:tcW w:w="796" w:type="pct"/>
            <w:tcBorders>
              <w:top w:val="nil"/>
              <w:left w:val="nil"/>
              <w:bottom w:val="nil"/>
              <w:right w:val="nil"/>
            </w:tcBorders>
            <w:shd w:val="clear" w:color="auto" w:fill="auto"/>
            <w:noWrap/>
            <w:vAlign w:val="bottom"/>
            <w:hideMark/>
          </w:tcPr>
          <w:p w:rsidR="00395199" w:rsidRPr="00395199" w:rsidRDefault="00395199" w:rsidP="00395199">
            <w:pPr>
              <w:rPr>
                <w:rFonts w:ascii="Calibri" w:hAnsi="Calibri" w:cs="Calibri"/>
                <w:color w:val="000000"/>
                <w:sz w:val="22"/>
                <w:szCs w:val="22"/>
                <w:lang w:val="es-ES"/>
              </w:rPr>
            </w:pPr>
          </w:p>
        </w:tc>
        <w:tc>
          <w:tcPr>
            <w:tcW w:w="544" w:type="pct"/>
            <w:tcBorders>
              <w:top w:val="nil"/>
              <w:left w:val="nil"/>
              <w:bottom w:val="nil"/>
              <w:right w:val="nil"/>
            </w:tcBorders>
            <w:shd w:val="clear" w:color="auto" w:fill="auto"/>
            <w:noWrap/>
            <w:vAlign w:val="bottom"/>
            <w:hideMark/>
          </w:tcPr>
          <w:p w:rsidR="00395199" w:rsidRPr="00395199" w:rsidRDefault="00395199" w:rsidP="00395199">
            <w:pPr>
              <w:rPr>
                <w:rFonts w:ascii="Calibri" w:hAnsi="Calibri" w:cs="Calibri"/>
                <w:color w:val="000000"/>
                <w:sz w:val="22"/>
                <w:szCs w:val="22"/>
                <w:lang w:val="es-ES"/>
              </w:rPr>
            </w:pPr>
          </w:p>
        </w:tc>
        <w:tc>
          <w:tcPr>
            <w:tcW w:w="2069" w:type="pct"/>
            <w:gridSpan w:val="2"/>
            <w:tcBorders>
              <w:top w:val="single" w:sz="4" w:space="0" w:color="auto"/>
              <w:left w:val="single" w:sz="4" w:space="0" w:color="auto"/>
              <w:bottom w:val="single" w:sz="4" w:space="0" w:color="auto"/>
              <w:right w:val="single" w:sz="4" w:space="0" w:color="000000"/>
            </w:tcBorders>
            <w:shd w:val="clear" w:color="000000" w:fill="CCFFCC"/>
            <w:vAlign w:val="bottom"/>
            <w:hideMark/>
          </w:tcPr>
          <w:p w:rsidR="00395199" w:rsidRPr="00395199" w:rsidRDefault="00395199" w:rsidP="00395199">
            <w:pPr>
              <w:jc w:val="center"/>
              <w:rPr>
                <w:rFonts w:ascii="Lucida Bright" w:hAnsi="Lucida Bright" w:cs="Calibri"/>
                <w:b/>
                <w:bCs/>
                <w:color w:val="000000"/>
                <w:sz w:val="14"/>
                <w:szCs w:val="14"/>
                <w:lang w:val="es-ES"/>
              </w:rPr>
            </w:pPr>
            <w:r w:rsidRPr="00395199">
              <w:rPr>
                <w:rFonts w:ascii="Lucida Bright" w:hAnsi="Lucida Bright" w:cs="Calibri"/>
                <w:b/>
                <w:bCs/>
                <w:color w:val="000000"/>
                <w:sz w:val="14"/>
                <w:szCs w:val="14"/>
                <w:lang w:val="es-ES"/>
              </w:rPr>
              <w:t>Importe Neto de la Cifra de Negocios</w:t>
            </w:r>
          </w:p>
        </w:tc>
      </w:tr>
      <w:tr w:rsidR="00395199" w:rsidRPr="00395199" w:rsidTr="00395199">
        <w:trPr>
          <w:trHeight w:val="300"/>
        </w:trPr>
        <w:tc>
          <w:tcPr>
            <w:tcW w:w="2931" w:type="pct"/>
            <w:gridSpan w:val="4"/>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395199" w:rsidRPr="00395199" w:rsidRDefault="00395199" w:rsidP="00395199">
            <w:pPr>
              <w:jc w:val="center"/>
              <w:rPr>
                <w:rFonts w:ascii="Lucida Bright" w:hAnsi="Lucida Bright" w:cs="Calibri"/>
                <w:b/>
                <w:bCs/>
                <w:color w:val="000000"/>
                <w:sz w:val="14"/>
                <w:szCs w:val="14"/>
                <w:lang w:val="es-ES"/>
              </w:rPr>
            </w:pPr>
            <w:r w:rsidRPr="00395199">
              <w:rPr>
                <w:rFonts w:ascii="Lucida Bright" w:hAnsi="Lucida Bright" w:cs="Calibri"/>
                <w:b/>
                <w:bCs/>
                <w:color w:val="000000"/>
                <w:sz w:val="14"/>
                <w:szCs w:val="14"/>
                <w:lang w:val="es-ES"/>
              </w:rPr>
              <w:t>Puertos</w:t>
            </w:r>
          </w:p>
        </w:tc>
        <w:tc>
          <w:tcPr>
            <w:tcW w:w="1078" w:type="pct"/>
            <w:tcBorders>
              <w:top w:val="nil"/>
              <w:left w:val="nil"/>
              <w:bottom w:val="single" w:sz="4" w:space="0" w:color="auto"/>
              <w:right w:val="single" w:sz="4" w:space="0" w:color="auto"/>
            </w:tcBorders>
            <w:shd w:val="clear" w:color="000000" w:fill="CCFFCC"/>
            <w:noWrap/>
            <w:vAlign w:val="bottom"/>
            <w:hideMark/>
          </w:tcPr>
          <w:p w:rsidR="00395199" w:rsidRPr="00395199" w:rsidRDefault="00395199" w:rsidP="00395199">
            <w:pPr>
              <w:jc w:val="center"/>
              <w:rPr>
                <w:rFonts w:ascii="Lucida Bright" w:hAnsi="Lucida Bright" w:cs="Calibri"/>
                <w:b/>
                <w:bCs/>
                <w:color w:val="000000"/>
                <w:sz w:val="14"/>
                <w:szCs w:val="14"/>
                <w:lang w:val="es-ES"/>
              </w:rPr>
            </w:pPr>
            <w:r w:rsidRPr="00395199">
              <w:rPr>
                <w:rFonts w:ascii="Lucida Bright" w:hAnsi="Lucida Bright" w:cs="Calibri"/>
                <w:b/>
                <w:bCs/>
                <w:color w:val="000000"/>
                <w:sz w:val="14"/>
                <w:szCs w:val="14"/>
                <w:lang w:val="es-ES"/>
              </w:rPr>
              <w:t>2023</w:t>
            </w:r>
          </w:p>
        </w:tc>
        <w:tc>
          <w:tcPr>
            <w:tcW w:w="991" w:type="pct"/>
            <w:tcBorders>
              <w:top w:val="nil"/>
              <w:left w:val="nil"/>
              <w:bottom w:val="single" w:sz="4" w:space="0" w:color="auto"/>
              <w:right w:val="single" w:sz="4" w:space="0" w:color="auto"/>
            </w:tcBorders>
            <w:shd w:val="clear" w:color="000000" w:fill="CCFFCC"/>
            <w:noWrap/>
            <w:vAlign w:val="bottom"/>
            <w:hideMark/>
          </w:tcPr>
          <w:p w:rsidR="00395199" w:rsidRPr="00395199" w:rsidRDefault="00395199" w:rsidP="00395199">
            <w:pPr>
              <w:jc w:val="center"/>
              <w:rPr>
                <w:rFonts w:ascii="Lucida Bright" w:hAnsi="Lucida Bright" w:cs="Calibri"/>
                <w:b/>
                <w:bCs/>
                <w:color w:val="000000"/>
                <w:sz w:val="14"/>
                <w:szCs w:val="14"/>
                <w:lang w:val="es-ES"/>
              </w:rPr>
            </w:pPr>
            <w:r w:rsidRPr="00395199">
              <w:rPr>
                <w:rFonts w:ascii="Lucida Bright" w:hAnsi="Lucida Bright" w:cs="Calibri"/>
                <w:b/>
                <w:bCs/>
                <w:color w:val="000000"/>
                <w:sz w:val="14"/>
                <w:szCs w:val="14"/>
                <w:lang w:val="es-ES"/>
              </w:rPr>
              <w:t>2022</w:t>
            </w:r>
          </w:p>
        </w:tc>
      </w:tr>
      <w:tr w:rsidR="00395199" w:rsidRPr="00395199" w:rsidTr="00395199">
        <w:trPr>
          <w:trHeight w:val="300"/>
        </w:trPr>
        <w:tc>
          <w:tcPr>
            <w:tcW w:w="2931"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Puerto de Palma</w:t>
            </w:r>
          </w:p>
        </w:tc>
        <w:tc>
          <w:tcPr>
            <w:tcW w:w="1078" w:type="pct"/>
            <w:tcBorders>
              <w:top w:val="nil"/>
              <w:left w:val="nil"/>
              <w:bottom w:val="single" w:sz="4" w:space="0" w:color="auto"/>
              <w:right w:val="single" w:sz="4" w:space="0" w:color="auto"/>
            </w:tcBorders>
            <w:shd w:val="clear" w:color="auto" w:fill="auto"/>
            <w:noWrap/>
            <w:vAlign w:val="bottom"/>
            <w:hideMark/>
          </w:tcPr>
          <w:p w:rsidR="00395199" w:rsidRPr="00395199" w:rsidRDefault="00395199" w:rsidP="00395199">
            <w:pPr>
              <w:jc w:val="right"/>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55.073.570,75</w:t>
            </w:r>
          </w:p>
        </w:tc>
        <w:tc>
          <w:tcPr>
            <w:tcW w:w="991" w:type="pct"/>
            <w:tcBorders>
              <w:top w:val="nil"/>
              <w:left w:val="nil"/>
              <w:bottom w:val="single" w:sz="4" w:space="0" w:color="auto"/>
              <w:right w:val="single" w:sz="4" w:space="0" w:color="auto"/>
            </w:tcBorders>
            <w:shd w:val="clear" w:color="auto" w:fill="auto"/>
            <w:noWrap/>
            <w:vAlign w:val="bottom"/>
            <w:hideMark/>
          </w:tcPr>
          <w:p w:rsidR="00395199" w:rsidRPr="00395199" w:rsidRDefault="00395199" w:rsidP="00395199">
            <w:pPr>
              <w:jc w:val="right"/>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48.800.408,04</w:t>
            </w:r>
          </w:p>
        </w:tc>
      </w:tr>
      <w:tr w:rsidR="00395199" w:rsidRPr="00395199" w:rsidTr="00395199">
        <w:trPr>
          <w:trHeight w:val="300"/>
        </w:trPr>
        <w:tc>
          <w:tcPr>
            <w:tcW w:w="2931"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 xml:space="preserve">Puerto de </w:t>
            </w:r>
            <w:proofErr w:type="spellStart"/>
            <w:r w:rsidRPr="00395199">
              <w:rPr>
                <w:rFonts w:ascii="Lucida Bright" w:hAnsi="Lucida Bright" w:cs="Calibri"/>
                <w:color w:val="000000"/>
                <w:sz w:val="14"/>
                <w:szCs w:val="14"/>
                <w:lang w:val="es-ES"/>
              </w:rPr>
              <w:t>Eivissa</w:t>
            </w:r>
            <w:proofErr w:type="spellEnd"/>
            <w:r w:rsidRPr="00395199">
              <w:rPr>
                <w:rFonts w:ascii="Lucida Bright" w:hAnsi="Lucida Bright" w:cs="Calibri"/>
                <w:color w:val="000000"/>
                <w:sz w:val="14"/>
                <w:szCs w:val="14"/>
                <w:lang w:val="es-ES"/>
              </w:rPr>
              <w:t xml:space="preserve"> - Ibiza</w:t>
            </w:r>
          </w:p>
        </w:tc>
        <w:tc>
          <w:tcPr>
            <w:tcW w:w="1078" w:type="pct"/>
            <w:tcBorders>
              <w:top w:val="nil"/>
              <w:left w:val="nil"/>
              <w:bottom w:val="single" w:sz="4" w:space="0" w:color="auto"/>
              <w:right w:val="single" w:sz="4" w:space="0" w:color="auto"/>
            </w:tcBorders>
            <w:shd w:val="clear" w:color="auto" w:fill="auto"/>
            <w:noWrap/>
            <w:vAlign w:val="bottom"/>
            <w:hideMark/>
          </w:tcPr>
          <w:p w:rsidR="00395199" w:rsidRPr="00395199" w:rsidRDefault="00395199" w:rsidP="00395199">
            <w:pPr>
              <w:jc w:val="right"/>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33.865.117,63</w:t>
            </w:r>
          </w:p>
        </w:tc>
        <w:tc>
          <w:tcPr>
            <w:tcW w:w="991" w:type="pct"/>
            <w:tcBorders>
              <w:top w:val="nil"/>
              <w:left w:val="nil"/>
              <w:bottom w:val="single" w:sz="4" w:space="0" w:color="auto"/>
              <w:right w:val="single" w:sz="4" w:space="0" w:color="auto"/>
            </w:tcBorders>
            <w:shd w:val="clear" w:color="auto" w:fill="auto"/>
            <w:noWrap/>
            <w:vAlign w:val="bottom"/>
            <w:hideMark/>
          </w:tcPr>
          <w:p w:rsidR="00395199" w:rsidRPr="00395199" w:rsidRDefault="00395199" w:rsidP="00395199">
            <w:pPr>
              <w:jc w:val="right"/>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25.626.626,39</w:t>
            </w:r>
          </w:p>
        </w:tc>
      </w:tr>
      <w:tr w:rsidR="00395199" w:rsidRPr="00395199" w:rsidTr="00395199">
        <w:trPr>
          <w:trHeight w:val="300"/>
        </w:trPr>
        <w:tc>
          <w:tcPr>
            <w:tcW w:w="2931"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 xml:space="preserve">Puerto de La </w:t>
            </w:r>
            <w:proofErr w:type="spellStart"/>
            <w:r w:rsidRPr="00395199">
              <w:rPr>
                <w:rFonts w:ascii="Lucida Bright" w:hAnsi="Lucida Bright" w:cs="Calibri"/>
                <w:color w:val="000000"/>
                <w:sz w:val="14"/>
                <w:szCs w:val="14"/>
                <w:lang w:val="es-ES"/>
              </w:rPr>
              <w:t>Savina</w:t>
            </w:r>
            <w:proofErr w:type="spellEnd"/>
          </w:p>
        </w:tc>
        <w:tc>
          <w:tcPr>
            <w:tcW w:w="1078" w:type="pct"/>
            <w:tcBorders>
              <w:top w:val="nil"/>
              <w:left w:val="nil"/>
              <w:bottom w:val="single" w:sz="4" w:space="0" w:color="auto"/>
              <w:right w:val="single" w:sz="4" w:space="0" w:color="auto"/>
            </w:tcBorders>
            <w:shd w:val="clear" w:color="auto" w:fill="auto"/>
            <w:noWrap/>
            <w:vAlign w:val="bottom"/>
            <w:hideMark/>
          </w:tcPr>
          <w:p w:rsidR="00395199" w:rsidRPr="00395199" w:rsidRDefault="00395199" w:rsidP="00395199">
            <w:pPr>
              <w:jc w:val="right"/>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4.672.808,25</w:t>
            </w:r>
          </w:p>
        </w:tc>
        <w:tc>
          <w:tcPr>
            <w:tcW w:w="991" w:type="pct"/>
            <w:tcBorders>
              <w:top w:val="nil"/>
              <w:left w:val="nil"/>
              <w:bottom w:val="single" w:sz="4" w:space="0" w:color="auto"/>
              <w:right w:val="single" w:sz="4" w:space="0" w:color="auto"/>
            </w:tcBorders>
            <w:shd w:val="clear" w:color="auto" w:fill="auto"/>
            <w:noWrap/>
            <w:vAlign w:val="bottom"/>
            <w:hideMark/>
          </w:tcPr>
          <w:p w:rsidR="00395199" w:rsidRPr="00395199" w:rsidRDefault="00395199" w:rsidP="00395199">
            <w:pPr>
              <w:jc w:val="right"/>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3.738.699,74</w:t>
            </w:r>
          </w:p>
        </w:tc>
      </w:tr>
      <w:tr w:rsidR="00395199" w:rsidRPr="00395199" w:rsidTr="00395199">
        <w:trPr>
          <w:trHeight w:val="300"/>
        </w:trPr>
        <w:tc>
          <w:tcPr>
            <w:tcW w:w="2931"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 xml:space="preserve">Puerto de </w:t>
            </w:r>
            <w:proofErr w:type="spellStart"/>
            <w:r w:rsidRPr="00395199">
              <w:rPr>
                <w:rFonts w:ascii="Lucida Bright" w:hAnsi="Lucida Bright" w:cs="Calibri"/>
                <w:color w:val="000000"/>
                <w:sz w:val="14"/>
                <w:szCs w:val="14"/>
                <w:lang w:val="es-ES"/>
              </w:rPr>
              <w:t>Maó</w:t>
            </w:r>
            <w:proofErr w:type="spellEnd"/>
            <w:r w:rsidRPr="00395199">
              <w:rPr>
                <w:rFonts w:ascii="Lucida Bright" w:hAnsi="Lucida Bright" w:cs="Calibri"/>
                <w:color w:val="000000"/>
                <w:sz w:val="14"/>
                <w:szCs w:val="14"/>
                <w:lang w:val="es-ES"/>
              </w:rPr>
              <w:t xml:space="preserve"> - Mahón</w:t>
            </w:r>
          </w:p>
        </w:tc>
        <w:tc>
          <w:tcPr>
            <w:tcW w:w="1078" w:type="pct"/>
            <w:tcBorders>
              <w:top w:val="nil"/>
              <w:left w:val="nil"/>
              <w:bottom w:val="single" w:sz="4" w:space="0" w:color="auto"/>
              <w:right w:val="single" w:sz="4" w:space="0" w:color="auto"/>
            </w:tcBorders>
            <w:shd w:val="clear" w:color="auto" w:fill="auto"/>
            <w:noWrap/>
            <w:vAlign w:val="bottom"/>
            <w:hideMark/>
          </w:tcPr>
          <w:p w:rsidR="00395199" w:rsidRPr="00395199" w:rsidRDefault="00395199" w:rsidP="00395199">
            <w:pPr>
              <w:jc w:val="right"/>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4.998.525,36</w:t>
            </w:r>
          </w:p>
        </w:tc>
        <w:tc>
          <w:tcPr>
            <w:tcW w:w="991" w:type="pct"/>
            <w:tcBorders>
              <w:top w:val="nil"/>
              <w:left w:val="nil"/>
              <w:bottom w:val="single" w:sz="4" w:space="0" w:color="auto"/>
              <w:right w:val="single" w:sz="4" w:space="0" w:color="auto"/>
            </w:tcBorders>
            <w:shd w:val="clear" w:color="auto" w:fill="auto"/>
            <w:noWrap/>
            <w:vAlign w:val="bottom"/>
            <w:hideMark/>
          </w:tcPr>
          <w:p w:rsidR="00395199" w:rsidRPr="00395199" w:rsidRDefault="00395199" w:rsidP="00395199">
            <w:pPr>
              <w:jc w:val="right"/>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3.414.023,54</w:t>
            </w:r>
          </w:p>
        </w:tc>
      </w:tr>
      <w:tr w:rsidR="00395199" w:rsidRPr="00395199" w:rsidTr="00395199">
        <w:trPr>
          <w:trHeight w:val="300"/>
        </w:trPr>
        <w:tc>
          <w:tcPr>
            <w:tcW w:w="2931"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 xml:space="preserve">Puerto de </w:t>
            </w:r>
            <w:proofErr w:type="spellStart"/>
            <w:r w:rsidRPr="00395199">
              <w:rPr>
                <w:rFonts w:ascii="Lucida Bright" w:hAnsi="Lucida Bright" w:cs="Calibri"/>
                <w:color w:val="000000"/>
                <w:sz w:val="14"/>
                <w:szCs w:val="14"/>
                <w:lang w:val="es-ES"/>
              </w:rPr>
              <w:t>Alcúdia</w:t>
            </w:r>
            <w:proofErr w:type="spellEnd"/>
          </w:p>
        </w:tc>
        <w:tc>
          <w:tcPr>
            <w:tcW w:w="1078" w:type="pct"/>
            <w:tcBorders>
              <w:top w:val="nil"/>
              <w:left w:val="nil"/>
              <w:bottom w:val="single" w:sz="4" w:space="0" w:color="auto"/>
              <w:right w:val="single" w:sz="4" w:space="0" w:color="auto"/>
            </w:tcBorders>
            <w:shd w:val="clear" w:color="auto" w:fill="auto"/>
            <w:noWrap/>
            <w:vAlign w:val="bottom"/>
            <w:hideMark/>
          </w:tcPr>
          <w:p w:rsidR="00395199" w:rsidRPr="00395199" w:rsidRDefault="00395199" w:rsidP="00395199">
            <w:pPr>
              <w:jc w:val="right"/>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6.570.075,72</w:t>
            </w:r>
          </w:p>
        </w:tc>
        <w:tc>
          <w:tcPr>
            <w:tcW w:w="991" w:type="pct"/>
            <w:tcBorders>
              <w:top w:val="nil"/>
              <w:left w:val="nil"/>
              <w:bottom w:val="single" w:sz="4" w:space="0" w:color="auto"/>
              <w:right w:val="single" w:sz="4" w:space="0" w:color="auto"/>
            </w:tcBorders>
            <w:shd w:val="clear" w:color="auto" w:fill="auto"/>
            <w:noWrap/>
            <w:vAlign w:val="bottom"/>
            <w:hideMark/>
          </w:tcPr>
          <w:p w:rsidR="00395199" w:rsidRPr="00395199" w:rsidRDefault="00395199" w:rsidP="00395199">
            <w:pPr>
              <w:jc w:val="right"/>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5.221.660,71</w:t>
            </w:r>
          </w:p>
        </w:tc>
      </w:tr>
      <w:tr w:rsidR="00395199" w:rsidRPr="00395199" w:rsidTr="00395199">
        <w:trPr>
          <w:trHeight w:val="300"/>
        </w:trPr>
        <w:tc>
          <w:tcPr>
            <w:tcW w:w="2931"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95199" w:rsidRPr="00395199" w:rsidRDefault="00395199" w:rsidP="00395199">
            <w:pPr>
              <w:rPr>
                <w:rFonts w:ascii="Lucida Bright" w:hAnsi="Lucida Bright" w:cs="Calibri"/>
                <w:b/>
                <w:bCs/>
                <w:color w:val="000000"/>
                <w:sz w:val="14"/>
                <w:szCs w:val="14"/>
                <w:lang w:val="es-ES"/>
              </w:rPr>
            </w:pPr>
            <w:r w:rsidRPr="00395199">
              <w:rPr>
                <w:rFonts w:ascii="Lucida Bright" w:hAnsi="Lucida Bright" w:cs="Calibri"/>
                <w:b/>
                <w:bCs/>
                <w:color w:val="000000"/>
                <w:sz w:val="14"/>
                <w:szCs w:val="14"/>
                <w:lang w:val="es-ES"/>
              </w:rPr>
              <w:t>Total</w:t>
            </w:r>
          </w:p>
        </w:tc>
        <w:tc>
          <w:tcPr>
            <w:tcW w:w="1078" w:type="pct"/>
            <w:tcBorders>
              <w:top w:val="nil"/>
              <w:left w:val="nil"/>
              <w:bottom w:val="single" w:sz="4" w:space="0" w:color="auto"/>
              <w:right w:val="single" w:sz="4" w:space="0" w:color="auto"/>
            </w:tcBorders>
            <w:shd w:val="clear" w:color="auto" w:fill="auto"/>
            <w:noWrap/>
            <w:vAlign w:val="bottom"/>
            <w:hideMark/>
          </w:tcPr>
          <w:p w:rsidR="00395199" w:rsidRPr="00395199" w:rsidRDefault="00395199" w:rsidP="00395199">
            <w:pPr>
              <w:jc w:val="right"/>
              <w:rPr>
                <w:rFonts w:ascii="Lucida Bright" w:hAnsi="Lucida Bright" w:cs="Calibri"/>
                <w:b/>
                <w:bCs/>
                <w:color w:val="000000"/>
                <w:sz w:val="14"/>
                <w:szCs w:val="14"/>
                <w:lang w:val="es-ES"/>
              </w:rPr>
            </w:pPr>
            <w:r w:rsidRPr="00395199">
              <w:rPr>
                <w:rFonts w:ascii="Lucida Bright" w:hAnsi="Lucida Bright" w:cs="Calibri"/>
                <w:b/>
                <w:bCs/>
                <w:color w:val="000000"/>
                <w:sz w:val="14"/>
                <w:szCs w:val="14"/>
                <w:lang w:val="es-ES"/>
              </w:rPr>
              <w:t>105.180.097,71</w:t>
            </w:r>
          </w:p>
        </w:tc>
        <w:tc>
          <w:tcPr>
            <w:tcW w:w="991" w:type="pct"/>
            <w:tcBorders>
              <w:top w:val="nil"/>
              <w:left w:val="nil"/>
              <w:bottom w:val="single" w:sz="4" w:space="0" w:color="auto"/>
              <w:right w:val="single" w:sz="4" w:space="0" w:color="auto"/>
            </w:tcBorders>
            <w:shd w:val="clear" w:color="auto" w:fill="auto"/>
            <w:noWrap/>
            <w:vAlign w:val="bottom"/>
            <w:hideMark/>
          </w:tcPr>
          <w:p w:rsidR="00395199" w:rsidRPr="00395199" w:rsidRDefault="00395199" w:rsidP="00395199">
            <w:pPr>
              <w:jc w:val="right"/>
              <w:rPr>
                <w:rFonts w:ascii="Lucida Bright" w:hAnsi="Lucida Bright" w:cs="Calibri"/>
                <w:b/>
                <w:bCs/>
                <w:color w:val="000000"/>
                <w:sz w:val="14"/>
                <w:szCs w:val="14"/>
                <w:lang w:val="es-ES"/>
              </w:rPr>
            </w:pPr>
            <w:r w:rsidRPr="00395199">
              <w:rPr>
                <w:rFonts w:ascii="Lucida Bright" w:hAnsi="Lucida Bright" w:cs="Calibri"/>
                <w:b/>
                <w:bCs/>
                <w:color w:val="000000"/>
                <w:sz w:val="14"/>
                <w:szCs w:val="14"/>
                <w:lang w:val="es-ES"/>
              </w:rPr>
              <w:t>86.801.418,42</w:t>
            </w:r>
          </w:p>
        </w:tc>
      </w:tr>
    </w:tbl>
    <w:p w:rsidR="00E70917" w:rsidRDefault="00E70917" w:rsidP="002019D4">
      <w:pPr>
        <w:tabs>
          <w:tab w:val="right" w:pos="8364"/>
        </w:tabs>
        <w:ind w:left="567" w:firstLine="284"/>
        <w:jc w:val="both"/>
        <w:rPr>
          <w:b/>
          <w:bCs/>
          <w:sz w:val="32"/>
          <w:szCs w:val="32"/>
        </w:rPr>
      </w:pPr>
      <w:r>
        <w:rPr>
          <w:b/>
          <w:bCs/>
          <w:sz w:val="32"/>
          <w:szCs w:val="32"/>
        </w:rPr>
        <w:tab/>
      </w:r>
    </w:p>
    <w:p w:rsidR="004451E3" w:rsidRDefault="004451E3" w:rsidP="008D534C">
      <w:pPr>
        <w:tabs>
          <w:tab w:val="right" w:pos="8364"/>
        </w:tabs>
        <w:jc w:val="both"/>
        <w:rPr>
          <w:b/>
          <w:bCs/>
          <w:sz w:val="24"/>
          <w:szCs w:val="24"/>
        </w:rPr>
      </w:pPr>
    </w:p>
    <w:p w:rsidR="003A5FF5" w:rsidRPr="00D54A29" w:rsidRDefault="003A5FF5" w:rsidP="008D534C">
      <w:pPr>
        <w:tabs>
          <w:tab w:val="right" w:pos="8364"/>
        </w:tabs>
        <w:jc w:val="both"/>
        <w:rPr>
          <w:rFonts w:ascii="NewBaskerville" w:hAnsi="NewBaskerville"/>
          <w:bCs/>
          <w:sz w:val="24"/>
          <w:szCs w:val="24"/>
          <w:u w:val="single"/>
        </w:rPr>
      </w:pPr>
    </w:p>
    <w:p w:rsidR="00533ECB" w:rsidRDefault="00533ECB" w:rsidP="00EF6B46">
      <w:pPr>
        <w:tabs>
          <w:tab w:val="right" w:pos="8364"/>
        </w:tabs>
        <w:ind w:left="567" w:hanging="567"/>
        <w:jc w:val="both"/>
        <w:rPr>
          <w:rFonts w:ascii="NewBaskerville" w:hAnsi="NewBaskerville"/>
          <w:b/>
          <w:bCs/>
          <w:sz w:val="24"/>
          <w:szCs w:val="24"/>
        </w:rPr>
      </w:pPr>
    </w:p>
    <w:p w:rsidR="00533ECB" w:rsidRDefault="00533ECB" w:rsidP="00EF6B46">
      <w:pPr>
        <w:tabs>
          <w:tab w:val="right" w:pos="8364"/>
        </w:tabs>
        <w:ind w:left="567" w:hanging="567"/>
        <w:jc w:val="both"/>
        <w:rPr>
          <w:rFonts w:ascii="NewBaskerville" w:hAnsi="NewBaskerville"/>
          <w:b/>
          <w:bCs/>
          <w:sz w:val="24"/>
          <w:szCs w:val="24"/>
        </w:rPr>
      </w:pPr>
    </w:p>
    <w:p w:rsidR="00533ECB" w:rsidRDefault="00533ECB" w:rsidP="00EF6B46">
      <w:pPr>
        <w:tabs>
          <w:tab w:val="right" w:pos="8364"/>
        </w:tabs>
        <w:ind w:left="567" w:hanging="567"/>
        <w:jc w:val="both"/>
        <w:rPr>
          <w:rFonts w:ascii="NewBaskerville" w:hAnsi="NewBaskerville"/>
          <w:b/>
          <w:bCs/>
          <w:sz w:val="24"/>
          <w:szCs w:val="24"/>
        </w:rPr>
      </w:pPr>
    </w:p>
    <w:p w:rsidR="00533ECB" w:rsidRDefault="00533ECB" w:rsidP="00EF6B46">
      <w:pPr>
        <w:tabs>
          <w:tab w:val="right" w:pos="8364"/>
        </w:tabs>
        <w:ind w:left="567" w:hanging="567"/>
        <w:jc w:val="both"/>
        <w:rPr>
          <w:rFonts w:ascii="NewBaskerville" w:hAnsi="NewBaskerville"/>
          <w:b/>
          <w:bCs/>
          <w:sz w:val="24"/>
          <w:szCs w:val="24"/>
        </w:rPr>
      </w:pPr>
    </w:p>
    <w:p w:rsidR="00533ECB" w:rsidRDefault="00533ECB" w:rsidP="00EF6B46">
      <w:pPr>
        <w:tabs>
          <w:tab w:val="right" w:pos="8364"/>
        </w:tabs>
        <w:ind w:left="567" w:hanging="567"/>
        <w:jc w:val="both"/>
        <w:rPr>
          <w:rFonts w:ascii="NewBaskerville" w:hAnsi="NewBaskerville"/>
          <w:b/>
          <w:bCs/>
          <w:sz w:val="24"/>
          <w:szCs w:val="24"/>
        </w:rPr>
      </w:pPr>
    </w:p>
    <w:p w:rsidR="00AE1189" w:rsidRDefault="00AE1189" w:rsidP="00EF6B46">
      <w:pPr>
        <w:tabs>
          <w:tab w:val="right" w:pos="8364"/>
        </w:tabs>
        <w:ind w:left="567" w:hanging="567"/>
        <w:jc w:val="both"/>
        <w:rPr>
          <w:rFonts w:ascii="NewBaskerville" w:hAnsi="NewBaskerville"/>
          <w:b/>
          <w:bCs/>
          <w:sz w:val="24"/>
          <w:szCs w:val="24"/>
        </w:rPr>
      </w:pPr>
    </w:p>
    <w:p w:rsidR="00533ECB" w:rsidRDefault="00533ECB" w:rsidP="00EF6B46">
      <w:pPr>
        <w:tabs>
          <w:tab w:val="right" w:pos="8364"/>
        </w:tabs>
        <w:ind w:left="567" w:hanging="567"/>
        <w:jc w:val="both"/>
        <w:rPr>
          <w:rFonts w:ascii="NewBaskerville" w:hAnsi="NewBaskerville"/>
          <w:b/>
          <w:bCs/>
          <w:sz w:val="24"/>
          <w:szCs w:val="24"/>
        </w:rPr>
      </w:pPr>
    </w:p>
    <w:p w:rsidR="00533ECB" w:rsidRDefault="00533ECB" w:rsidP="00EF6B46">
      <w:pPr>
        <w:tabs>
          <w:tab w:val="right" w:pos="8364"/>
        </w:tabs>
        <w:ind w:left="567" w:hanging="567"/>
        <w:jc w:val="both"/>
        <w:rPr>
          <w:rFonts w:ascii="NewBaskerville" w:hAnsi="NewBaskerville"/>
          <w:b/>
          <w:bCs/>
          <w:sz w:val="24"/>
          <w:szCs w:val="24"/>
        </w:rPr>
      </w:pPr>
    </w:p>
    <w:p w:rsidR="00533ECB" w:rsidRDefault="00533ECB" w:rsidP="00EF6B46">
      <w:pPr>
        <w:tabs>
          <w:tab w:val="right" w:pos="8364"/>
        </w:tabs>
        <w:ind w:left="567" w:hanging="567"/>
        <w:jc w:val="both"/>
        <w:rPr>
          <w:rFonts w:ascii="NewBaskerville" w:hAnsi="NewBaskerville"/>
          <w:b/>
          <w:bCs/>
          <w:sz w:val="24"/>
          <w:szCs w:val="24"/>
        </w:rPr>
      </w:pPr>
    </w:p>
    <w:p w:rsidR="00533ECB" w:rsidRDefault="00533ECB" w:rsidP="00EF6B46">
      <w:pPr>
        <w:tabs>
          <w:tab w:val="right" w:pos="8364"/>
        </w:tabs>
        <w:ind w:left="567" w:hanging="567"/>
        <w:jc w:val="both"/>
        <w:rPr>
          <w:rFonts w:ascii="NewBaskerville" w:hAnsi="NewBaskerville"/>
          <w:b/>
          <w:bCs/>
          <w:sz w:val="24"/>
          <w:szCs w:val="24"/>
        </w:rPr>
      </w:pPr>
    </w:p>
    <w:p w:rsidR="00533ECB" w:rsidRDefault="00533ECB" w:rsidP="00EF6B46">
      <w:pPr>
        <w:tabs>
          <w:tab w:val="right" w:pos="8364"/>
        </w:tabs>
        <w:ind w:left="567" w:hanging="567"/>
        <w:jc w:val="both"/>
        <w:rPr>
          <w:rFonts w:ascii="NewBaskerville" w:hAnsi="NewBaskerville"/>
          <w:b/>
          <w:bCs/>
          <w:sz w:val="24"/>
          <w:szCs w:val="24"/>
        </w:rPr>
      </w:pPr>
    </w:p>
    <w:p w:rsidR="00EF6B46" w:rsidRPr="00D54A29" w:rsidRDefault="00EF6B46" w:rsidP="00EF6B46">
      <w:pPr>
        <w:tabs>
          <w:tab w:val="right" w:pos="8364"/>
        </w:tabs>
        <w:ind w:left="567" w:hanging="567"/>
        <w:jc w:val="both"/>
        <w:rPr>
          <w:rFonts w:ascii="NewBaskerville" w:hAnsi="NewBaskerville"/>
          <w:b/>
          <w:bCs/>
          <w:sz w:val="24"/>
          <w:szCs w:val="24"/>
        </w:rPr>
      </w:pPr>
      <w:r w:rsidRPr="00D54A29">
        <w:rPr>
          <w:rFonts w:ascii="NewBaskerville" w:hAnsi="NewBaskerville"/>
          <w:b/>
          <w:bCs/>
          <w:sz w:val="24"/>
          <w:szCs w:val="24"/>
        </w:rPr>
        <w:lastRenderedPageBreak/>
        <w:t>1</w:t>
      </w:r>
      <w:r w:rsidR="00A00693" w:rsidRPr="00D54A29">
        <w:rPr>
          <w:rFonts w:ascii="NewBaskerville" w:hAnsi="NewBaskerville"/>
          <w:b/>
          <w:bCs/>
          <w:sz w:val="24"/>
          <w:szCs w:val="24"/>
        </w:rPr>
        <w:t>6</w:t>
      </w:r>
      <w:r w:rsidR="002019D4" w:rsidRPr="00D54A29">
        <w:rPr>
          <w:rFonts w:ascii="NewBaskerville" w:hAnsi="NewBaskerville"/>
          <w:b/>
          <w:bCs/>
          <w:sz w:val="24"/>
          <w:szCs w:val="24"/>
        </w:rPr>
        <w:t xml:space="preserve">. </w:t>
      </w:r>
      <w:r w:rsidRPr="00D54A29">
        <w:rPr>
          <w:rFonts w:ascii="NewBaskerville" w:hAnsi="NewBaskerville"/>
          <w:b/>
          <w:bCs/>
          <w:sz w:val="24"/>
          <w:szCs w:val="24"/>
        </w:rPr>
        <w:t>Número de empleados</w:t>
      </w:r>
    </w:p>
    <w:p w:rsidR="00EF6B46" w:rsidRPr="00EB4317" w:rsidRDefault="00EF6B46" w:rsidP="00EF6B46">
      <w:pPr>
        <w:tabs>
          <w:tab w:val="right" w:pos="8364"/>
        </w:tabs>
        <w:jc w:val="both"/>
        <w:rPr>
          <w:bCs/>
          <w:u w:val="single"/>
        </w:rPr>
      </w:pPr>
    </w:p>
    <w:p w:rsidR="00050985" w:rsidRDefault="00EF6B46" w:rsidP="00EF6B46">
      <w:pPr>
        <w:pStyle w:val="Sangra3detindependiente"/>
        <w:tabs>
          <w:tab w:val="clear" w:pos="5671"/>
          <w:tab w:val="clear" w:pos="7797"/>
          <w:tab w:val="right" w:pos="3403"/>
        </w:tabs>
        <w:spacing w:before="120"/>
        <w:rPr>
          <w:rFonts w:ascii="NewBaskerville" w:hAnsi="NewBaskerville"/>
          <w:bCs/>
          <w:sz w:val="20"/>
          <w:szCs w:val="20"/>
        </w:rPr>
      </w:pPr>
      <w:r w:rsidRPr="00D54A29">
        <w:rPr>
          <w:rFonts w:ascii="NewBaskerville" w:hAnsi="NewBaskerville"/>
          <w:bCs/>
          <w:sz w:val="20"/>
          <w:szCs w:val="20"/>
        </w:rPr>
        <w:t>El número medio de personas em</w:t>
      </w:r>
      <w:r w:rsidR="001164D2" w:rsidRPr="00D54A29">
        <w:rPr>
          <w:rFonts w:ascii="NewBaskerville" w:hAnsi="NewBaskerville"/>
          <w:bCs/>
          <w:sz w:val="20"/>
          <w:szCs w:val="20"/>
        </w:rPr>
        <w:t>p</w:t>
      </w:r>
      <w:r w:rsidR="0061314C" w:rsidRPr="00D54A29">
        <w:rPr>
          <w:rFonts w:ascii="NewBaskerville" w:hAnsi="NewBaskerville"/>
          <w:bCs/>
          <w:sz w:val="20"/>
          <w:szCs w:val="20"/>
        </w:rPr>
        <w:t>leadas durante el ejercicio 202</w:t>
      </w:r>
      <w:r w:rsidR="006C734D">
        <w:rPr>
          <w:rFonts w:ascii="NewBaskerville" w:hAnsi="NewBaskerville"/>
          <w:bCs/>
          <w:sz w:val="20"/>
          <w:szCs w:val="20"/>
        </w:rPr>
        <w:t>3</w:t>
      </w:r>
      <w:r w:rsidRPr="00D54A29">
        <w:rPr>
          <w:rFonts w:ascii="NewBaskerville" w:hAnsi="NewBaskerville"/>
          <w:bCs/>
          <w:sz w:val="20"/>
          <w:szCs w:val="20"/>
        </w:rPr>
        <w:t xml:space="preserve"> ha sido de </w:t>
      </w:r>
      <w:r w:rsidR="009E5B5A" w:rsidRPr="00D54A29">
        <w:rPr>
          <w:rFonts w:ascii="NewBaskerville" w:hAnsi="NewBaskerville"/>
          <w:bCs/>
          <w:sz w:val="20"/>
          <w:szCs w:val="20"/>
        </w:rPr>
        <w:t>3</w:t>
      </w:r>
      <w:r w:rsidR="006C734D">
        <w:rPr>
          <w:rFonts w:ascii="NewBaskerville" w:hAnsi="NewBaskerville"/>
          <w:bCs/>
          <w:sz w:val="20"/>
          <w:szCs w:val="20"/>
        </w:rPr>
        <w:t>1</w:t>
      </w:r>
      <w:r w:rsidR="00F311C1">
        <w:rPr>
          <w:rFonts w:ascii="NewBaskerville" w:hAnsi="NewBaskerville"/>
          <w:bCs/>
          <w:sz w:val="20"/>
          <w:szCs w:val="20"/>
        </w:rPr>
        <w:t>2</w:t>
      </w:r>
      <w:r w:rsidR="009E5B5A" w:rsidRPr="00D54A29">
        <w:rPr>
          <w:rFonts w:ascii="NewBaskerville" w:hAnsi="NewBaskerville"/>
          <w:bCs/>
          <w:sz w:val="20"/>
          <w:szCs w:val="20"/>
        </w:rPr>
        <w:t xml:space="preserve"> </w:t>
      </w:r>
      <w:r w:rsidRPr="00D54A29">
        <w:rPr>
          <w:rFonts w:ascii="NewBaskerville" w:hAnsi="NewBaskerville"/>
          <w:bCs/>
          <w:sz w:val="20"/>
          <w:szCs w:val="20"/>
        </w:rPr>
        <w:t>traba</w:t>
      </w:r>
      <w:r w:rsidR="0061314C" w:rsidRPr="00D54A29">
        <w:rPr>
          <w:rFonts w:ascii="NewBaskerville" w:hAnsi="NewBaskerville"/>
          <w:bCs/>
          <w:sz w:val="20"/>
          <w:szCs w:val="20"/>
        </w:rPr>
        <w:t>ja</w:t>
      </w:r>
      <w:r w:rsidR="009E5B5A" w:rsidRPr="00D54A29">
        <w:rPr>
          <w:rFonts w:ascii="NewBaskerville" w:hAnsi="NewBaskerville"/>
          <w:bCs/>
          <w:sz w:val="20"/>
          <w:szCs w:val="20"/>
        </w:rPr>
        <w:t>dores</w:t>
      </w:r>
      <w:r w:rsidR="0061314C" w:rsidRPr="00D54A29">
        <w:rPr>
          <w:rFonts w:ascii="NewBaskerville" w:hAnsi="NewBaskerville"/>
          <w:bCs/>
          <w:sz w:val="20"/>
          <w:szCs w:val="20"/>
        </w:rPr>
        <w:t xml:space="preserve"> y para el ejercicio 202</w:t>
      </w:r>
      <w:r w:rsidR="006C734D">
        <w:rPr>
          <w:rFonts w:ascii="NewBaskerville" w:hAnsi="NewBaskerville"/>
          <w:bCs/>
          <w:sz w:val="20"/>
          <w:szCs w:val="20"/>
        </w:rPr>
        <w:t>2</w:t>
      </w:r>
      <w:r w:rsidR="00782DC7" w:rsidRPr="00D54A29">
        <w:rPr>
          <w:rFonts w:ascii="NewBaskerville" w:hAnsi="NewBaskerville"/>
          <w:bCs/>
          <w:sz w:val="20"/>
          <w:szCs w:val="20"/>
        </w:rPr>
        <w:t xml:space="preserve"> </w:t>
      </w:r>
      <w:r w:rsidR="008155BC" w:rsidRPr="00D54A29">
        <w:rPr>
          <w:rFonts w:ascii="NewBaskerville" w:hAnsi="NewBaskerville"/>
          <w:bCs/>
          <w:sz w:val="20"/>
          <w:szCs w:val="20"/>
        </w:rPr>
        <w:t>fue</w:t>
      </w:r>
      <w:r w:rsidR="00782DC7" w:rsidRPr="00D54A29">
        <w:rPr>
          <w:rFonts w:ascii="NewBaskerville" w:hAnsi="NewBaskerville"/>
          <w:bCs/>
          <w:sz w:val="20"/>
          <w:szCs w:val="20"/>
        </w:rPr>
        <w:t xml:space="preserve"> de 3</w:t>
      </w:r>
      <w:r w:rsidR="006C734D">
        <w:rPr>
          <w:rFonts w:ascii="NewBaskerville" w:hAnsi="NewBaskerville"/>
          <w:bCs/>
          <w:sz w:val="20"/>
          <w:szCs w:val="20"/>
        </w:rPr>
        <w:t>02</w:t>
      </w:r>
      <w:r w:rsidRPr="00D54A29">
        <w:rPr>
          <w:rFonts w:ascii="NewBaskerville" w:hAnsi="NewBaskerville"/>
          <w:bCs/>
          <w:sz w:val="20"/>
          <w:szCs w:val="20"/>
        </w:rPr>
        <w:t xml:space="preserve"> trabajadores.</w:t>
      </w:r>
    </w:p>
    <w:tbl>
      <w:tblPr>
        <w:tblW w:w="5180" w:type="dxa"/>
        <w:tblInd w:w="60" w:type="dxa"/>
        <w:tblCellMar>
          <w:left w:w="70" w:type="dxa"/>
          <w:right w:w="70" w:type="dxa"/>
        </w:tblCellMar>
        <w:tblLook w:val="04A0" w:firstRow="1" w:lastRow="0" w:firstColumn="1" w:lastColumn="0" w:noHBand="0" w:noVBand="1"/>
      </w:tblPr>
      <w:tblGrid>
        <w:gridCol w:w="2780"/>
        <w:gridCol w:w="1200"/>
        <w:gridCol w:w="1200"/>
      </w:tblGrid>
      <w:tr w:rsidR="006C734D" w:rsidRPr="006C734D" w:rsidTr="006C734D">
        <w:trPr>
          <w:trHeight w:val="315"/>
        </w:trPr>
        <w:tc>
          <w:tcPr>
            <w:tcW w:w="2780" w:type="dxa"/>
            <w:tcBorders>
              <w:top w:val="single" w:sz="8" w:space="0" w:color="auto"/>
              <w:left w:val="single" w:sz="8" w:space="0" w:color="auto"/>
              <w:bottom w:val="single" w:sz="8" w:space="0" w:color="auto"/>
              <w:right w:val="single" w:sz="8" w:space="0" w:color="000000"/>
            </w:tcBorders>
            <w:shd w:val="clear" w:color="000000" w:fill="CCFFCC"/>
            <w:noWrap/>
            <w:vAlign w:val="center"/>
            <w:hideMark/>
          </w:tcPr>
          <w:p w:rsidR="006C734D" w:rsidRPr="006C734D" w:rsidRDefault="006C734D" w:rsidP="006C734D">
            <w:pPr>
              <w:jc w:val="center"/>
              <w:rPr>
                <w:rFonts w:ascii="NewBaskerville" w:hAnsi="NewBaskerville" w:cs="Calibri"/>
                <w:b/>
                <w:bCs/>
                <w:color w:val="000000"/>
                <w:sz w:val="18"/>
                <w:szCs w:val="18"/>
                <w:lang w:val="es-ES"/>
              </w:rPr>
            </w:pPr>
            <w:r w:rsidRPr="006C734D">
              <w:rPr>
                <w:rFonts w:ascii="NewBaskerville" w:hAnsi="NewBaskerville" w:cs="Calibri"/>
                <w:b/>
                <w:bCs/>
                <w:color w:val="000000"/>
                <w:sz w:val="18"/>
                <w:szCs w:val="18"/>
                <w:lang w:val="es-ES"/>
              </w:rPr>
              <w:t>Plantilla media</w:t>
            </w:r>
          </w:p>
        </w:tc>
        <w:tc>
          <w:tcPr>
            <w:tcW w:w="1200" w:type="dxa"/>
            <w:tcBorders>
              <w:top w:val="single" w:sz="8" w:space="0" w:color="auto"/>
              <w:left w:val="nil"/>
              <w:bottom w:val="single" w:sz="8" w:space="0" w:color="auto"/>
              <w:right w:val="single" w:sz="8" w:space="0" w:color="auto"/>
            </w:tcBorders>
            <w:shd w:val="clear" w:color="000000" w:fill="CCFFCC"/>
            <w:noWrap/>
            <w:vAlign w:val="center"/>
            <w:hideMark/>
          </w:tcPr>
          <w:p w:rsidR="006C734D" w:rsidRPr="006C734D" w:rsidRDefault="006C734D" w:rsidP="006C734D">
            <w:pPr>
              <w:jc w:val="center"/>
              <w:rPr>
                <w:rFonts w:ascii="NewBaskerville" w:hAnsi="NewBaskerville" w:cs="Calibri"/>
                <w:b/>
                <w:bCs/>
                <w:color w:val="000000"/>
                <w:sz w:val="18"/>
                <w:szCs w:val="18"/>
                <w:lang w:val="es-ES"/>
              </w:rPr>
            </w:pPr>
            <w:r w:rsidRPr="006C734D">
              <w:rPr>
                <w:rFonts w:ascii="NewBaskerville" w:hAnsi="NewBaskerville" w:cs="Calibri"/>
                <w:b/>
                <w:bCs/>
                <w:color w:val="000000"/>
                <w:sz w:val="18"/>
                <w:szCs w:val="18"/>
                <w:lang w:val="es-ES"/>
              </w:rPr>
              <w:t>2023</w:t>
            </w:r>
          </w:p>
        </w:tc>
        <w:tc>
          <w:tcPr>
            <w:tcW w:w="1200" w:type="dxa"/>
            <w:tcBorders>
              <w:top w:val="single" w:sz="8" w:space="0" w:color="auto"/>
              <w:left w:val="nil"/>
              <w:bottom w:val="single" w:sz="8" w:space="0" w:color="auto"/>
              <w:right w:val="single" w:sz="8" w:space="0" w:color="auto"/>
            </w:tcBorders>
            <w:shd w:val="clear" w:color="000000" w:fill="CCFFCC"/>
            <w:noWrap/>
            <w:vAlign w:val="center"/>
            <w:hideMark/>
          </w:tcPr>
          <w:p w:rsidR="006C734D" w:rsidRPr="006C734D" w:rsidRDefault="006C734D" w:rsidP="006C734D">
            <w:pPr>
              <w:jc w:val="center"/>
              <w:rPr>
                <w:rFonts w:ascii="NewBaskerville" w:hAnsi="NewBaskerville" w:cs="Calibri"/>
                <w:b/>
                <w:bCs/>
                <w:color w:val="000000"/>
                <w:sz w:val="18"/>
                <w:szCs w:val="18"/>
                <w:lang w:val="es-ES"/>
              </w:rPr>
            </w:pPr>
            <w:r w:rsidRPr="006C734D">
              <w:rPr>
                <w:rFonts w:ascii="NewBaskerville" w:hAnsi="NewBaskerville" w:cs="Calibri"/>
                <w:b/>
                <w:bCs/>
                <w:color w:val="000000"/>
                <w:sz w:val="18"/>
                <w:szCs w:val="18"/>
                <w:lang w:val="es-ES"/>
              </w:rPr>
              <w:t>2022</w:t>
            </w:r>
          </w:p>
        </w:tc>
      </w:tr>
      <w:tr w:rsidR="006C734D" w:rsidRPr="006C734D" w:rsidTr="006C734D">
        <w:trPr>
          <w:trHeight w:val="315"/>
        </w:trPr>
        <w:tc>
          <w:tcPr>
            <w:tcW w:w="2780" w:type="dxa"/>
            <w:tcBorders>
              <w:top w:val="nil"/>
              <w:left w:val="single" w:sz="8" w:space="0" w:color="auto"/>
              <w:bottom w:val="single" w:sz="4" w:space="0" w:color="auto"/>
              <w:right w:val="single" w:sz="4" w:space="0" w:color="auto"/>
            </w:tcBorders>
            <w:shd w:val="clear" w:color="auto" w:fill="auto"/>
            <w:noWrap/>
            <w:vAlign w:val="center"/>
            <w:hideMark/>
          </w:tcPr>
          <w:p w:rsidR="006C734D" w:rsidRPr="006C734D" w:rsidRDefault="006C734D" w:rsidP="006C734D">
            <w:pPr>
              <w:rPr>
                <w:rFonts w:ascii="NewBaskerville" w:hAnsi="NewBaskerville" w:cs="Calibri"/>
                <w:color w:val="000000"/>
                <w:sz w:val="18"/>
                <w:szCs w:val="18"/>
                <w:lang w:val="es-ES"/>
              </w:rPr>
            </w:pPr>
            <w:r w:rsidRPr="006C734D">
              <w:rPr>
                <w:rFonts w:ascii="NewBaskerville" w:hAnsi="NewBaskerville" w:cs="Calibri"/>
                <w:color w:val="000000"/>
                <w:sz w:val="18"/>
                <w:szCs w:val="18"/>
                <w:lang w:val="es-ES"/>
              </w:rPr>
              <w:t>Hombres:</w:t>
            </w:r>
          </w:p>
        </w:tc>
        <w:tc>
          <w:tcPr>
            <w:tcW w:w="1200" w:type="dxa"/>
            <w:tcBorders>
              <w:top w:val="nil"/>
              <w:left w:val="nil"/>
              <w:bottom w:val="single" w:sz="4" w:space="0" w:color="auto"/>
              <w:right w:val="single" w:sz="4" w:space="0" w:color="auto"/>
            </w:tcBorders>
            <w:shd w:val="clear" w:color="auto" w:fill="auto"/>
            <w:noWrap/>
            <w:vAlign w:val="center"/>
            <w:hideMark/>
          </w:tcPr>
          <w:p w:rsidR="006C734D" w:rsidRPr="006C734D" w:rsidRDefault="006C734D" w:rsidP="006C734D">
            <w:pPr>
              <w:jc w:val="center"/>
              <w:rPr>
                <w:rFonts w:ascii="NewBaskerville" w:hAnsi="NewBaskerville" w:cs="Calibri"/>
                <w:color w:val="000000"/>
                <w:sz w:val="18"/>
                <w:szCs w:val="18"/>
                <w:lang w:val="es-ES"/>
              </w:rPr>
            </w:pPr>
            <w:r w:rsidRPr="006C734D">
              <w:rPr>
                <w:rFonts w:ascii="NewBaskerville" w:hAnsi="NewBaskerville" w:cs="Calibri"/>
                <w:color w:val="000000"/>
                <w:sz w:val="18"/>
                <w:szCs w:val="18"/>
                <w:lang w:val="es-ES"/>
              </w:rPr>
              <w:t>231</w:t>
            </w:r>
          </w:p>
        </w:tc>
        <w:tc>
          <w:tcPr>
            <w:tcW w:w="1200" w:type="dxa"/>
            <w:tcBorders>
              <w:top w:val="nil"/>
              <w:left w:val="nil"/>
              <w:bottom w:val="single" w:sz="4" w:space="0" w:color="auto"/>
              <w:right w:val="single" w:sz="4" w:space="0" w:color="auto"/>
            </w:tcBorders>
            <w:shd w:val="clear" w:color="auto" w:fill="auto"/>
            <w:noWrap/>
            <w:vAlign w:val="center"/>
            <w:hideMark/>
          </w:tcPr>
          <w:p w:rsidR="006C734D" w:rsidRPr="006C734D" w:rsidRDefault="006C734D" w:rsidP="006C734D">
            <w:pPr>
              <w:jc w:val="center"/>
              <w:rPr>
                <w:rFonts w:ascii="NewBaskerville" w:hAnsi="NewBaskerville" w:cs="Calibri"/>
                <w:color w:val="000000"/>
                <w:sz w:val="18"/>
                <w:szCs w:val="18"/>
                <w:lang w:val="es-ES"/>
              </w:rPr>
            </w:pPr>
            <w:r w:rsidRPr="006C734D">
              <w:rPr>
                <w:rFonts w:ascii="NewBaskerville" w:hAnsi="NewBaskerville" w:cs="Calibri"/>
                <w:color w:val="000000"/>
                <w:sz w:val="18"/>
                <w:szCs w:val="18"/>
                <w:lang w:val="es-ES"/>
              </w:rPr>
              <w:t>226</w:t>
            </w:r>
          </w:p>
        </w:tc>
      </w:tr>
      <w:tr w:rsidR="006C734D" w:rsidRPr="006C734D" w:rsidTr="006C734D">
        <w:trPr>
          <w:trHeight w:val="300"/>
        </w:trPr>
        <w:tc>
          <w:tcPr>
            <w:tcW w:w="2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C734D" w:rsidRPr="006C734D" w:rsidRDefault="006C734D" w:rsidP="006C734D">
            <w:pPr>
              <w:rPr>
                <w:rFonts w:ascii="NewBaskerville" w:hAnsi="NewBaskerville" w:cs="Calibri"/>
                <w:color w:val="000000"/>
                <w:sz w:val="18"/>
                <w:szCs w:val="18"/>
                <w:lang w:val="es-ES"/>
              </w:rPr>
            </w:pPr>
            <w:r w:rsidRPr="006C734D">
              <w:rPr>
                <w:rFonts w:ascii="NewBaskerville" w:hAnsi="NewBaskerville" w:cs="Calibri"/>
                <w:color w:val="000000"/>
                <w:sz w:val="18"/>
                <w:szCs w:val="18"/>
                <w:lang w:val="es-ES"/>
              </w:rPr>
              <w:t>- Fijos</w:t>
            </w:r>
          </w:p>
        </w:tc>
        <w:tc>
          <w:tcPr>
            <w:tcW w:w="1200" w:type="dxa"/>
            <w:tcBorders>
              <w:top w:val="nil"/>
              <w:left w:val="nil"/>
              <w:bottom w:val="single" w:sz="4" w:space="0" w:color="auto"/>
              <w:right w:val="single" w:sz="4" w:space="0" w:color="auto"/>
            </w:tcBorders>
            <w:shd w:val="clear" w:color="auto" w:fill="auto"/>
            <w:noWrap/>
            <w:vAlign w:val="center"/>
            <w:hideMark/>
          </w:tcPr>
          <w:p w:rsidR="006C734D" w:rsidRPr="006C734D" w:rsidRDefault="006C734D" w:rsidP="006C734D">
            <w:pPr>
              <w:jc w:val="center"/>
              <w:rPr>
                <w:rFonts w:ascii="NewBaskerville" w:hAnsi="NewBaskerville" w:cs="Calibri"/>
                <w:color w:val="000000"/>
                <w:sz w:val="18"/>
                <w:szCs w:val="18"/>
                <w:lang w:val="es-ES"/>
              </w:rPr>
            </w:pPr>
            <w:r w:rsidRPr="006C734D">
              <w:rPr>
                <w:rFonts w:ascii="NewBaskerville" w:hAnsi="NewBaskerville" w:cs="Calibri"/>
                <w:color w:val="000000"/>
                <w:sz w:val="18"/>
                <w:szCs w:val="18"/>
                <w:lang w:val="es-ES"/>
              </w:rPr>
              <w:t>207</w:t>
            </w:r>
          </w:p>
        </w:tc>
        <w:tc>
          <w:tcPr>
            <w:tcW w:w="1200" w:type="dxa"/>
            <w:tcBorders>
              <w:top w:val="nil"/>
              <w:left w:val="nil"/>
              <w:bottom w:val="single" w:sz="4" w:space="0" w:color="auto"/>
              <w:right w:val="single" w:sz="4" w:space="0" w:color="auto"/>
            </w:tcBorders>
            <w:shd w:val="clear" w:color="auto" w:fill="auto"/>
            <w:noWrap/>
            <w:vAlign w:val="center"/>
            <w:hideMark/>
          </w:tcPr>
          <w:p w:rsidR="006C734D" w:rsidRPr="006C734D" w:rsidRDefault="006C734D" w:rsidP="006C734D">
            <w:pPr>
              <w:jc w:val="center"/>
              <w:rPr>
                <w:rFonts w:ascii="NewBaskerville" w:hAnsi="NewBaskerville" w:cs="Calibri"/>
                <w:color w:val="000000"/>
                <w:sz w:val="18"/>
                <w:szCs w:val="18"/>
                <w:lang w:val="es-ES"/>
              </w:rPr>
            </w:pPr>
            <w:r w:rsidRPr="006C734D">
              <w:rPr>
                <w:rFonts w:ascii="NewBaskerville" w:hAnsi="NewBaskerville" w:cs="Calibri"/>
                <w:color w:val="000000"/>
                <w:sz w:val="18"/>
                <w:szCs w:val="18"/>
                <w:lang w:val="es-ES"/>
              </w:rPr>
              <w:t>165</w:t>
            </w:r>
          </w:p>
        </w:tc>
      </w:tr>
      <w:tr w:rsidR="006C734D" w:rsidRPr="006C734D" w:rsidTr="006C734D">
        <w:trPr>
          <w:trHeight w:val="300"/>
        </w:trPr>
        <w:tc>
          <w:tcPr>
            <w:tcW w:w="2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C734D" w:rsidRPr="006C734D" w:rsidRDefault="006C734D" w:rsidP="006C734D">
            <w:pPr>
              <w:rPr>
                <w:rFonts w:ascii="NewBaskerville" w:hAnsi="NewBaskerville" w:cs="Calibri"/>
                <w:color w:val="000000"/>
                <w:sz w:val="18"/>
                <w:szCs w:val="18"/>
                <w:lang w:val="es-ES"/>
              </w:rPr>
            </w:pPr>
            <w:r w:rsidRPr="006C734D">
              <w:rPr>
                <w:rFonts w:ascii="NewBaskerville" w:hAnsi="NewBaskerville" w:cs="Calibri"/>
                <w:color w:val="000000"/>
                <w:sz w:val="18"/>
                <w:szCs w:val="18"/>
                <w:lang w:val="es-ES"/>
              </w:rPr>
              <w:t>-Temporales</w:t>
            </w:r>
          </w:p>
        </w:tc>
        <w:tc>
          <w:tcPr>
            <w:tcW w:w="1200" w:type="dxa"/>
            <w:tcBorders>
              <w:top w:val="nil"/>
              <w:left w:val="nil"/>
              <w:bottom w:val="single" w:sz="4" w:space="0" w:color="auto"/>
              <w:right w:val="single" w:sz="4" w:space="0" w:color="auto"/>
            </w:tcBorders>
            <w:shd w:val="clear" w:color="auto" w:fill="auto"/>
            <w:noWrap/>
            <w:vAlign w:val="center"/>
            <w:hideMark/>
          </w:tcPr>
          <w:p w:rsidR="006C734D" w:rsidRPr="006C734D" w:rsidRDefault="006C734D" w:rsidP="006C734D">
            <w:pPr>
              <w:jc w:val="center"/>
              <w:rPr>
                <w:rFonts w:ascii="NewBaskerville" w:hAnsi="NewBaskerville" w:cs="Calibri"/>
                <w:color w:val="000000"/>
                <w:sz w:val="18"/>
                <w:szCs w:val="18"/>
                <w:lang w:val="es-ES"/>
              </w:rPr>
            </w:pPr>
            <w:r w:rsidRPr="006C734D">
              <w:rPr>
                <w:rFonts w:ascii="NewBaskerville" w:hAnsi="NewBaskerville" w:cs="Calibri"/>
                <w:color w:val="000000"/>
                <w:sz w:val="18"/>
                <w:szCs w:val="18"/>
                <w:lang w:val="es-ES"/>
              </w:rPr>
              <w:t>24</w:t>
            </w:r>
          </w:p>
        </w:tc>
        <w:tc>
          <w:tcPr>
            <w:tcW w:w="1200" w:type="dxa"/>
            <w:tcBorders>
              <w:top w:val="nil"/>
              <w:left w:val="nil"/>
              <w:bottom w:val="single" w:sz="4" w:space="0" w:color="auto"/>
              <w:right w:val="single" w:sz="4" w:space="0" w:color="auto"/>
            </w:tcBorders>
            <w:shd w:val="clear" w:color="auto" w:fill="auto"/>
            <w:noWrap/>
            <w:vAlign w:val="center"/>
            <w:hideMark/>
          </w:tcPr>
          <w:p w:rsidR="006C734D" w:rsidRPr="006C734D" w:rsidRDefault="006C734D" w:rsidP="006C734D">
            <w:pPr>
              <w:jc w:val="center"/>
              <w:rPr>
                <w:rFonts w:ascii="NewBaskerville" w:hAnsi="NewBaskerville" w:cs="Calibri"/>
                <w:color w:val="000000"/>
                <w:sz w:val="18"/>
                <w:szCs w:val="18"/>
                <w:lang w:val="es-ES"/>
              </w:rPr>
            </w:pPr>
            <w:r w:rsidRPr="006C734D">
              <w:rPr>
                <w:rFonts w:ascii="NewBaskerville" w:hAnsi="NewBaskerville" w:cs="Calibri"/>
                <w:color w:val="000000"/>
                <w:sz w:val="18"/>
                <w:szCs w:val="18"/>
                <w:lang w:val="es-ES"/>
              </w:rPr>
              <w:t>61</w:t>
            </w:r>
          </w:p>
        </w:tc>
      </w:tr>
      <w:tr w:rsidR="006C734D" w:rsidRPr="006C734D" w:rsidTr="006C734D">
        <w:trPr>
          <w:trHeight w:val="300"/>
        </w:trPr>
        <w:tc>
          <w:tcPr>
            <w:tcW w:w="2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C734D" w:rsidRPr="006C734D" w:rsidRDefault="006C734D" w:rsidP="006C734D">
            <w:pPr>
              <w:rPr>
                <w:rFonts w:ascii="NewBaskerville" w:hAnsi="NewBaskerville" w:cs="Calibri"/>
                <w:color w:val="000000"/>
                <w:sz w:val="18"/>
                <w:szCs w:val="18"/>
                <w:lang w:val="es-ES"/>
              </w:rPr>
            </w:pPr>
            <w:r w:rsidRPr="006C734D">
              <w:rPr>
                <w:rFonts w:ascii="NewBaskerville" w:hAnsi="NewBaskerville" w:cs="Calibri"/>
                <w:color w:val="000000"/>
                <w:sz w:val="18"/>
                <w:szCs w:val="18"/>
                <w:lang w:val="es-ES"/>
              </w:rPr>
              <w:t>Mujeres:</w:t>
            </w:r>
          </w:p>
        </w:tc>
        <w:tc>
          <w:tcPr>
            <w:tcW w:w="1200" w:type="dxa"/>
            <w:tcBorders>
              <w:top w:val="nil"/>
              <w:left w:val="nil"/>
              <w:bottom w:val="single" w:sz="4" w:space="0" w:color="auto"/>
              <w:right w:val="single" w:sz="4" w:space="0" w:color="auto"/>
            </w:tcBorders>
            <w:shd w:val="clear" w:color="auto" w:fill="auto"/>
            <w:noWrap/>
            <w:vAlign w:val="center"/>
            <w:hideMark/>
          </w:tcPr>
          <w:p w:rsidR="006C734D" w:rsidRPr="006C734D" w:rsidRDefault="006C734D" w:rsidP="006C734D">
            <w:pPr>
              <w:jc w:val="center"/>
              <w:rPr>
                <w:rFonts w:ascii="NewBaskerville" w:hAnsi="NewBaskerville" w:cs="Calibri"/>
                <w:color w:val="000000"/>
                <w:sz w:val="18"/>
                <w:szCs w:val="18"/>
                <w:lang w:val="es-ES"/>
              </w:rPr>
            </w:pPr>
            <w:r w:rsidRPr="006C734D">
              <w:rPr>
                <w:rFonts w:ascii="NewBaskerville" w:hAnsi="NewBaskerville" w:cs="Calibri"/>
                <w:color w:val="000000"/>
                <w:sz w:val="18"/>
                <w:szCs w:val="18"/>
                <w:lang w:val="es-ES"/>
              </w:rPr>
              <w:t>81</w:t>
            </w:r>
          </w:p>
        </w:tc>
        <w:tc>
          <w:tcPr>
            <w:tcW w:w="1200" w:type="dxa"/>
            <w:tcBorders>
              <w:top w:val="nil"/>
              <w:left w:val="nil"/>
              <w:bottom w:val="single" w:sz="4" w:space="0" w:color="auto"/>
              <w:right w:val="single" w:sz="4" w:space="0" w:color="auto"/>
            </w:tcBorders>
            <w:shd w:val="clear" w:color="auto" w:fill="auto"/>
            <w:noWrap/>
            <w:vAlign w:val="center"/>
            <w:hideMark/>
          </w:tcPr>
          <w:p w:rsidR="006C734D" w:rsidRPr="006C734D" w:rsidRDefault="006C734D" w:rsidP="006C734D">
            <w:pPr>
              <w:jc w:val="center"/>
              <w:rPr>
                <w:rFonts w:ascii="NewBaskerville" w:hAnsi="NewBaskerville" w:cs="Calibri"/>
                <w:color w:val="000000"/>
                <w:sz w:val="18"/>
                <w:szCs w:val="18"/>
                <w:lang w:val="es-ES"/>
              </w:rPr>
            </w:pPr>
            <w:r w:rsidRPr="006C734D">
              <w:rPr>
                <w:rFonts w:ascii="NewBaskerville" w:hAnsi="NewBaskerville" w:cs="Calibri"/>
                <w:color w:val="000000"/>
                <w:sz w:val="18"/>
                <w:szCs w:val="18"/>
                <w:lang w:val="es-ES"/>
              </w:rPr>
              <w:t>76</w:t>
            </w:r>
          </w:p>
        </w:tc>
      </w:tr>
      <w:tr w:rsidR="006C734D" w:rsidRPr="006C734D" w:rsidTr="006C734D">
        <w:trPr>
          <w:trHeight w:val="345"/>
        </w:trPr>
        <w:tc>
          <w:tcPr>
            <w:tcW w:w="2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C734D" w:rsidRPr="006C734D" w:rsidRDefault="006C734D" w:rsidP="006C734D">
            <w:pPr>
              <w:rPr>
                <w:rFonts w:ascii="NewBaskerville" w:hAnsi="NewBaskerville" w:cs="Calibri"/>
                <w:color w:val="000000"/>
                <w:sz w:val="18"/>
                <w:szCs w:val="18"/>
                <w:lang w:val="es-ES"/>
              </w:rPr>
            </w:pPr>
            <w:r w:rsidRPr="006C734D">
              <w:rPr>
                <w:rFonts w:ascii="NewBaskerville" w:hAnsi="NewBaskerville" w:cs="Calibri"/>
                <w:color w:val="000000"/>
                <w:sz w:val="18"/>
                <w:szCs w:val="18"/>
                <w:lang w:val="es-ES"/>
              </w:rPr>
              <w:t>-Fijas</w:t>
            </w:r>
          </w:p>
        </w:tc>
        <w:tc>
          <w:tcPr>
            <w:tcW w:w="1200" w:type="dxa"/>
            <w:tcBorders>
              <w:top w:val="nil"/>
              <w:left w:val="nil"/>
              <w:bottom w:val="single" w:sz="4" w:space="0" w:color="auto"/>
              <w:right w:val="single" w:sz="4" w:space="0" w:color="auto"/>
            </w:tcBorders>
            <w:shd w:val="clear" w:color="auto" w:fill="auto"/>
            <w:noWrap/>
            <w:vAlign w:val="center"/>
            <w:hideMark/>
          </w:tcPr>
          <w:p w:rsidR="006C734D" w:rsidRPr="006C734D" w:rsidRDefault="006C734D" w:rsidP="006C734D">
            <w:pPr>
              <w:jc w:val="center"/>
              <w:rPr>
                <w:rFonts w:ascii="NewBaskerville" w:hAnsi="NewBaskerville" w:cs="Calibri"/>
                <w:color w:val="000000"/>
                <w:sz w:val="18"/>
                <w:szCs w:val="18"/>
                <w:lang w:val="es-ES"/>
              </w:rPr>
            </w:pPr>
            <w:r w:rsidRPr="006C734D">
              <w:rPr>
                <w:rFonts w:ascii="NewBaskerville" w:hAnsi="NewBaskerville" w:cs="Calibri"/>
                <w:color w:val="000000"/>
                <w:sz w:val="18"/>
                <w:szCs w:val="18"/>
                <w:lang w:val="es-ES"/>
              </w:rPr>
              <w:t>74</w:t>
            </w:r>
          </w:p>
        </w:tc>
        <w:tc>
          <w:tcPr>
            <w:tcW w:w="1200" w:type="dxa"/>
            <w:tcBorders>
              <w:top w:val="nil"/>
              <w:left w:val="nil"/>
              <w:bottom w:val="single" w:sz="4" w:space="0" w:color="auto"/>
              <w:right w:val="single" w:sz="4" w:space="0" w:color="auto"/>
            </w:tcBorders>
            <w:shd w:val="clear" w:color="auto" w:fill="auto"/>
            <w:noWrap/>
            <w:vAlign w:val="center"/>
            <w:hideMark/>
          </w:tcPr>
          <w:p w:rsidR="006C734D" w:rsidRPr="006C734D" w:rsidRDefault="006C734D" w:rsidP="006C734D">
            <w:pPr>
              <w:jc w:val="center"/>
              <w:rPr>
                <w:rFonts w:ascii="NewBaskerville" w:hAnsi="NewBaskerville" w:cs="Calibri"/>
                <w:color w:val="000000"/>
                <w:sz w:val="18"/>
                <w:szCs w:val="18"/>
                <w:lang w:val="es-ES"/>
              </w:rPr>
            </w:pPr>
            <w:r w:rsidRPr="006C734D">
              <w:rPr>
                <w:rFonts w:ascii="NewBaskerville" w:hAnsi="NewBaskerville" w:cs="Calibri"/>
                <w:color w:val="000000"/>
                <w:sz w:val="18"/>
                <w:szCs w:val="18"/>
                <w:lang w:val="es-ES"/>
              </w:rPr>
              <w:t>53</w:t>
            </w:r>
          </w:p>
        </w:tc>
      </w:tr>
      <w:tr w:rsidR="006C734D" w:rsidRPr="006C734D" w:rsidTr="006C734D">
        <w:trPr>
          <w:trHeight w:val="315"/>
        </w:trPr>
        <w:tc>
          <w:tcPr>
            <w:tcW w:w="2780" w:type="dxa"/>
            <w:tcBorders>
              <w:top w:val="single" w:sz="4" w:space="0" w:color="auto"/>
              <w:left w:val="single" w:sz="8" w:space="0" w:color="auto"/>
              <w:bottom w:val="nil"/>
              <w:right w:val="single" w:sz="4" w:space="0" w:color="auto"/>
            </w:tcBorders>
            <w:shd w:val="clear" w:color="auto" w:fill="auto"/>
            <w:noWrap/>
            <w:vAlign w:val="center"/>
            <w:hideMark/>
          </w:tcPr>
          <w:p w:rsidR="006C734D" w:rsidRPr="006C734D" w:rsidRDefault="006C734D" w:rsidP="006C734D">
            <w:pPr>
              <w:rPr>
                <w:rFonts w:ascii="NewBaskerville" w:hAnsi="NewBaskerville" w:cs="Calibri"/>
                <w:color w:val="000000"/>
                <w:sz w:val="18"/>
                <w:szCs w:val="18"/>
                <w:lang w:val="es-ES"/>
              </w:rPr>
            </w:pPr>
            <w:r w:rsidRPr="006C734D">
              <w:rPr>
                <w:rFonts w:ascii="NewBaskerville" w:hAnsi="NewBaskerville" w:cs="Calibri"/>
                <w:color w:val="000000"/>
                <w:sz w:val="18"/>
                <w:szCs w:val="18"/>
                <w:lang w:val="es-ES"/>
              </w:rPr>
              <w:t>-Temporales</w:t>
            </w:r>
          </w:p>
        </w:tc>
        <w:tc>
          <w:tcPr>
            <w:tcW w:w="1200" w:type="dxa"/>
            <w:tcBorders>
              <w:top w:val="nil"/>
              <w:left w:val="nil"/>
              <w:bottom w:val="nil"/>
              <w:right w:val="single" w:sz="4" w:space="0" w:color="auto"/>
            </w:tcBorders>
            <w:shd w:val="clear" w:color="auto" w:fill="auto"/>
            <w:noWrap/>
            <w:vAlign w:val="center"/>
            <w:hideMark/>
          </w:tcPr>
          <w:p w:rsidR="006C734D" w:rsidRPr="006C734D" w:rsidRDefault="006C734D" w:rsidP="006C734D">
            <w:pPr>
              <w:jc w:val="center"/>
              <w:rPr>
                <w:rFonts w:ascii="NewBaskerville" w:hAnsi="NewBaskerville" w:cs="Calibri"/>
                <w:color w:val="000000"/>
                <w:sz w:val="18"/>
                <w:szCs w:val="18"/>
                <w:lang w:val="es-ES"/>
              </w:rPr>
            </w:pPr>
            <w:r w:rsidRPr="006C734D">
              <w:rPr>
                <w:rFonts w:ascii="NewBaskerville" w:hAnsi="NewBaskerville" w:cs="Calibri"/>
                <w:color w:val="000000"/>
                <w:sz w:val="18"/>
                <w:szCs w:val="18"/>
                <w:lang w:val="es-ES"/>
              </w:rPr>
              <w:t>7</w:t>
            </w:r>
          </w:p>
        </w:tc>
        <w:tc>
          <w:tcPr>
            <w:tcW w:w="1200" w:type="dxa"/>
            <w:tcBorders>
              <w:top w:val="nil"/>
              <w:left w:val="nil"/>
              <w:bottom w:val="nil"/>
              <w:right w:val="single" w:sz="4" w:space="0" w:color="auto"/>
            </w:tcBorders>
            <w:shd w:val="clear" w:color="auto" w:fill="auto"/>
            <w:noWrap/>
            <w:vAlign w:val="center"/>
            <w:hideMark/>
          </w:tcPr>
          <w:p w:rsidR="006C734D" w:rsidRPr="006C734D" w:rsidRDefault="006C734D" w:rsidP="006C734D">
            <w:pPr>
              <w:jc w:val="center"/>
              <w:rPr>
                <w:rFonts w:ascii="NewBaskerville" w:hAnsi="NewBaskerville" w:cs="Calibri"/>
                <w:color w:val="000000"/>
                <w:sz w:val="18"/>
                <w:szCs w:val="18"/>
                <w:lang w:val="es-ES"/>
              </w:rPr>
            </w:pPr>
            <w:r w:rsidRPr="006C734D">
              <w:rPr>
                <w:rFonts w:ascii="NewBaskerville" w:hAnsi="NewBaskerville" w:cs="Calibri"/>
                <w:color w:val="000000"/>
                <w:sz w:val="18"/>
                <w:szCs w:val="18"/>
                <w:lang w:val="es-ES"/>
              </w:rPr>
              <w:t>23</w:t>
            </w:r>
          </w:p>
        </w:tc>
      </w:tr>
      <w:tr w:rsidR="006C734D" w:rsidRPr="006C734D" w:rsidTr="006C734D">
        <w:trPr>
          <w:trHeight w:val="315"/>
        </w:trPr>
        <w:tc>
          <w:tcPr>
            <w:tcW w:w="27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C734D" w:rsidRPr="006C734D" w:rsidRDefault="006C734D" w:rsidP="006C734D">
            <w:pPr>
              <w:rPr>
                <w:rFonts w:ascii="NewBaskerville" w:hAnsi="NewBaskerville" w:cs="Calibri"/>
                <w:b/>
                <w:bCs/>
                <w:color w:val="000000"/>
                <w:sz w:val="18"/>
                <w:szCs w:val="18"/>
                <w:lang w:val="es-ES"/>
              </w:rPr>
            </w:pPr>
            <w:r w:rsidRPr="006C734D">
              <w:rPr>
                <w:rFonts w:ascii="NewBaskerville" w:hAnsi="NewBaskerville" w:cs="Calibri"/>
                <w:b/>
                <w:bCs/>
                <w:color w:val="000000"/>
                <w:sz w:val="18"/>
                <w:szCs w:val="18"/>
                <w:lang w:val="es-ES"/>
              </w:rPr>
              <w:t>Total</w:t>
            </w:r>
          </w:p>
        </w:tc>
        <w:tc>
          <w:tcPr>
            <w:tcW w:w="1200" w:type="dxa"/>
            <w:tcBorders>
              <w:top w:val="single" w:sz="8" w:space="0" w:color="auto"/>
              <w:left w:val="nil"/>
              <w:bottom w:val="single" w:sz="8" w:space="0" w:color="auto"/>
              <w:right w:val="single" w:sz="4" w:space="0" w:color="auto"/>
            </w:tcBorders>
            <w:shd w:val="clear" w:color="auto" w:fill="auto"/>
            <w:noWrap/>
            <w:vAlign w:val="center"/>
            <w:hideMark/>
          </w:tcPr>
          <w:p w:rsidR="006C734D" w:rsidRPr="006C734D" w:rsidRDefault="006C734D" w:rsidP="006C734D">
            <w:pPr>
              <w:jc w:val="center"/>
              <w:rPr>
                <w:rFonts w:ascii="NewBaskerville" w:hAnsi="NewBaskerville" w:cs="Calibri"/>
                <w:b/>
                <w:bCs/>
                <w:color w:val="000000"/>
                <w:sz w:val="18"/>
                <w:szCs w:val="18"/>
                <w:lang w:val="es-ES"/>
              </w:rPr>
            </w:pPr>
            <w:r w:rsidRPr="006C734D">
              <w:rPr>
                <w:rFonts w:ascii="NewBaskerville" w:hAnsi="NewBaskerville" w:cs="Calibri"/>
                <w:b/>
                <w:bCs/>
                <w:color w:val="000000"/>
                <w:sz w:val="18"/>
                <w:szCs w:val="18"/>
                <w:lang w:val="es-ES"/>
              </w:rPr>
              <w:t>312</w:t>
            </w:r>
          </w:p>
        </w:tc>
        <w:tc>
          <w:tcPr>
            <w:tcW w:w="1200" w:type="dxa"/>
            <w:tcBorders>
              <w:top w:val="single" w:sz="8" w:space="0" w:color="auto"/>
              <w:left w:val="nil"/>
              <w:bottom w:val="single" w:sz="8" w:space="0" w:color="auto"/>
              <w:right w:val="single" w:sz="4" w:space="0" w:color="auto"/>
            </w:tcBorders>
            <w:shd w:val="clear" w:color="auto" w:fill="auto"/>
            <w:noWrap/>
            <w:vAlign w:val="center"/>
            <w:hideMark/>
          </w:tcPr>
          <w:p w:rsidR="006C734D" w:rsidRPr="006C734D" w:rsidRDefault="006C734D" w:rsidP="006C734D">
            <w:pPr>
              <w:jc w:val="center"/>
              <w:rPr>
                <w:rFonts w:ascii="NewBaskerville" w:hAnsi="NewBaskerville" w:cs="Calibri"/>
                <w:b/>
                <w:bCs/>
                <w:color w:val="000000"/>
                <w:sz w:val="18"/>
                <w:szCs w:val="18"/>
                <w:lang w:val="es-ES"/>
              </w:rPr>
            </w:pPr>
            <w:r w:rsidRPr="006C734D">
              <w:rPr>
                <w:rFonts w:ascii="NewBaskerville" w:hAnsi="NewBaskerville" w:cs="Calibri"/>
                <w:b/>
                <w:bCs/>
                <w:color w:val="000000"/>
                <w:sz w:val="18"/>
                <w:szCs w:val="18"/>
                <w:lang w:val="es-ES"/>
              </w:rPr>
              <w:t>302</w:t>
            </w:r>
          </w:p>
        </w:tc>
      </w:tr>
    </w:tbl>
    <w:p w:rsidR="00050985" w:rsidRDefault="00050985" w:rsidP="00EF6B46">
      <w:pPr>
        <w:pStyle w:val="Sangra3detindependiente"/>
        <w:tabs>
          <w:tab w:val="clear" w:pos="5671"/>
          <w:tab w:val="clear" w:pos="7797"/>
          <w:tab w:val="right" w:pos="3403"/>
        </w:tabs>
        <w:spacing w:before="120"/>
        <w:rPr>
          <w:rFonts w:ascii="NewBaskerville" w:hAnsi="NewBaskerville"/>
          <w:bCs/>
          <w:sz w:val="20"/>
          <w:szCs w:val="20"/>
        </w:rPr>
      </w:pPr>
    </w:p>
    <w:p w:rsidR="00050985" w:rsidRPr="00D54A29" w:rsidRDefault="00050985" w:rsidP="00EF6B46">
      <w:pPr>
        <w:pStyle w:val="Sangra3detindependiente"/>
        <w:tabs>
          <w:tab w:val="clear" w:pos="5671"/>
          <w:tab w:val="clear" w:pos="7797"/>
          <w:tab w:val="right" w:pos="3403"/>
        </w:tabs>
        <w:spacing w:before="120"/>
        <w:rPr>
          <w:rFonts w:ascii="NewBaskerville" w:hAnsi="NewBaskerville"/>
          <w:bCs/>
          <w:sz w:val="20"/>
          <w:szCs w:val="20"/>
        </w:rPr>
      </w:pPr>
    </w:p>
    <w:p w:rsidR="000D6E28" w:rsidRDefault="00EF6B46" w:rsidP="00570EBA">
      <w:pPr>
        <w:pStyle w:val="Sangra3detindependiente"/>
        <w:tabs>
          <w:tab w:val="clear" w:pos="5671"/>
          <w:tab w:val="clear" w:pos="7797"/>
          <w:tab w:val="right" w:pos="3403"/>
        </w:tabs>
        <w:spacing w:before="120"/>
        <w:rPr>
          <w:rFonts w:ascii="NewBaskerville" w:hAnsi="NewBaskerville"/>
          <w:bCs/>
          <w:sz w:val="20"/>
          <w:szCs w:val="20"/>
        </w:rPr>
      </w:pPr>
      <w:r w:rsidRPr="00D54A29">
        <w:rPr>
          <w:rFonts w:ascii="NewBaskerville" w:hAnsi="NewBaskerville"/>
          <w:bCs/>
          <w:sz w:val="20"/>
          <w:szCs w:val="20"/>
        </w:rPr>
        <w:t>El desglose por sexos y categorías de la plantilla al cierre de los ejercicios 20</w:t>
      </w:r>
      <w:r w:rsidR="0061314C" w:rsidRPr="00D54A29">
        <w:rPr>
          <w:rFonts w:ascii="NewBaskerville" w:hAnsi="NewBaskerville"/>
          <w:bCs/>
          <w:sz w:val="20"/>
          <w:szCs w:val="20"/>
        </w:rPr>
        <w:t>2</w:t>
      </w:r>
      <w:r w:rsidR="006C734D">
        <w:rPr>
          <w:rFonts w:ascii="NewBaskerville" w:hAnsi="NewBaskerville"/>
          <w:bCs/>
          <w:sz w:val="20"/>
          <w:szCs w:val="20"/>
        </w:rPr>
        <w:t>3</w:t>
      </w:r>
      <w:r w:rsidR="0061314C" w:rsidRPr="00D54A29">
        <w:rPr>
          <w:rFonts w:ascii="NewBaskerville" w:hAnsi="NewBaskerville"/>
          <w:bCs/>
          <w:sz w:val="20"/>
          <w:szCs w:val="20"/>
        </w:rPr>
        <w:t xml:space="preserve"> y 202</w:t>
      </w:r>
      <w:r w:rsidR="006C734D">
        <w:rPr>
          <w:rFonts w:ascii="NewBaskerville" w:hAnsi="NewBaskerville"/>
          <w:bCs/>
          <w:sz w:val="20"/>
          <w:szCs w:val="20"/>
        </w:rPr>
        <w:t>2</w:t>
      </w:r>
      <w:r w:rsidR="008C2E68" w:rsidRPr="00D54A29">
        <w:rPr>
          <w:rFonts w:ascii="NewBaskerville" w:hAnsi="NewBaskerville"/>
          <w:bCs/>
          <w:sz w:val="20"/>
          <w:szCs w:val="20"/>
        </w:rPr>
        <w:t xml:space="preserve"> es el siguiente:</w:t>
      </w:r>
    </w:p>
    <w:p w:rsidR="0058608E" w:rsidRDefault="0058608E" w:rsidP="00570EBA">
      <w:pPr>
        <w:pStyle w:val="Sangra3detindependiente"/>
        <w:tabs>
          <w:tab w:val="clear" w:pos="5671"/>
          <w:tab w:val="clear" w:pos="7797"/>
          <w:tab w:val="right" w:pos="3403"/>
        </w:tabs>
        <w:spacing w:before="120"/>
        <w:rPr>
          <w:rFonts w:ascii="NewBaskerville" w:hAnsi="NewBaskerville"/>
          <w:bCs/>
          <w:sz w:val="20"/>
          <w:szCs w:val="20"/>
        </w:rPr>
      </w:pPr>
    </w:p>
    <w:tbl>
      <w:tblPr>
        <w:tblW w:w="8200" w:type="dxa"/>
        <w:tblInd w:w="70" w:type="dxa"/>
        <w:tblCellMar>
          <w:left w:w="70" w:type="dxa"/>
          <w:right w:w="70" w:type="dxa"/>
        </w:tblCellMar>
        <w:tblLook w:val="04A0" w:firstRow="1" w:lastRow="0" w:firstColumn="1" w:lastColumn="0" w:noHBand="0" w:noVBand="1"/>
      </w:tblPr>
      <w:tblGrid>
        <w:gridCol w:w="1216"/>
        <w:gridCol w:w="1216"/>
        <w:gridCol w:w="1216"/>
        <w:gridCol w:w="2191"/>
        <w:gridCol w:w="2361"/>
      </w:tblGrid>
      <w:tr w:rsidR="0058608E" w:rsidRPr="0058608E" w:rsidTr="0058608E">
        <w:trPr>
          <w:trHeight w:val="315"/>
        </w:trPr>
        <w:tc>
          <w:tcPr>
            <w:tcW w:w="1216" w:type="dxa"/>
            <w:tcBorders>
              <w:top w:val="nil"/>
              <w:left w:val="nil"/>
              <w:bottom w:val="nil"/>
              <w:right w:val="nil"/>
            </w:tcBorders>
            <w:shd w:val="clear" w:color="auto" w:fill="auto"/>
            <w:noWrap/>
            <w:vAlign w:val="bottom"/>
            <w:hideMark/>
          </w:tcPr>
          <w:p w:rsidR="0058608E" w:rsidRPr="0058608E" w:rsidRDefault="0058608E" w:rsidP="0058608E">
            <w:pPr>
              <w:rPr>
                <w:rFonts w:ascii="Calibri" w:hAnsi="Calibri" w:cs="Calibri"/>
                <w:color w:val="000000"/>
                <w:sz w:val="22"/>
                <w:szCs w:val="22"/>
                <w:lang w:val="es-ES"/>
              </w:rPr>
            </w:pPr>
          </w:p>
        </w:tc>
        <w:tc>
          <w:tcPr>
            <w:tcW w:w="1216" w:type="dxa"/>
            <w:tcBorders>
              <w:top w:val="nil"/>
              <w:left w:val="nil"/>
              <w:bottom w:val="nil"/>
              <w:right w:val="nil"/>
            </w:tcBorders>
            <w:shd w:val="clear" w:color="auto" w:fill="auto"/>
            <w:noWrap/>
            <w:vAlign w:val="bottom"/>
            <w:hideMark/>
          </w:tcPr>
          <w:p w:rsidR="0058608E" w:rsidRPr="0058608E" w:rsidRDefault="0058608E" w:rsidP="0058608E">
            <w:pPr>
              <w:rPr>
                <w:rFonts w:ascii="Calibri" w:hAnsi="Calibri" w:cs="Calibri"/>
                <w:color w:val="000000"/>
                <w:sz w:val="22"/>
                <w:szCs w:val="22"/>
                <w:lang w:val="es-ES"/>
              </w:rPr>
            </w:pPr>
          </w:p>
        </w:tc>
        <w:tc>
          <w:tcPr>
            <w:tcW w:w="1216" w:type="dxa"/>
            <w:tcBorders>
              <w:top w:val="nil"/>
              <w:left w:val="nil"/>
              <w:bottom w:val="nil"/>
              <w:right w:val="nil"/>
            </w:tcBorders>
            <w:shd w:val="clear" w:color="auto" w:fill="auto"/>
            <w:noWrap/>
            <w:vAlign w:val="bottom"/>
            <w:hideMark/>
          </w:tcPr>
          <w:p w:rsidR="0058608E" w:rsidRPr="0058608E" w:rsidRDefault="0058608E" w:rsidP="0058608E">
            <w:pPr>
              <w:rPr>
                <w:rFonts w:ascii="Calibri" w:hAnsi="Calibri" w:cs="Calibri"/>
                <w:color w:val="000000"/>
                <w:sz w:val="22"/>
                <w:szCs w:val="22"/>
                <w:lang w:val="es-ES"/>
              </w:rPr>
            </w:pPr>
          </w:p>
        </w:tc>
        <w:tc>
          <w:tcPr>
            <w:tcW w:w="4552" w:type="dxa"/>
            <w:gridSpan w:val="2"/>
            <w:tcBorders>
              <w:top w:val="single" w:sz="8" w:space="0" w:color="auto"/>
              <w:left w:val="single" w:sz="8" w:space="0" w:color="auto"/>
              <w:bottom w:val="nil"/>
              <w:right w:val="single" w:sz="4" w:space="0" w:color="auto"/>
            </w:tcBorders>
            <w:shd w:val="clear" w:color="000000" w:fill="CCFFCC"/>
            <w:noWrap/>
            <w:vAlign w:val="bottom"/>
            <w:hideMark/>
          </w:tcPr>
          <w:p w:rsidR="0058608E" w:rsidRPr="0058608E" w:rsidRDefault="0058608E" w:rsidP="0058608E">
            <w:pPr>
              <w:jc w:val="center"/>
              <w:rPr>
                <w:rFonts w:ascii="NewBaskerville" w:hAnsi="NewBaskerville" w:cs="Calibri"/>
                <w:b/>
                <w:bCs/>
                <w:color w:val="000000"/>
                <w:sz w:val="18"/>
                <w:szCs w:val="18"/>
                <w:lang w:val="es-ES"/>
              </w:rPr>
            </w:pPr>
            <w:r w:rsidRPr="0058608E">
              <w:rPr>
                <w:rFonts w:ascii="NewBaskerville" w:hAnsi="NewBaskerville" w:cs="Calibri"/>
                <w:b/>
                <w:bCs/>
                <w:color w:val="000000"/>
                <w:sz w:val="18"/>
                <w:szCs w:val="18"/>
                <w:lang w:val="es-ES"/>
              </w:rPr>
              <w:t>2023</w:t>
            </w:r>
          </w:p>
        </w:tc>
      </w:tr>
      <w:tr w:rsidR="0058608E" w:rsidRPr="0058608E" w:rsidTr="0058608E">
        <w:trPr>
          <w:trHeight w:val="315"/>
        </w:trPr>
        <w:tc>
          <w:tcPr>
            <w:tcW w:w="3648" w:type="dxa"/>
            <w:gridSpan w:val="3"/>
            <w:tcBorders>
              <w:top w:val="single" w:sz="8" w:space="0" w:color="auto"/>
              <w:left w:val="single" w:sz="8" w:space="0" w:color="auto"/>
              <w:bottom w:val="single" w:sz="8" w:space="0" w:color="auto"/>
              <w:right w:val="single" w:sz="4" w:space="0" w:color="000000"/>
            </w:tcBorders>
            <w:shd w:val="clear" w:color="000000" w:fill="CCFFCC"/>
            <w:vAlign w:val="center"/>
            <w:hideMark/>
          </w:tcPr>
          <w:p w:rsidR="0058608E" w:rsidRPr="0058608E" w:rsidRDefault="0058608E" w:rsidP="0058608E">
            <w:pPr>
              <w:jc w:val="center"/>
              <w:rPr>
                <w:rFonts w:ascii="NewBaskerville" w:hAnsi="NewBaskerville" w:cs="Calibri"/>
                <w:b/>
                <w:bCs/>
                <w:sz w:val="18"/>
                <w:szCs w:val="18"/>
                <w:lang w:val="es-ES"/>
              </w:rPr>
            </w:pPr>
            <w:r w:rsidRPr="0058608E">
              <w:rPr>
                <w:rFonts w:ascii="NewBaskerville" w:hAnsi="NewBaskerville" w:cs="Calibri"/>
                <w:b/>
                <w:bCs/>
                <w:sz w:val="18"/>
                <w:szCs w:val="18"/>
                <w:lang w:val="es-ES"/>
              </w:rPr>
              <w:t>Categoría</w:t>
            </w:r>
          </w:p>
        </w:tc>
        <w:tc>
          <w:tcPr>
            <w:tcW w:w="2191" w:type="dxa"/>
            <w:tcBorders>
              <w:top w:val="single" w:sz="8" w:space="0" w:color="auto"/>
              <w:left w:val="nil"/>
              <w:bottom w:val="single" w:sz="8" w:space="0" w:color="auto"/>
              <w:right w:val="single" w:sz="4" w:space="0" w:color="auto"/>
            </w:tcBorders>
            <w:shd w:val="clear" w:color="000000" w:fill="CCFFCC"/>
            <w:vAlign w:val="center"/>
            <w:hideMark/>
          </w:tcPr>
          <w:p w:rsidR="0058608E" w:rsidRPr="0058608E" w:rsidRDefault="0058608E" w:rsidP="0058608E">
            <w:pPr>
              <w:jc w:val="center"/>
              <w:rPr>
                <w:rFonts w:ascii="NewBaskerville" w:hAnsi="NewBaskerville" w:cs="Calibri"/>
                <w:b/>
                <w:bCs/>
                <w:sz w:val="18"/>
                <w:szCs w:val="18"/>
                <w:lang w:val="es-ES"/>
              </w:rPr>
            </w:pPr>
            <w:r w:rsidRPr="0058608E">
              <w:rPr>
                <w:rFonts w:ascii="NewBaskerville" w:hAnsi="NewBaskerville" w:cs="Calibri"/>
                <w:b/>
                <w:bCs/>
                <w:sz w:val="18"/>
                <w:szCs w:val="18"/>
                <w:lang w:val="es-ES"/>
              </w:rPr>
              <w:t>Hombres</w:t>
            </w:r>
          </w:p>
        </w:tc>
        <w:tc>
          <w:tcPr>
            <w:tcW w:w="2361" w:type="dxa"/>
            <w:tcBorders>
              <w:top w:val="single" w:sz="8" w:space="0" w:color="auto"/>
              <w:left w:val="single" w:sz="4" w:space="0" w:color="auto"/>
              <w:bottom w:val="single" w:sz="8" w:space="0" w:color="auto"/>
              <w:right w:val="single" w:sz="8" w:space="0" w:color="000000"/>
            </w:tcBorders>
            <w:shd w:val="clear" w:color="000000" w:fill="CCFFCC"/>
            <w:vAlign w:val="center"/>
            <w:hideMark/>
          </w:tcPr>
          <w:p w:rsidR="0058608E" w:rsidRPr="0058608E" w:rsidRDefault="0058608E" w:rsidP="0058608E">
            <w:pPr>
              <w:jc w:val="center"/>
              <w:rPr>
                <w:rFonts w:ascii="NewBaskerville" w:hAnsi="NewBaskerville" w:cs="Calibri"/>
                <w:b/>
                <w:bCs/>
                <w:color w:val="000000"/>
                <w:sz w:val="18"/>
                <w:szCs w:val="18"/>
                <w:lang w:val="es-ES"/>
              </w:rPr>
            </w:pPr>
            <w:r w:rsidRPr="0058608E">
              <w:rPr>
                <w:rFonts w:ascii="NewBaskerville" w:hAnsi="NewBaskerville" w:cs="Calibri"/>
                <w:b/>
                <w:bCs/>
                <w:color w:val="000000"/>
                <w:sz w:val="18"/>
                <w:szCs w:val="18"/>
                <w:lang w:val="es-ES"/>
              </w:rPr>
              <w:t>Mujeres</w:t>
            </w:r>
          </w:p>
        </w:tc>
      </w:tr>
      <w:tr w:rsidR="0058608E" w:rsidRPr="0058608E" w:rsidTr="0058608E">
        <w:trPr>
          <w:trHeight w:val="300"/>
        </w:trPr>
        <w:tc>
          <w:tcPr>
            <w:tcW w:w="3648" w:type="dxa"/>
            <w:gridSpan w:val="3"/>
            <w:tcBorders>
              <w:top w:val="nil"/>
              <w:left w:val="single" w:sz="8" w:space="0" w:color="auto"/>
              <w:bottom w:val="single" w:sz="4" w:space="0" w:color="000000"/>
              <w:right w:val="single" w:sz="4" w:space="0" w:color="000000"/>
            </w:tcBorders>
            <w:shd w:val="clear" w:color="auto" w:fill="auto"/>
            <w:vAlign w:val="center"/>
            <w:hideMark/>
          </w:tcPr>
          <w:p w:rsidR="0058608E" w:rsidRPr="0058608E" w:rsidRDefault="0058608E" w:rsidP="0058608E">
            <w:pPr>
              <w:rPr>
                <w:rFonts w:ascii="NewBaskerville" w:hAnsi="NewBaskerville" w:cs="Calibri"/>
                <w:sz w:val="18"/>
                <w:szCs w:val="18"/>
                <w:lang w:val="es-ES"/>
              </w:rPr>
            </w:pPr>
            <w:r w:rsidRPr="0058608E">
              <w:rPr>
                <w:rFonts w:ascii="NewBaskerville" w:hAnsi="NewBaskerville" w:cs="Calibri"/>
                <w:sz w:val="18"/>
                <w:szCs w:val="18"/>
                <w:lang w:val="es-ES"/>
              </w:rPr>
              <w:t>Altos cargos y Fuera de Convenio</w:t>
            </w:r>
          </w:p>
        </w:tc>
        <w:tc>
          <w:tcPr>
            <w:tcW w:w="2191" w:type="dxa"/>
            <w:tcBorders>
              <w:top w:val="nil"/>
              <w:left w:val="nil"/>
              <w:bottom w:val="single" w:sz="4" w:space="0" w:color="000000"/>
              <w:right w:val="nil"/>
            </w:tcBorders>
            <w:shd w:val="clear" w:color="auto" w:fill="auto"/>
            <w:noWrap/>
            <w:vAlign w:val="center"/>
            <w:hideMark/>
          </w:tcPr>
          <w:p w:rsidR="0058608E" w:rsidRPr="0058608E" w:rsidRDefault="0058608E" w:rsidP="0058608E">
            <w:pPr>
              <w:jc w:val="center"/>
              <w:rPr>
                <w:rFonts w:ascii="NewBaskerville" w:hAnsi="NewBaskerville" w:cs="Calibri"/>
                <w:color w:val="000000"/>
                <w:sz w:val="18"/>
                <w:szCs w:val="18"/>
                <w:lang w:val="es-ES"/>
              </w:rPr>
            </w:pPr>
            <w:r w:rsidRPr="0058608E">
              <w:rPr>
                <w:rFonts w:ascii="NewBaskerville" w:hAnsi="NewBaskerville" w:cs="Calibri"/>
                <w:color w:val="000000"/>
                <w:sz w:val="18"/>
                <w:szCs w:val="18"/>
                <w:lang w:val="es-ES"/>
              </w:rPr>
              <w:t>21</w:t>
            </w:r>
          </w:p>
        </w:tc>
        <w:tc>
          <w:tcPr>
            <w:tcW w:w="2361" w:type="dxa"/>
            <w:tcBorders>
              <w:top w:val="nil"/>
              <w:left w:val="single" w:sz="4" w:space="0" w:color="auto"/>
              <w:bottom w:val="single" w:sz="4" w:space="0" w:color="000000"/>
              <w:right w:val="single" w:sz="8" w:space="0" w:color="000000"/>
            </w:tcBorders>
            <w:shd w:val="clear" w:color="auto" w:fill="auto"/>
            <w:noWrap/>
            <w:vAlign w:val="center"/>
            <w:hideMark/>
          </w:tcPr>
          <w:p w:rsidR="0058608E" w:rsidRPr="0058608E" w:rsidRDefault="0058608E" w:rsidP="0058608E">
            <w:pPr>
              <w:jc w:val="center"/>
              <w:rPr>
                <w:rFonts w:ascii="NewBaskerville" w:hAnsi="NewBaskerville" w:cs="Calibri"/>
                <w:color w:val="000000"/>
                <w:sz w:val="18"/>
                <w:szCs w:val="18"/>
                <w:lang w:val="es-ES"/>
              </w:rPr>
            </w:pPr>
            <w:r w:rsidRPr="0058608E">
              <w:rPr>
                <w:rFonts w:ascii="NewBaskerville" w:hAnsi="NewBaskerville" w:cs="Calibri"/>
                <w:color w:val="000000"/>
                <w:sz w:val="18"/>
                <w:szCs w:val="18"/>
                <w:lang w:val="es-ES"/>
              </w:rPr>
              <w:t>5</w:t>
            </w:r>
          </w:p>
        </w:tc>
      </w:tr>
      <w:tr w:rsidR="0058608E" w:rsidRPr="0058608E" w:rsidTr="0058608E">
        <w:trPr>
          <w:trHeight w:val="300"/>
        </w:trPr>
        <w:tc>
          <w:tcPr>
            <w:tcW w:w="3648" w:type="dxa"/>
            <w:gridSpan w:val="3"/>
            <w:tcBorders>
              <w:top w:val="single" w:sz="4" w:space="0" w:color="000000"/>
              <w:left w:val="single" w:sz="8" w:space="0" w:color="auto"/>
              <w:bottom w:val="single" w:sz="4" w:space="0" w:color="000000"/>
              <w:right w:val="single" w:sz="4" w:space="0" w:color="000000"/>
            </w:tcBorders>
            <w:shd w:val="clear" w:color="auto" w:fill="auto"/>
            <w:vAlign w:val="center"/>
            <w:hideMark/>
          </w:tcPr>
          <w:p w:rsidR="0058608E" w:rsidRPr="0058608E" w:rsidRDefault="0058608E" w:rsidP="0058608E">
            <w:pPr>
              <w:rPr>
                <w:rFonts w:ascii="NewBaskerville" w:hAnsi="NewBaskerville" w:cs="Calibri"/>
                <w:sz w:val="18"/>
                <w:szCs w:val="18"/>
                <w:lang w:val="es-ES"/>
              </w:rPr>
            </w:pPr>
            <w:r w:rsidRPr="0058608E">
              <w:rPr>
                <w:rFonts w:ascii="NewBaskerville" w:hAnsi="NewBaskerville" w:cs="Calibri"/>
                <w:sz w:val="18"/>
                <w:szCs w:val="18"/>
                <w:lang w:val="es-ES"/>
              </w:rPr>
              <w:t>Responsables</w:t>
            </w:r>
          </w:p>
        </w:tc>
        <w:tc>
          <w:tcPr>
            <w:tcW w:w="2191" w:type="dxa"/>
            <w:tcBorders>
              <w:top w:val="single" w:sz="4" w:space="0" w:color="000000"/>
              <w:left w:val="nil"/>
              <w:bottom w:val="single" w:sz="4" w:space="0" w:color="000000"/>
              <w:right w:val="nil"/>
            </w:tcBorders>
            <w:shd w:val="clear" w:color="auto" w:fill="auto"/>
            <w:noWrap/>
            <w:vAlign w:val="center"/>
            <w:hideMark/>
          </w:tcPr>
          <w:p w:rsidR="0058608E" w:rsidRPr="0058608E" w:rsidRDefault="0058608E" w:rsidP="0058608E">
            <w:pPr>
              <w:jc w:val="center"/>
              <w:rPr>
                <w:rFonts w:ascii="NewBaskerville" w:hAnsi="NewBaskerville" w:cs="Calibri"/>
                <w:color w:val="000000"/>
                <w:sz w:val="18"/>
                <w:szCs w:val="18"/>
                <w:lang w:val="es-ES"/>
              </w:rPr>
            </w:pPr>
            <w:r w:rsidRPr="0058608E">
              <w:rPr>
                <w:rFonts w:ascii="NewBaskerville" w:hAnsi="NewBaskerville" w:cs="Calibri"/>
                <w:color w:val="000000"/>
                <w:sz w:val="18"/>
                <w:szCs w:val="18"/>
                <w:lang w:val="es-ES"/>
              </w:rPr>
              <w:t>28</w:t>
            </w:r>
          </w:p>
        </w:tc>
        <w:tc>
          <w:tcPr>
            <w:tcW w:w="2361" w:type="dxa"/>
            <w:tcBorders>
              <w:top w:val="single" w:sz="4" w:space="0" w:color="000000"/>
              <w:left w:val="single" w:sz="4" w:space="0" w:color="auto"/>
              <w:bottom w:val="single" w:sz="4" w:space="0" w:color="000000"/>
              <w:right w:val="single" w:sz="8" w:space="0" w:color="000000"/>
            </w:tcBorders>
            <w:shd w:val="clear" w:color="auto" w:fill="auto"/>
            <w:noWrap/>
            <w:vAlign w:val="center"/>
            <w:hideMark/>
          </w:tcPr>
          <w:p w:rsidR="0058608E" w:rsidRPr="0058608E" w:rsidRDefault="0058608E" w:rsidP="0058608E">
            <w:pPr>
              <w:jc w:val="center"/>
              <w:rPr>
                <w:rFonts w:ascii="NewBaskerville" w:hAnsi="NewBaskerville" w:cs="Calibri"/>
                <w:color w:val="000000"/>
                <w:sz w:val="18"/>
                <w:szCs w:val="18"/>
                <w:lang w:val="es-ES"/>
              </w:rPr>
            </w:pPr>
            <w:r w:rsidRPr="0058608E">
              <w:rPr>
                <w:rFonts w:ascii="NewBaskerville" w:hAnsi="NewBaskerville" w:cs="Calibri"/>
                <w:color w:val="000000"/>
                <w:sz w:val="18"/>
                <w:szCs w:val="18"/>
                <w:lang w:val="es-ES"/>
              </w:rPr>
              <w:t>16</w:t>
            </w:r>
          </w:p>
        </w:tc>
      </w:tr>
      <w:tr w:rsidR="0058608E" w:rsidRPr="0058608E" w:rsidTr="0058608E">
        <w:trPr>
          <w:trHeight w:val="300"/>
        </w:trPr>
        <w:tc>
          <w:tcPr>
            <w:tcW w:w="3648" w:type="dxa"/>
            <w:gridSpan w:val="3"/>
            <w:tcBorders>
              <w:top w:val="single" w:sz="4" w:space="0" w:color="000000"/>
              <w:left w:val="single" w:sz="8" w:space="0" w:color="auto"/>
              <w:bottom w:val="single" w:sz="4" w:space="0" w:color="000000"/>
              <w:right w:val="single" w:sz="4" w:space="0" w:color="000000"/>
            </w:tcBorders>
            <w:shd w:val="clear" w:color="auto" w:fill="auto"/>
            <w:vAlign w:val="center"/>
            <w:hideMark/>
          </w:tcPr>
          <w:p w:rsidR="0058608E" w:rsidRPr="0058608E" w:rsidRDefault="0058608E" w:rsidP="0058608E">
            <w:pPr>
              <w:rPr>
                <w:rFonts w:ascii="NewBaskerville" w:hAnsi="NewBaskerville" w:cs="Calibri"/>
                <w:sz w:val="18"/>
                <w:szCs w:val="18"/>
                <w:lang w:val="es-ES"/>
              </w:rPr>
            </w:pPr>
            <w:r w:rsidRPr="0058608E">
              <w:rPr>
                <w:rFonts w:ascii="NewBaskerville" w:hAnsi="NewBaskerville" w:cs="Calibri"/>
                <w:sz w:val="18"/>
                <w:szCs w:val="18"/>
                <w:lang w:val="es-ES"/>
              </w:rPr>
              <w:t>Técnicos</w:t>
            </w:r>
          </w:p>
        </w:tc>
        <w:tc>
          <w:tcPr>
            <w:tcW w:w="2191" w:type="dxa"/>
            <w:tcBorders>
              <w:top w:val="single" w:sz="4" w:space="0" w:color="000000"/>
              <w:left w:val="nil"/>
              <w:bottom w:val="single" w:sz="4" w:space="0" w:color="000000"/>
              <w:right w:val="nil"/>
            </w:tcBorders>
            <w:shd w:val="clear" w:color="auto" w:fill="auto"/>
            <w:noWrap/>
            <w:vAlign w:val="center"/>
            <w:hideMark/>
          </w:tcPr>
          <w:p w:rsidR="0058608E" w:rsidRPr="0058608E" w:rsidRDefault="0058608E" w:rsidP="0058608E">
            <w:pPr>
              <w:jc w:val="center"/>
              <w:rPr>
                <w:rFonts w:ascii="NewBaskerville" w:hAnsi="NewBaskerville" w:cs="Calibri"/>
                <w:color w:val="000000"/>
                <w:sz w:val="18"/>
                <w:szCs w:val="18"/>
                <w:lang w:val="es-ES"/>
              </w:rPr>
            </w:pPr>
            <w:r w:rsidRPr="0058608E">
              <w:rPr>
                <w:rFonts w:ascii="NewBaskerville" w:hAnsi="NewBaskerville" w:cs="Calibri"/>
                <w:color w:val="000000"/>
                <w:sz w:val="18"/>
                <w:szCs w:val="18"/>
                <w:lang w:val="es-ES"/>
              </w:rPr>
              <w:t>43</w:t>
            </w:r>
          </w:p>
        </w:tc>
        <w:tc>
          <w:tcPr>
            <w:tcW w:w="2361" w:type="dxa"/>
            <w:tcBorders>
              <w:top w:val="single" w:sz="4" w:space="0" w:color="000000"/>
              <w:left w:val="single" w:sz="4" w:space="0" w:color="auto"/>
              <w:bottom w:val="single" w:sz="4" w:space="0" w:color="000000"/>
              <w:right w:val="single" w:sz="8" w:space="0" w:color="000000"/>
            </w:tcBorders>
            <w:shd w:val="clear" w:color="auto" w:fill="auto"/>
            <w:noWrap/>
            <w:vAlign w:val="center"/>
            <w:hideMark/>
          </w:tcPr>
          <w:p w:rsidR="0058608E" w:rsidRPr="0058608E" w:rsidRDefault="0058608E" w:rsidP="0058608E">
            <w:pPr>
              <w:jc w:val="center"/>
              <w:rPr>
                <w:rFonts w:ascii="NewBaskerville" w:hAnsi="NewBaskerville" w:cs="Calibri"/>
                <w:color w:val="000000"/>
                <w:sz w:val="18"/>
                <w:szCs w:val="18"/>
                <w:lang w:val="es-ES"/>
              </w:rPr>
            </w:pPr>
            <w:r w:rsidRPr="0058608E">
              <w:rPr>
                <w:rFonts w:ascii="NewBaskerville" w:hAnsi="NewBaskerville" w:cs="Calibri"/>
                <w:color w:val="000000"/>
                <w:sz w:val="18"/>
                <w:szCs w:val="18"/>
                <w:lang w:val="es-ES"/>
              </w:rPr>
              <w:t>24</w:t>
            </w:r>
          </w:p>
        </w:tc>
      </w:tr>
      <w:tr w:rsidR="0058608E" w:rsidRPr="0058608E" w:rsidTr="0058608E">
        <w:trPr>
          <w:trHeight w:val="300"/>
        </w:trPr>
        <w:tc>
          <w:tcPr>
            <w:tcW w:w="3648" w:type="dxa"/>
            <w:gridSpan w:val="3"/>
            <w:tcBorders>
              <w:top w:val="single" w:sz="4" w:space="0" w:color="000000"/>
              <w:left w:val="single" w:sz="8" w:space="0" w:color="auto"/>
              <w:bottom w:val="single" w:sz="4" w:space="0" w:color="000000"/>
              <w:right w:val="single" w:sz="4" w:space="0" w:color="000000"/>
            </w:tcBorders>
            <w:shd w:val="clear" w:color="auto" w:fill="auto"/>
            <w:vAlign w:val="center"/>
            <w:hideMark/>
          </w:tcPr>
          <w:p w:rsidR="0058608E" w:rsidRPr="0058608E" w:rsidRDefault="0058608E" w:rsidP="0058608E">
            <w:pPr>
              <w:rPr>
                <w:rFonts w:ascii="NewBaskerville" w:hAnsi="NewBaskerville" w:cs="Calibri"/>
                <w:sz w:val="18"/>
                <w:szCs w:val="18"/>
                <w:lang w:val="es-ES"/>
              </w:rPr>
            </w:pPr>
            <w:r w:rsidRPr="0058608E">
              <w:rPr>
                <w:rFonts w:ascii="NewBaskerville" w:hAnsi="NewBaskerville" w:cs="Calibri"/>
                <w:sz w:val="18"/>
                <w:szCs w:val="18"/>
                <w:lang w:val="es-ES"/>
              </w:rPr>
              <w:t>Jefes de Equipo</w:t>
            </w:r>
          </w:p>
        </w:tc>
        <w:tc>
          <w:tcPr>
            <w:tcW w:w="2191" w:type="dxa"/>
            <w:tcBorders>
              <w:top w:val="single" w:sz="4" w:space="0" w:color="000000"/>
              <w:left w:val="nil"/>
              <w:bottom w:val="single" w:sz="4" w:space="0" w:color="000000"/>
              <w:right w:val="nil"/>
            </w:tcBorders>
            <w:shd w:val="clear" w:color="auto" w:fill="auto"/>
            <w:noWrap/>
            <w:vAlign w:val="center"/>
            <w:hideMark/>
          </w:tcPr>
          <w:p w:rsidR="0058608E" w:rsidRPr="0058608E" w:rsidRDefault="0058608E" w:rsidP="0058608E">
            <w:pPr>
              <w:jc w:val="center"/>
              <w:rPr>
                <w:rFonts w:ascii="NewBaskerville" w:hAnsi="NewBaskerville" w:cs="Calibri"/>
                <w:color w:val="000000"/>
                <w:sz w:val="18"/>
                <w:szCs w:val="18"/>
                <w:lang w:val="es-ES"/>
              </w:rPr>
            </w:pPr>
            <w:r w:rsidRPr="0058608E">
              <w:rPr>
                <w:rFonts w:ascii="NewBaskerville" w:hAnsi="NewBaskerville" w:cs="Calibri"/>
                <w:color w:val="000000"/>
                <w:sz w:val="18"/>
                <w:szCs w:val="18"/>
                <w:lang w:val="es-ES"/>
              </w:rPr>
              <w:t>18</w:t>
            </w:r>
          </w:p>
        </w:tc>
        <w:tc>
          <w:tcPr>
            <w:tcW w:w="2361" w:type="dxa"/>
            <w:tcBorders>
              <w:top w:val="single" w:sz="4" w:space="0" w:color="000000"/>
              <w:left w:val="single" w:sz="4" w:space="0" w:color="auto"/>
              <w:bottom w:val="single" w:sz="4" w:space="0" w:color="000000"/>
              <w:right w:val="single" w:sz="8" w:space="0" w:color="000000"/>
            </w:tcBorders>
            <w:shd w:val="clear" w:color="auto" w:fill="auto"/>
            <w:noWrap/>
            <w:vAlign w:val="center"/>
            <w:hideMark/>
          </w:tcPr>
          <w:p w:rsidR="0058608E" w:rsidRPr="0058608E" w:rsidRDefault="0058608E" w:rsidP="0058608E">
            <w:pPr>
              <w:jc w:val="center"/>
              <w:rPr>
                <w:rFonts w:ascii="NewBaskerville" w:hAnsi="NewBaskerville" w:cs="Calibri"/>
                <w:color w:val="000000"/>
                <w:sz w:val="18"/>
                <w:szCs w:val="18"/>
                <w:lang w:val="es-ES"/>
              </w:rPr>
            </w:pPr>
            <w:r w:rsidRPr="0058608E">
              <w:rPr>
                <w:rFonts w:ascii="NewBaskerville" w:hAnsi="NewBaskerville" w:cs="Calibri"/>
                <w:color w:val="000000"/>
                <w:sz w:val="18"/>
                <w:szCs w:val="18"/>
                <w:lang w:val="es-ES"/>
              </w:rPr>
              <w:t>1</w:t>
            </w:r>
          </w:p>
        </w:tc>
      </w:tr>
      <w:tr w:rsidR="0058608E" w:rsidRPr="0058608E" w:rsidTr="0058608E">
        <w:trPr>
          <w:trHeight w:val="315"/>
        </w:trPr>
        <w:tc>
          <w:tcPr>
            <w:tcW w:w="3648" w:type="dxa"/>
            <w:gridSpan w:val="3"/>
            <w:tcBorders>
              <w:top w:val="single" w:sz="4" w:space="0" w:color="000000"/>
              <w:left w:val="single" w:sz="8" w:space="0" w:color="auto"/>
              <w:bottom w:val="nil"/>
              <w:right w:val="single" w:sz="4" w:space="0" w:color="000000"/>
            </w:tcBorders>
            <w:shd w:val="clear" w:color="auto" w:fill="auto"/>
            <w:vAlign w:val="center"/>
            <w:hideMark/>
          </w:tcPr>
          <w:p w:rsidR="0058608E" w:rsidRPr="0058608E" w:rsidRDefault="0058608E" w:rsidP="0058608E">
            <w:pPr>
              <w:rPr>
                <w:rFonts w:ascii="NewBaskerville" w:hAnsi="NewBaskerville" w:cs="Calibri"/>
                <w:sz w:val="18"/>
                <w:szCs w:val="18"/>
                <w:lang w:val="es-ES"/>
              </w:rPr>
            </w:pPr>
            <w:r w:rsidRPr="0058608E">
              <w:rPr>
                <w:rFonts w:ascii="NewBaskerville" w:hAnsi="NewBaskerville" w:cs="Calibri"/>
                <w:sz w:val="18"/>
                <w:szCs w:val="18"/>
                <w:lang w:val="es-ES"/>
              </w:rPr>
              <w:t>Policía Portuaria, administrativos, oficiales</w:t>
            </w:r>
          </w:p>
        </w:tc>
        <w:tc>
          <w:tcPr>
            <w:tcW w:w="2191" w:type="dxa"/>
            <w:tcBorders>
              <w:top w:val="single" w:sz="4" w:space="0" w:color="000000"/>
              <w:left w:val="nil"/>
              <w:bottom w:val="nil"/>
              <w:right w:val="nil"/>
            </w:tcBorders>
            <w:shd w:val="clear" w:color="auto" w:fill="auto"/>
            <w:noWrap/>
            <w:vAlign w:val="center"/>
            <w:hideMark/>
          </w:tcPr>
          <w:p w:rsidR="0058608E" w:rsidRPr="0058608E" w:rsidRDefault="0058608E" w:rsidP="0058608E">
            <w:pPr>
              <w:jc w:val="center"/>
              <w:rPr>
                <w:rFonts w:ascii="NewBaskerville" w:hAnsi="NewBaskerville" w:cs="Calibri"/>
                <w:color w:val="000000"/>
                <w:sz w:val="18"/>
                <w:szCs w:val="18"/>
                <w:lang w:val="es-ES"/>
              </w:rPr>
            </w:pPr>
            <w:r w:rsidRPr="0058608E">
              <w:rPr>
                <w:rFonts w:ascii="NewBaskerville" w:hAnsi="NewBaskerville" w:cs="Calibri"/>
                <w:color w:val="000000"/>
                <w:sz w:val="18"/>
                <w:szCs w:val="18"/>
                <w:lang w:val="es-ES"/>
              </w:rPr>
              <w:t>125</w:t>
            </w:r>
          </w:p>
        </w:tc>
        <w:tc>
          <w:tcPr>
            <w:tcW w:w="2361" w:type="dxa"/>
            <w:tcBorders>
              <w:top w:val="single" w:sz="4" w:space="0" w:color="000000"/>
              <w:left w:val="single" w:sz="4" w:space="0" w:color="auto"/>
              <w:bottom w:val="nil"/>
              <w:right w:val="single" w:sz="8" w:space="0" w:color="000000"/>
            </w:tcBorders>
            <w:shd w:val="clear" w:color="auto" w:fill="auto"/>
            <w:noWrap/>
            <w:vAlign w:val="center"/>
            <w:hideMark/>
          </w:tcPr>
          <w:p w:rsidR="0058608E" w:rsidRPr="0058608E" w:rsidRDefault="0058608E" w:rsidP="0058608E">
            <w:pPr>
              <w:jc w:val="center"/>
              <w:rPr>
                <w:rFonts w:ascii="NewBaskerville" w:hAnsi="NewBaskerville" w:cs="Calibri"/>
                <w:color w:val="000000"/>
                <w:sz w:val="18"/>
                <w:szCs w:val="18"/>
                <w:lang w:val="es-ES"/>
              </w:rPr>
            </w:pPr>
            <w:r w:rsidRPr="0058608E">
              <w:rPr>
                <w:rFonts w:ascii="NewBaskerville" w:hAnsi="NewBaskerville" w:cs="Calibri"/>
                <w:color w:val="000000"/>
                <w:sz w:val="18"/>
                <w:szCs w:val="18"/>
                <w:lang w:val="es-ES"/>
              </w:rPr>
              <w:t>43</w:t>
            </w:r>
          </w:p>
        </w:tc>
      </w:tr>
      <w:tr w:rsidR="0058608E" w:rsidRPr="0058608E" w:rsidTr="0058608E">
        <w:trPr>
          <w:trHeight w:val="315"/>
        </w:trPr>
        <w:tc>
          <w:tcPr>
            <w:tcW w:w="3648" w:type="dxa"/>
            <w:gridSpan w:val="3"/>
            <w:tcBorders>
              <w:top w:val="single" w:sz="8" w:space="0" w:color="auto"/>
              <w:left w:val="single" w:sz="8" w:space="0" w:color="auto"/>
              <w:bottom w:val="single" w:sz="8" w:space="0" w:color="auto"/>
              <w:right w:val="single" w:sz="4" w:space="0" w:color="000000"/>
            </w:tcBorders>
            <w:shd w:val="clear" w:color="auto" w:fill="auto"/>
            <w:hideMark/>
          </w:tcPr>
          <w:p w:rsidR="0058608E" w:rsidRPr="0058608E" w:rsidRDefault="0058608E" w:rsidP="0058608E">
            <w:pPr>
              <w:rPr>
                <w:rFonts w:ascii="NewBaskerville" w:hAnsi="NewBaskerville" w:cs="Calibri"/>
                <w:b/>
                <w:bCs/>
                <w:sz w:val="18"/>
                <w:szCs w:val="18"/>
                <w:lang w:val="es-ES"/>
              </w:rPr>
            </w:pPr>
            <w:r w:rsidRPr="0058608E">
              <w:rPr>
                <w:rFonts w:ascii="NewBaskerville" w:hAnsi="NewBaskerville" w:cs="Calibri"/>
                <w:b/>
                <w:bCs/>
                <w:sz w:val="18"/>
                <w:szCs w:val="18"/>
                <w:lang w:val="es-ES"/>
              </w:rPr>
              <w:t>TOTAL</w:t>
            </w:r>
          </w:p>
        </w:tc>
        <w:tc>
          <w:tcPr>
            <w:tcW w:w="2191" w:type="dxa"/>
            <w:tcBorders>
              <w:top w:val="single" w:sz="8" w:space="0" w:color="auto"/>
              <w:left w:val="nil"/>
              <w:bottom w:val="single" w:sz="8" w:space="0" w:color="auto"/>
              <w:right w:val="nil"/>
            </w:tcBorders>
            <w:shd w:val="clear" w:color="000000" w:fill="FFFFFF"/>
            <w:noWrap/>
            <w:vAlign w:val="center"/>
            <w:hideMark/>
          </w:tcPr>
          <w:p w:rsidR="0058608E" w:rsidRPr="0058608E" w:rsidRDefault="0058608E" w:rsidP="0058608E">
            <w:pPr>
              <w:jc w:val="center"/>
              <w:rPr>
                <w:rFonts w:ascii="NewBaskerville" w:hAnsi="NewBaskerville" w:cs="Calibri"/>
                <w:b/>
                <w:bCs/>
                <w:color w:val="000000"/>
                <w:sz w:val="18"/>
                <w:szCs w:val="18"/>
                <w:lang w:val="es-ES"/>
              </w:rPr>
            </w:pPr>
            <w:r w:rsidRPr="0058608E">
              <w:rPr>
                <w:rFonts w:ascii="NewBaskerville" w:hAnsi="NewBaskerville" w:cs="Calibri"/>
                <w:b/>
                <w:bCs/>
                <w:color w:val="000000"/>
                <w:sz w:val="18"/>
                <w:szCs w:val="18"/>
                <w:lang w:val="es-ES"/>
              </w:rPr>
              <w:t>235</w:t>
            </w:r>
          </w:p>
        </w:tc>
        <w:tc>
          <w:tcPr>
            <w:tcW w:w="2361" w:type="dxa"/>
            <w:tcBorders>
              <w:top w:val="single" w:sz="8" w:space="0" w:color="auto"/>
              <w:left w:val="single" w:sz="4" w:space="0" w:color="auto"/>
              <w:bottom w:val="single" w:sz="8" w:space="0" w:color="auto"/>
              <w:right w:val="single" w:sz="8" w:space="0" w:color="000000"/>
            </w:tcBorders>
            <w:shd w:val="clear" w:color="000000" w:fill="FFFFFF"/>
            <w:noWrap/>
            <w:vAlign w:val="center"/>
            <w:hideMark/>
          </w:tcPr>
          <w:p w:rsidR="0058608E" w:rsidRPr="0058608E" w:rsidRDefault="0058608E" w:rsidP="0058608E">
            <w:pPr>
              <w:jc w:val="center"/>
              <w:rPr>
                <w:rFonts w:ascii="NewBaskerville" w:hAnsi="NewBaskerville" w:cs="Calibri"/>
                <w:b/>
                <w:bCs/>
                <w:color w:val="000000"/>
                <w:sz w:val="18"/>
                <w:szCs w:val="18"/>
                <w:lang w:val="es-ES"/>
              </w:rPr>
            </w:pPr>
            <w:r w:rsidRPr="0058608E">
              <w:rPr>
                <w:rFonts w:ascii="NewBaskerville" w:hAnsi="NewBaskerville" w:cs="Calibri"/>
                <w:b/>
                <w:bCs/>
                <w:color w:val="000000"/>
                <w:sz w:val="18"/>
                <w:szCs w:val="18"/>
                <w:lang w:val="es-ES"/>
              </w:rPr>
              <w:t>89</w:t>
            </w:r>
          </w:p>
        </w:tc>
      </w:tr>
    </w:tbl>
    <w:p w:rsidR="0058608E" w:rsidRDefault="0058608E" w:rsidP="00570EBA">
      <w:pPr>
        <w:pStyle w:val="Sangra3detindependiente"/>
        <w:tabs>
          <w:tab w:val="clear" w:pos="5671"/>
          <w:tab w:val="clear" w:pos="7797"/>
          <w:tab w:val="right" w:pos="3403"/>
        </w:tabs>
        <w:spacing w:before="120"/>
        <w:rPr>
          <w:rFonts w:ascii="NewBaskerville" w:hAnsi="NewBaskerville"/>
          <w:bCs/>
          <w:sz w:val="20"/>
          <w:szCs w:val="20"/>
        </w:rPr>
      </w:pPr>
    </w:p>
    <w:p w:rsidR="0058608E" w:rsidRPr="00D54A29" w:rsidRDefault="0058608E" w:rsidP="00570EBA">
      <w:pPr>
        <w:pStyle w:val="Sangra3detindependiente"/>
        <w:tabs>
          <w:tab w:val="clear" w:pos="5671"/>
          <w:tab w:val="clear" w:pos="7797"/>
          <w:tab w:val="right" w:pos="3403"/>
        </w:tabs>
        <w:spacing w:before="120"/>
        <w:rPr>
          <w:rFonts w:ascii="NewBaskerville" w:hAnsi="NewBaskerville"/>
          <w:bCs/>
          <w:sz w:val="20"/>
          <w:szCs w:val="20"/>
        </w:rPr>
      </w:pPr>
    </w:p>
    <w:tbl>
      <w:tblPr>
        <w:tblW w:w="8200" w:type="dxa"/>
        <w:tblInd w:w="70" w:type="dxa"/>
        <w:tblCellMar>
          <w:left w:w="70" w:type="dxa"/>
          <w:right w:w="70" w:type="dxa"/>
        </w:tblCellMar>
        <w:tblLook w:val="04A0" w:firstRow="1" w:lastRow="0" w:firstColumn="1" w:lastColumn="0" w:noHBand="0" w:noVBand="1"/>
      </w:tblPr>
      <w:tblGrid>
        <w:gridCol w:w="1200"/>
        <w:gridCol w:w="1200"/>
        <w:gridCol w:w="1200"/>
        <w:gridCol w:w="2200"/>
        <w:gridCol w:w="2400"/>
      </w:tblGrid>
      <w:tr w:rsidR="00423C1D" w:rsidRPr="00423C1D" w:rsidTr="00423C1D">
        <w:trPr>
          <w:trHeight w:val="315"/>
        </w:trPr>
        <w:tc>
          <w:tcPr>
            <w:tcW w:w="1200" w:type="dxa"/>
            <w:tcBorders>
              <w:top w:val="nil"/>
              <w:left w:val="nil"/>
              <w:bottom w:val="nil"/>
              <w:right w:val="nil"/>
            </w:tcBorders>
            <w:shd w:val="clear" w:color="auto" w:fill="auto"/>
            <w:noWrap/>
            <w:vAlign w:val="bottom"/>
            <w:hideMark/>
          </w:tcPr>
          <w:p w:rsidR="00423C1D" w:rsidRPr="00423C1D" w:rsidRDefault="00423C1D" w:rsidP="00423C1D">
            <w:pPr>
              <w:rPr>
                <w:rFonts w:ascii="Calibri" w:hAnsi="Calibri" w:cs="Calibri"/>
                <w:color w:val="000000"/>
                <w:sz w:val="22"/>
                <w:szCs w:val="22"/>
                <w:lang w:val="es-ES"/>
              </w:rPr>
            </w:pPr>
          </w:p>
        </w:tc>
        <w:tc>
          <w:tcPr>
            <w:tcW w:w="1200" w:type="dxa"/>
            <w:tcBorders>
              <w:top w:val="nil"/>
              <w:left w:val="nil"/>
              <w:bottom w:val="nil"/>
              <w:right w:val="nil"/>
            </w:tcBorders>
            <w:shd w:val="clear" w:color="auto" w:fill="auto"/>
            <w:noWrap/>
            <w:vAlign w:val="bottom"/>
            <w:hideMark/>
          </w:tcPr>
          <w:p w:rsidR="00423C1D" w:rsidRPr="00423C1D" w:rsidRDefault="00423C1D" w:rsidP="00423C1D">
            <w:pPr>
              <w:rPr>
                <w:rFonts w:ascii="Calibri" w:hAnsi="Calibri" w:cs="Calibri"/>
                <w:color w:val="000000"/>
                <w:sz w:val="22"/>
                <w:szCs w:val="22"/>
                <w:lang w:val="es-ES"/>
              </w:rPr>
            </w:pPr>
          </w:p>
        </w:tc>
        <w:tc>
          <w:tcPr>
            <w:tcW w:w="1200" w:type="dxa"/>
            <w:tcBorders>
              <w:top w:val="nil"/>
              <w:left w:val="nil"/>
              <w:bottom w:val="nil"/>
              <w:right w:val="nil"/>
            </w:tcBorders>
            <w:shd w:val="clear" w:color="auto" w:fill="auto"/>
            <w:noWrap/>
            <w:vAlign w:val="bottom"/>
            <w:hideMark/>
          </w:tcPr>
          <w:p w:rsidR="00423C1D" w:rsidRPr="00423C1D" w:rsidRDefault="00423C1D" w:rsidP="00423C1D">
            <w:pPr>
              <w:rPr>
                <w:rFonts w:ascii="Calibri" w:hAnsi="Calibri" w:cs="Calibri"/>
                <w:color w:val="000000"/>
                <w:sz w:val="22"/>
                <w:szCs w:val="22"/>
                <w:lang w:val="es-ES"/>
              </w:rPr>
            </w:pPr>
          </w:p>
        </w:tc>
        <w:tc>
          <w:tcPr>
            <w:tcW w:w="4600" w:type="dxa"/>
            <w:gridSpan w:val="2"/>
            <w:tcBorders>
              <w:top w:val="single" w:sz="8" w:space="0" w:color="auto"/>
              <w:left w:val="single" w:sz="8" w:space="0" w:color="auto"/>
              <w:bottom w:val="nil"/>
              <w:right w:val="single" w:sz="4" w:space="0" w:color="auto"/>
            </w:tcBorders>
            <w:shd w:val="clear" w:color="000000" w:fill="CCFFCC"/>
            <w:noWrap/>
            <w:vAlign w:val="bottom"/>
            <w:hideMark/>
          </w:tcPr>
          <w:p w:rsidR="00423C1D" w:rsidRPr="00423C1D" w:rsidRDefault="00423C1D" w:rsidP="00423C1D">
            <w:pPr>
              <w:jc w:val="center"/>
              <w:rPr>
                <w:rFonts w:ascii="NewBaskerville" w:hAnsi="NewBaskerville" w:cs="Calibri"/>
                <w:b/>
                <w:bCs/>
                <w:color w:val="000000"/>
                <w:sz w:val="18"/>
                <w:szCs w:val="18"/>
                <w:lang w:val="es-ES"/>
              </w:rPr>
            </w:pPr>
            <w:r w:rsidRPr="00423C1D">
              <w:rPr>
                <w:rFonts w:ascii="NewBaskerville" w:hAnsi="NewBaskerville" w:cs="Calibri"/>
                <w:b/>
                <w:bCs/>
                <w:color w:val="000000"/>
                <w:sz w:val="18"/>
                <w:szCs w:val="18"/>
                <w:lang w:val="es-ES"/>
              </w:rPr>
              <w:t>2022</w:t>
            </w:r>
          </w:p>
        </w:tc>
      </w:tr>
      <w:tr w:rsidR="00423C1D" w:rsidRPr="00423C1D" w:rsidTr="00423C1D">
        <w:trPr>
          <w:trHeight w:val="315"/>
        </w:trPr>
        <w:tc>
          <w:tcPr>
            <w:tcW w:w="3600" w:type="dxa"/>
            <w:gridSpan w:val="3"/>
            <w:tcBorders>
              <w:top w:val="single" w:sz="8" w:space="0" w:color="auto"/>
              <w:left w:val="single" w:sz="8" w:space="0" w:color="auto"/>
              <w:bottom w:val="single" w:sz="8" w:space="0" w:color="auto"/>
              <w:right w:val="single" w:sz="4" w:space="0" w:color="000000"/>
            </w:tcBorders>
            <w:shd w:val="clear" w:color="000000" w:fill="CCFFCC"/>
            <w:vAlign w:val="center"/>
            <w:hideMark/>
          </w:tcPr>
          <w:p w:rsidR="00423C1D" w:rsidRPr="00423C1D" w:rsidRDefault="00423C1D" w:rsidP="00423C1D">
            <w:pPr>
              <w:jc w:val="center"/>
              <w:rPr>
                <w:rFonts w:ascii="NewBaskerville" w:hAnsi="NewBaskerville" w:cs="Calibri"/>
                <w:b/>
                <w:bCs/>
                <w:sz w:val="18"/>
                <w:szCs w:val="18"/>
                <w:lang w:val="es-ES"/>
              </w:rPr>
            </w:pPr>
            <w:r w:rsidRPr="00423C1D">
              <w:rPr>
                <w:rFonts w:ascii="NewBaskerville" w:hAnsi="NewBaskerville" w:cs="Calibri"/>
                <w:b/>
                <w:bCs/>
                <w:sz w:val="18"/>
                <w:szCs w:val="18"/>
                <w:lang w:val="es-ES"/>
              </w:rPr>
              <w:t>Categoría</w:t>
            </w:r>
          </w:p>
        </w:tc>
        <w:tc>
          <w:tcPr>
            <w:tcW w:w="2200" w:type="dxa"/>
            <w:tcBorders>
              <w:top w:val="single" w:sz="8" w:space="0" w:color="auto"/>
              <w:left w:val="nil"/>
              <w:bottom w:val="single" w:sz="8" w:space="0" w:color="auto"/>
              <w:right w:val="single" w:sz="4" w:space="0" w:color="auto"/>
            </w:tcBorders>
            <w:shd w:val="clear" w:color="000000" w:fill="CCFFCC"/>
            <w:vAlign w:val="center"/>
            <w:hideMark/>
          </w:tcPr>
          <w:p w:rsidR="00423C1D" w:rsidRPr="00423C1D" w:rsidRDefault="00423C1D" w:rsidP="00423C1D">
            <w:pPr>
              <w:jc w:val="center"/>
              <w:rPr>
                <w:rFonts w:ascii="NewBaskerville" w:hAnsi="NewBaskerville" w:cs="Calibri"/>
                <w:b/>
                <w:bCs/>
                <w:sz w:val="18"/>
                <w:szCs w:val="18"/>
                <w:lang w:val="es-ES"/>
              </w:rPr>
            </w:pPr>
            <w:r w:rsidRPr="00423C1D">
              <w:rPr>
                <w:rFonts w:ascii="NewBaskerville" w:hAnsi="NewBaskerville" w:cs="Calibri"/>
                <w:b/>
                <w:bCs/>
                <w:sz w:val="18"/>
                <w:szCs w:val="18"/>
                <w:lang w:val="es-ES"/>
              </w:rPr>
              <w:t>Hombres</w:t>
            </w:r>
          </w:p>
        </w:tc>
        <w:tc>
          <w:tcPr>
            <w:tcW w:w="2400" w:type="dxa"/>
            <w:tcBorders>
              <w:top w:val="single" w:sz="8" w:space="0" w:color="auto"/>
              <w:left w:val="single" w:sz="4" w:space="0" w:color="auto"/>
              <w:bottom w:val="single" w:sz="8" w:space="0" w:color="auto"/>
              <w:right w:val="single" w:sz="8" w:space="0" w:color="000000"/>
            </w:tcBorders>
            <w:shd w:val="clear" w:color="000000" w:fill="CCFFCC"/>
            <w:vAlign w:val="center"/>
            <w:hideMark/>
          </w:tcPr>
          <w:p w:rsidR="00423C1D" w:rsidRPr="00423C1D" w:rsidRDefault="00423C1D" w:rsidP="00423C1D">
            <w:pPr>
              <w:jc w:val="center"/>
              <w:rPr>
                <w:rFonts w:ascii="NewBaskerville" w:hAnsi="NewBaskerville" w:cs="Calibri"/>
                <w:b/>
                <w:bCs/>
                <w:color w:val="000000"/>
                <w:sz w:val="18"/>
                <w:szCs w:val="18"/>
                <w:lang w:val="es-ES"/>
              </w:rPr>
            </w:pPr>
            <w:r w:rsidRPr="00423C1D">
              <w:rPr>
                <w:rFonts w:ascii="NewBaskerville" w:hAnsi="NewBaskerville" w:cs="Calibri"/>
                <w:b/>
                <w:bCs/>
                <w:color w:val="000000"/>
                <w:sz w:val="18"/>
                <w:szCs w:val="18"/>
                <w:lang w:val="es-ES"/>
              </w:rPr>
              <w:t>Mujeres</w:t>
            </w:r>
          </w:p>
        </w:tc>
      </w:tr>
      <w:tr w:rsidR="00423C1D" w:rsidRPr="00423C1D" w:rsidTr="00423C1D">
        <w:trPr>
          <w:trHeight w:val="300"/>
        </w:trPr>
        <w:tc>
          <w:tcPr>
            <w:tcW w:w="3600" w:type="dxa"/>
            <w:gridSpan w:val="3"/>
            <w:tcBorders>
              <w:top w:val="nil"/>
              <w:left w:val="single" w:sz="8" w:space="0" w:color="auto"/>
              <w:bottom w:val="single" w:sz="4" w:space="0" w:color="000000"/>
              <w:right w:val="single" w:sz="4" w:space="0" w:color="000000"/>
            </w:tcBorders>
            <w:shd w:val="clear" w:color="auto" w:fill="auto"/>
            <w:vAlign w:val="center"/>
            <w:hideMark/>
          </w:tcPr>
          <w:p w:rsidR="00423C1D" w:rsidRPr="00423C1D" w:rsidRDefault="00423C1D" w:rsidP="00423C1D">
            <w:pPr>
              <w:rPr>
                <w:rFonts w:ascii="NewBaskerville" w:hAnsi="NewBaskerville" w:cs="Calibri"/>
                <w:sz w:val="18"/>
                <w:szCs w:val="18"/>
                <w:lang w:val="es-ES"/>
              </w:rPr>
            </w:pPr>
            <w:r w:rsidRPr="00423C1D">
              <w:rPr>
                <w:rFonts w:ascii="NewBaskerville" w:hAnsi="NewBaskerville" w:cs="Calibri"/>
                <w:sz w:val="18"/>
                <w:szCs w:val="18"/>
                <w:lang w:val="es-ES"/>
              </w:rPr>
              <w:t>Altos cargos y Fuera de Convenio</w:t>
            </w:r>
          </w:p>
        </w:tc>
        <w:tc>
          <w:tcPr>
            <w:tcW w:w="2200" w:type="dxa"/>
            <w:tcBorders>
              <w:top w:val="nil"/>
              <w:left w:val="nil"/>
              <w:bottom w:val="single" w:sz="4" w:space="0" w:color="000000"/>
              <w:right w:val="nil"/>
            </w:tcBorders>
            <w:shd w:val="clear" w:color="auto" w:fill="auto"/>
            <w:noWrap/>
            <w:vAlign w:val="center"/>
            <w:hideMark/>
          </w:tcPr>
          <w:p w:rsidR="00423C1D" w:rsidRPr="00423C1D" w:rsidRDefault="00423C1D" w:rsidP="00423C1D">
            <w:pPr>
              <w:jc w:val="center"/>
              <w:rPr>
                <w:rFonts w:ascii="NewBaskerville" w:hAnsi="NewBaskerville" w:cs="Calibri"/>
                <w:color w:val="000000"/>
                <w:sz w:val="18"/>
                <w:szCs w:val="18"/>
                <w:lang w:val="es-ES"/>
              </w:rPr>
            </w:pPr>
            <w:r w:rsidRPr="00423C1D">
              <w:rPr>
                <w:rFonts w:ascii="NewBaskerville" w:hAnsi="NewBaskerville" w:cs="Calibri"/>
                <w:color w:val="000000"/>
                <w:sz w:val="18"/>
                <w:szCs w:val="18"/>
                <w:lang w:val="es-ES"/>
              </w:rPr>
              <w:t>22</w:t>
            </w:r>
          </w:p>
        </w:tc>
        <w:tc>
          <w:tcPr>
            <w:tcW w:w="2400" w:type="dxa"/>
            <w:tcBorders>
              <w:top w:val="nil"/>
              <w:left w:val="single" w:sz="4" w:space="0" w:color="auto"/>
              <w:bottom w:val="single" w:sz="4" w:space="0" w:color="000000"/>
              <w:right w:val="single" w:sz="8" w:space="0" w:color="000000"/>
            </w:tcBorders>
            <w:shd w:val="clear" w:color="auto" w:fill="auto"/>
            <w:noWrap/>
            <w:vAlign w:val="center"/>
            <w:hideMark/>
          </w:tcPr>
          <w:p w:rsidR="00423C1D" w:rsidRPr="00423C1D" w:rsidRDefault="00423C1D" w:rsidP="00423C1D">
            <w:pPr>
              <w:jc w:val="center"/>
              <w:rPr>
                <w:rFonts w:ascii="NewBaskerville" w:hAnsi="NewBaskerville" w:cs="Calibri"/>
                <w:color w:val="000000"/>
                <w:sz w:val="18"/>
                <w:szCs w:val="18"/>
                <w:lang w:val="es-ES"/>
              </w:rPr>
            </w:pPr>
            <w:r w:rsidRPr="00423C1D">
              <w:rPr>
                <w:rFonts w:ascii="NewBaskerville" w:hAnsi="NewBaskerville" w:cs="Calibri"/>
                <w:color w:val="000000"/>
                <w:sz w:val="18"/>
                <w:szCs w:val="18"/>
                <w:lang w:val="es-ES"/>
              </w:rPr>
              <w:t>5</w:t>
            </w:r>
          </w:p>
        </w:tc>
      </w:tr>
      <w:tr w:rsidR="00423C1D" w:rsidRPr="00423C1D" w:rsidTr="00423C1D">
        <w:trPr>
          <w:trHeight w:val="300"/>
        </w:trPr>
        <w:tc>
          <w:tcPr>
            <w:tcW w:w="3600" w:type="dxa"/>
            <w:gridSpan w:val="3"/>
            <w:tcBorders>
              <w:top w:val="single" w:sz="4" w:space="0" w:color="000000"/>
              <w:left w:val="single" w:sz="8" w:space="0" w:color="auto"/>
              <w:bottom w:val="single" w:sz="4" w:space="0" w:color="000000"/>
              <w:right w:val="single" w:sz="4" w:space="0" w:color="000000"/>
            </w:tcBorders>
            <w:shd w:val="clear" w:color="auto" w:fill="auto"/>
            <w:vAlign w:val="center"/>
            <w:hideMark/>
          </w:tcPr>
          <w:p w:rsidR="00423C1D" w:rsidRPr="00423C1D" w:rsidRDefault="00423C1D" w:rsidP="00423C1D">
            <w:pPr>
              <w:rPr>
                <w:rFonts w:ascii="NewBaskerville" w:hAnsi="NewBaskerville" w:cs="Calibri"/>
                <w:sz w:val="18"/>
                <w:szCs w:val="18"/>
                <w:lang w:val="es-ES"/>
              </w:rPr>
            </w:pPr>
            <w:r w:rsidRPr="00423C1D">
              <w:rPr>
                <w:rFonts w:ascii="NewBaskerville" w:hAnsi="NewBaskerville" w:cs="Calibri"/>
                <w:sz w:val="18"/>
                <w:szCs w:val="18"/>
                <w:lang w:val="es-ES"/>
              </w:rPr>
              <w:t>Responsables</w:t>
            </w:r>
          </w:p>
        </w:tc>
        <w:tc>
          <w:tcPr>
            <w:tcW w:w="2200" w:type="dxa"/>
            <w:tcBorders>
              <w:top w:val="single" w:sz="4" w:space="0" w:color="000000"/>
              <w:left w:val="nil"/>
              <w:bottom w:val="single" w:sz="4" w:space="0" w:color="000000"/>
              <w:right w:val="nil"/>
            </w:tcBorders>
            <w:shd w:val="clear" w:color="auto" w:fill="auto"/>
            <w:noWrap/>
            <w:vAlign w:val="center"/>
            <w:hideMark/>
          </w:tcPr>
          <w:p w:rsidR="00423C1D" w:rsidRPr="00423C1D" w:rsidRDefault="00423C1D" w:rsidP="00423C1D">
            <w:pPr>
              <w:jc w:val="center"/>
              <w:rPr>
                <w:rFonts w:ascii="NewBaskerville" w:hAnsi="NewBaskerville" w:cs="Calibri"/>
                <w:color w:val="000000"/>
                <w:sz w:val="18"/>
                <w:szCs w:val="18"/>
                <w:lang w:val="es-ES"/>
              </w:rPr>
            </w:pPr>
            <w:r w:rsidRPr="00423C1D">
              <w:rPr>
                <w:rFonts w:ascii="NewBaskerville" w:hAnsi="NewBaskerville" w:cs="Calibri"/>
                <w:color w:val="000000"/>
                <w:sz w:val="18"/>
                <w:szCs w:val="18"/>
                <w:lang w:val="es-ES"/>
              </w:rPr>
              <w:t>20</w:t>
            </w:r>
          </w:p>
        </w:tc>
        <w:tc>
          <w:tcPr>
            <w:tcW w:w="2400" w:type="dxa"/>
            <w:tcBorders>
              <w:top w:val="single" w:sz="4" w:space="0" w:color="000000"/>
              <w:left w:val="single" w:sz="4" w:space="0" w:color="auto"/>
              <w:bottom w:val="single" w:sz="4" w:space="0" w:color="000000"/>
              <w:right w:val="single" w:sz="8" w:space="0" w:color="000000"/>
            </w:tcBorders>
            <w:shd w:val="clear" w:color="auto" w:fill="auto"/>
            <w:noWrap/>
            <w:vAlign w:val="center"/>
            <w:hideMark/>
          </w:tcPr>
          <w:p w:rsidR="00423C1D" w:rsidRPr="00423C1D" w:rsidRDefault="00423C1D" w:rsidP="00423C1D">
            <w:pPr>
              <w:jc w:val="center"/>
              <w:rPr>
                <w:rFonts w:ascii="NewBaskerville" w:hAnsi="NewBaskerville" w:cs="Calibri"/>
                <w:color w:val="000000"/>
                <w:sz w:val="18"/>
                <w:szCs w:val="18"/>
                <w:lang w:val="es-ES"/>
              </w:rPr>
            </w:pPr>
            <w:r w:rsidRPr="00423C1D">
              <w:rPr>
                <w:rFonts w:ascii="NewBaskerville" w:hAnsi="NewBaskerville" w:cs="Calibri"/>
                <w:color w:val="000000"/>
                <w:sz w:val="18"/>
                <w:szCs w:val="18"/>
                <w:lang w:val="es-ES"/>
              </w:rPr>
              <w:t>8</w:t>
            </w:r>
          </w:p>
        </w:tc>
      </w:tr>
      <w:tr w:rsidR="00423C1D" w:rsidRPr="00423C1D" w:rsidTr="00423C1D">
        <w:trPr>
          <w:trHeight w:val="300"/>
        </w:trPr>
        <w:tc>
          <w:tcPr>
            <w:tcW w:w="3600" w:type="dxa"/>
            <w:gridSpan w:val="3"/>
            <w:tcBorders>
              <w:top w:val="single" w:sz="4" w:space="0" w:color="000000"/>
              <w:left w:val="single" w:sz="8" w:space="0" w:color="auto"/>
              <w:bottom w:val="single" w:sz="4" w:space="0" w:color="000000"/>
              <w:right w:val="single" w:sz="4" w:space="0" w:color="000000"/>
            </w:tcBorders>
            <w:shd w:val="clear" w:color="auto" w:fill="auto"/>
            <w:vAlign w:val="center"/>
            <w:hideMark/>
          </w:tcPr>
          <w:p w:rsidR="00423C1D" w:rsidRPr="00423C1D" w:rsidRDefault="00423C1D" w:rsidP="00423C1D">
            <w:pPr>
              <w:rPr>
                <w:rFonts w:ascii="NewBaskerville" w:hAnsi="NewBaskerville" w:cs="Calibri"/>
                <w:sz w:val="18"/>
                <w:szCs w:val="18"/>
                <w:lang w:val="es-ES"/>
              </w:rPr>
            </w:pPr>
            <w:r w:rsidRPr="00423C1D">
              <w:rPr>
                <w:rFonts w:ascii="NewBaskerville" w:hAnsi="NewBaskerville" w:cs="Calibri"/>
                <w:sz w:val="18"/>
                <w:szCs w:val="18"/>
                <w:lang w:val="es-ES"/>
              </w:rPr>
              <w:t>Técnicos</w:t>
            </w:r>
          </w:p>
        </w:tc>
        <w:tc>
          <w:tcPr>
            <w:tcW w:w="2200" w:type="dxa"/>
            <w:tcBorders>
              <w:top w:val="single" w:sz="4" w:space="0" w:color="000000"/>
              <w:left w:val="nil"/>
              <w:bottom w:val="single" w:sz="4" w:space="0" w:color="000000"/>
              <w:right w:val="nil"/>
            </w:tcBorders>
            <w:shd w:val="clear" w:color="auto" w:fill="auto"/>
            <w:noWrap/>
            <w:vAlign w:val="center"/>
            <w:hideMark/>
          </w:tcPr>
          <w:p w:rsidR="00423C1D" w:rsidRPr="00423C1D" w:rsidRDefault="00423C1D" w:rsidP="00423C1D">
            <w:pPr>
              <w:jc w:val="center"/>
              <w:rPr>
                <w:rFonts w:ascii="NewBaskerville" w:hAnsi="NewBaskerville" w:cs="Calibri"/>
                <w:color w:val="000000"/>
                <w:sz w:val="18"/>
                <w:szCs w:val="18"/>
                <w:lang w:val="es-ES"/>
              </w:rPr>
            </w:pPr>
            <w:r w:rsidRPr="00423C1D">
              <w:rPr>
                <w:rFonts w:ascii="NewBaskerville" w:hAnsi="NewBaskerville" w:cs="Calibri"/>
                <w:color w:val="000000"/>
                <w:sz w:val="18"/>
                <w:szCs w:val="18"/>
                <w:lang w:val="es-ES"/>
              </w:rPr>
              <w:t>46</w:t>
            </w:r>
          </w:p>
        </w:tc>
        <w:tc>
          <w:tcPr>
            <w:tcW w:w="2400" w:type="dxa"/>
            <w:tcBorders>
              <w:top w:val="single" w:sz="4" w:space="0" w:color="000000"/>
              <w:left w:val="single" w:sz="4" w:space="0" w:color="auto"/>
              <w:bottom w:val="single" w:sz="4" w:space="0" w:color="000000"/>
              <w:right w:val="single" w:sz="8" w:space="0" w:color="000000"/>
            </w:tcBorders>
            <w:shd w:val="clear" w:color="auto" w:fill="auto"/>
            <w:noWrap/>
            <w:vAlign w:val="center"/>
            <w:hideMark/>
          </w:tcPr>
          <w:p w:rsidR="00423C1D" w:rsidRPr="00423C1D" w:rsidRDefault="00423C1D" w:rsidP="00423C1D">
            <w:pPr>
              <w:jc w:val="center"/>
              <w:rPr>
                <w:rFonts w:ascii="NewBaskerville" w:hAnsi="NewBaskerville" w:cs="Calibri"/>
                <w:color w:val="000000"/>
                <w:sz w:val="18"/>
                <w:szCs w:val="18"/>
                <w:lang w:val="es-ES"/>
              </w:rPr>
            </w:pPr>
            <w:r w:rsidRPr="00423C1D">
              <w:rPr>
                <w:rFonts w:ascii="NewBaskerville" w:hAnsi="NewBaskerville" w:cs="Calibri"/>
                <w:color w:val="000000"/>
                <w:sz w:val="18"/>
                <w:szCs w:val="18"/>
                <w:lang w:val="es-ES"/>
              </w:rPr>
              <w:t>28</w:t>
            </w:r>
          </w:p>
        </w:tc>
      </w:tr>
      <w:tr w:rsidR="00423C1D" w:rsidRPr="00423C1D" w:rsidTr="00423C1D">
        <w:trPr>
          <w:trHeight w:val="345"/>
        </w:trPr>
        <w:tc>
          <w:tcPr>
            <w:tcW w:w="3600" w:type="dxa"/>
            <w:gridSpan w:val="3"/>
            <w:tcBorders>
              <w:top w:val="single" w:sz="4" w:space="0" w:color="000000"/>
              <w:left w:val="single" w:sz="8" w:space="0" w:color="auto"/>
              <w:bottom w:val="single" w:sz="4" w:space="0" w:color="000000"/>
              <w:right w:val="single" w:sz="4" w:space="0" w:color="000000"/>
            </w:tcBorders>
            <w:shd w:val="clear" w:color="auto" w:fill="auto"/>
            <w:vAlign w:val="center"/>
            <w:hideMark/>
          </w:tcPr>
          <w:p w:rsidR="00423C1D" w:rsidRPr="00423C1D" w:rsidRDefault="00423C1D" w:rsidP="00423C1D">
            <w:pPr>
              <w:rPr>
                <w:rFonts w:ascii="NewBaskerville" w:hAnsi="NewBaskerville" w:cs="Calibri"/>
                <w:sz w:val="18"/>
                <w:szCs w:val="18"/>
                <w:lang w:val="es-ES"/>
              </w:rPr>
            </w:pPr>
            <w:r w:rsidRPr="00423C1D">
              <w:rPr>
                <w:rFonts w:ascii="NewBaskerville" w:hAnsi="NewBaskerville" w:cs="Calibri"/>
                <w:sz w:val="18"/>
                <w:szCs w:val="18"/>
                <w:lang w:val="es-ES"/>
              </w:rPr>
              <w:t>Jefes de Equipo</w:t>
            </w:r>
          </w:p>
        </w:tc>
        <w:tc>
          <w:tcPr>
            <w:tcW w:w="2200" w:type="dxa"/>
            <w:tcBorders>
              <w:top w:val="single" w:sz="4" w:space="0" w:color="000000"/>
              <w:left w:val="nil"/>
              <w:bottom w:val="single" w:sz="4" w:space="0" w:color="000000"/>
              <w:right w:val="nil"/>
            </w:tcBorders>
            <w:shd w:val="clear" w:color="auto" w:fill="auto"/>
            <w:noWrap/>
            <w:vAlign w:val="center"/>
            <w:hideMark/>
          </w:tcPr>
          <w:p w:rsidR="00423C1D" w:rsidRPr="00423C1D" w:rsidRDefault="00423C1D" w:rsidP="00423C1D">
            <w:pPr>
              <w:jc w:val="center"/>
              <w:rPr>
                <w:rFonts w:ascii="NewBaskerville" w:hAnsi="NewBaskerville" w:cs="Calibri"/>
                <w:color w:val="000000"/>
                <w:sz w:val="18"/>
                <w:szCs w:val="18"/>
                <w:lang w:val="es-ES"/>
              </w:rPr>
            </w:pPr>
            <w:r w:rsidRPr="00423C1D">
              <w:rPr>
                <w:rFonts w:ascii="NewBaskerville" w:hAnsi="NewBaskerville" w:cs="Calibri"/>
                <w:color w:val="000000"/>
                <w:sz w:val="18"/>
                <w:szCs w:val="18"/>
                <w:lang w:val="es-ES"/>
              </w:rPr>
              <w:t>20</w:t>
            </w:r>
          </w:p>
        </w:tc>
        <w:tc>
          <w:tcPr>
            <w:tcW w:w="2400" w:type="dxa"/>
            <w:tcBorders>
              <w:top w:val="single" w:sz="4" w:space="0" w:color="000000"/>
              <w:left w:val="single" w:sz="4" w:space="0" w:color="auto"/>
              <w:bottom w:val="single" w:sz="4" w:space="0" w:color="000000"/>
              <w:right w:val="single" w:sz="8" w:space="0" w:color="000000"/>
            </w:tcBorders>
            <w:shd w:val="clear" w:color="auto" w:fill="auto"/>
            <w:noWrap/>
            <w:vAlign w:val="center"/>
            <w:hideMark/>
          </w:tcPr>
          <w:p w:rsidR="00423C1D" w:rsidRPr="00423C1D" w:rsidRDefault="00423C1D" w:rsidP="00423C1D">
            <w:pPr>
              <w:jc w:val="center"/>
              <w:rPr>
                <w:rFonts w:ascii="NewBaskerville" w:hAnsi="NewBaskerville" w:cs="Calibri"/>
                <w:color w:val="000000"/>
                <w:sz w:val="18"/>
                <w:szCs w:val="18"/>
                <w:lang w:val="es-ES"/>
              </w:rPr>
            </w:pPr>
            <w:r w:rsidRPr="00423C1D">
              <w:rPr>
                <w:rFonts w:ascii="NewBaskerville" w:hAnsi="NewBaskerville" w:cs="Calibri"/>
                <w:color w:val="000000"/>
                <w:sz w:val="18"/>
                <w:szCs w:val="18"/>
                <w:lang w:val="es-ES"/>
              </w:rPr>
              <w:t>1</w:t>
            </w:r>
          </w:p>
        </w:tc>
      </w:tr>
      <w:tr w:rsidR="00423C1D" w:rsidRPr="00423C1D" w:rsidTr="00423C1D">
        <w:trPr>
          <w:trHeight w:val="315"/>
        </w:trPr>
        <w:tc>
          <w:tcPr>
            <w:tcW w:w="3600" w:type="dxa"/>
            <w:gridSpan w:val="3"/>
            <w:tcBorders>
              <w:top w:val="single" w:sz="4" w:space="0" w:color="000000"/>
              <w:left w:val="single" w:sz="8" w:space="0" w:color="auto"/>
              <w:bottom w:val="nil"/>
              <w:right w:val="single" w:sz="4" w:space="0" w:color="000000"/>
            </w:tcBorders>
            <w:shd w:val="clear" w:color="auto" w:fill="auto"/>
            <w:vAlign w:val="center"/>
            <w:hideMark/>
          </w:tcPr>
          <w:p w:rsidR="00423C1D" w:rsidRPr="00423C1D" w:rsidRDefault="00423C1D" w:rsidP="00423C1D">
            <w:pPr>
              <w:rPr>
                <w:rFonts w:ascii="NewBaskerville" w:hAnsi="NewBaskerville" w:cs="Calibri"/>
                <w:sz w:val="18"/>
                <w:szCs w:val="18"/>
                <w:lang w:val="es-ES"/>
              </w:rPr>
            </w:pPr>
            <w:r w:rsidRPr="00423C1D">
              <w:rPr>
                <w:rFonts w:ascii="NewBaskerville" w:hAnsi="NewBaskerville" w:cs="Calibri"/>
                <w:sz w:val="18"/>
                <w:szCs w:val="18"/>
                <w:lang w:val="es-ES"/>
              </w:rPr>
              <w:t>Policía Portuaria, administrativos, oficiales</w:t>
            </w:r>
          </w:p>
        </w:tc>
        <w:tc>
          <w:tcPr>
            <w:tcW w:w="2200" w:type="dxa"/>
            <w:tcBorders>
              <w:top w:val="single" w:sz="4" w:space="0" w:color="000000"/>
              <w:left w:val="nil"/>
              <w:bottom w:val="nil"/>
              <w:right w:val="nil"/>
            </w:tcBorders>
            <w:shd w:val="clear" w:color="auto" w:fill="auto"/>
            <w:noWrap/>
            <w:vAlign w:val="center"/>
            <w:hideMark/>
          </w:tcPr>
          <w:p w:rsidR="00423C1D" w:rsidRPr="00423C1D" w:rsidRDefault="00423C1D" w:rsidP="00423C1D">
            <w:pPr>
              <w:jc w:val="center"/>
              <w:rPr>
                <w:rFonts w:ascii="NewBaskerville" w:hAnsi="NewBaskerville" w:cs="Calibri"/>
                <w:color w:val="000000"/>
                <w:sz w:val="18"/>
                <w:szCs w:val="18"/>
                <w:lang w:val="es-ES"/>
              </w:rPr>
            </w:pPr>
            <w:r w:rsidRPr="00423C1D">
              <w:rPr>
                <w:rFonts w:ascii="NewBaskerville" w:hAnsi="NewBaskerville" w:cs="Calibri"/>
                <w:color w:val="000000"/>
                <w:sz w:val="18"/>
                <w:szCs w:val="18"/>
                <w:lang w:val="es-ES"/>
              </w:rPr>
              <w:t>114</w:t>
            </w:r>
          </w:p>
        </w:tc>
        <w:tc>
          <w:tcPr>
            <w:tcW w:w="2400" w:type="dxa"/>
            <w:tcBorders>
              <w:top w:val="single" w:sz="4" w:space="0" w:color="000000"/>
              <w:left w:val="single" w:sz="4" w:space="0" w:color="auto"/>
              <w:bottom w:val="nil"/>
              <w:right w:val="single" w:sz="8" w:space="0" w:color="000000"/>
            </w:tcBorders>
            <w:shd w:val="clear" w:color="auto" w:fill="auto"/>
            <w:noWrap/>
            <w:vAlign w:val="center"/>
            <w:hideMark/>
          </w:tcPr>
          <w:p w:rsidR="00423C1D" w:rsidRPr="00423C1D" w:rsidRDefault="00423C1D" w:rsidP="00423C1D">
            <w:pPr>
              <w:jc w:val="center"/>
              <w:rPr>
                <w:rFonts w:ascii="NewBaskerville" w:hAnsi="NewBaskerville" w:cs="Calibri"/>
                <w:color w:val="000000"/>
                <w:sz w:val="18"/>
                <w:szCs w:val="18"/>
                <w:lang w:val="es-ES"/>
              </w:rPr>
            </w:pPr>
            <w:r w:rsidRPr="00423C1D">
              <w:rPr>
                <w:rFonts w:ascii="NewBaskerville" w:hAnsi="NewBaskerville" w:cs="Calibri"/>
                <w:color w:val="000000"/>
                <w:sz w:val="18"/>
                <w:szCs w:val="18"/>
                <w:lang w:val="es-ES"/>
              </w:rPr>
              <w:t>28</w:t>
            </w:r>
          </w:p>
        </w:tc>
      </w:tr>
      <w:tr w:rsidR="00423C1D" w:rsidRPr="00423C1D" w:rsidTr="00423C1D">
        <w:trPr>
          <w:trHeight w:val="315"/>
        </w:trPr>
        <w:tc>
          <w:tcPr>
            <w:tcW w:w="3600" w:type="dxa"/>
            <w:gridSpan w:val="3"/>
            <w:tcBorders>
              <w:top w:val="single" w:sz="8" w:space="0" w:color="auto"/>
              <w:left w:val="single" w:sz="8" w:space="0" w:color="auto"/>
              <w:bottom w:val="single" w:sz="8" w:space="0" w:color="auto"/>
              <w:right w:val="single" w:sz="4" w:space="0" w:color="000000"/>
            </w:tcBorders>
            <w:shd w:val="clear" w:color="auto" w:fill="auto"/>
            <w:hideMark/>
          </w:tcPr>
          <w:p w:rsidR="00423C1D" w:rsidRPr="00423C1D" w:rsidRDefault="00423C1D" w:rsidP="00423C1D">
            <w:pPr>
              <w:rPr>
                <w:rFonts w:ascii="NewBaskerville" w:hAnsi="NewBaskerville" w:cs="Calibri"/>
                <w:b/>
                <w:bCs/>
                <w:sz w:val="18"/>
                <w:szCs w:val="18"/>
                <w:lang w:val="es-ES"/>
              </w:rPr>
            </w:pPr>
            <w:r w:rsidRPr="00423C1D">
              <w:rPr>
                <w:rFonts w:ascii="NewBaskerville" w:hAnsi="NewBaskerville" w:cs="Calibri"/>
                <w:b/>
                <w:bCs/>
                <w:sz w:val="18"/>
                <w:szCs w:val="18"/>
                <w:lang w:val="es-ES"/>
              </w:rPr>
              <w:t>TOTAL</w:t>
            </w:r>
          </w:p>
        </w:tc>
        <w:tc>
          <w:tcPr>
            <w:tcW w:w="2200" w:type="dxa"/>
            <w:tcBorders>
              <w:top w:val="single" w:sz="8" w:space="0" w:color="auto"/>
              <w:left w:val="nil"/>
              <w:bottom w:val="single" w:sz="8" w:space="0" w:color="auto"/>
              <w:right w:val="nil"/>
            </w:tcBorders>
            <w:shd w:val="clear" w:color="000000" w:fill="FFFFFF"/>
            <w:noWrap/>
            <w:vAlign w:val="center"/>
            <w:hideMark/>
          </w:tcPr>
          <w:p w:rsidR="00423C1D" w:rsidRPr="00423C1D" w:rsidRDefault="00423C1D" w:rsidP="00423C1D">
            <w:pPr>
              <w:jc w:val="center"/>
              <w:rPr>
                <w:rFonts w:ascii="NewBaskerville" w:hAnsi="NewBaskerville" w:cs="Calibri"/>
                <w:b/>
                <w:bCs/>
                <w:color w:val="000000"/>
                <w:sz w:val="18"/>
                <w:szCs w:val="18"/>
                <w:lang w:val="es-ES"/>
              </w:rPr>
            </w:pPr>
            <w:r w:rsidRPr="00423C1D">
              <w:rPr>
                <w:rFonts w:ascii="NewBaskerville" w:hAnsi="NewBaskerville" w:cs="Calibri"/>
                <w:b/>
                <w:bCs/>
                <w:color w:val="000000"/>
                <w:sz w:val="18"/>
                <w:szCs w:val="18"/>
                <w:lang w:val="es-ES"/>
              </w:rPr>
              <w:t>221</w:t>
            </w:r>
          </w:p>
        </w:tc>
        <w:tc>
          <w:tcPr>
            <w:tcW w:w="2400" w:type="dxa"/>
            <w:tcBorders>
              <w:top w:val="single" w:sz="8" w:space="0" w:color="auto"/>
              <w:left w:val="single" w:sz="4" w:space="0" w:color="auto"/>
              <w:bottom w:val="single" w:sz="8" w:space="0" w:color="auto"/>
              <w:right w:val="single" w:sz="8" w:space="0" w:color="000000"/>
            </w:tcBorders>
            <w:shd w:val="clear" w:color="000000" w:fill="FFFFFF"/>
            <w:noWrap/>
            <w:vAlign w:val="center"/>
            <w:hideMark/>
          </w:tcPr>
          <w:p w:rsidR="00423C1D" w:rsidRPr="00423C1D" w:rsidRDefault="00423C1D" w:rsidP="00423C1D">
            <w:pPr>
              <w:jc w:val="center"/>
              <w:rPr>
                <w:rFonts w:ascii="NewBaskerville" w:hAnsi="NewBaskerville" w:cs="Calibri"/>
                <w:b/>
                <w:bCs/>
                <w:color w:val="000000"/>
                <w:sz w:val="18"/>
                <w:szCs w:val="18"/>
                <w:lang w:val="es-ES"/>
              </w:rPr>
            </w:pPr>
            <w:r w:rsidRPr="00423C1D">
              <w:rPr>
                <w:rFonts w:ascii="NewBaskerville" w:hAnsi="NewBaskerville" w:cs="Calibri"/>
                <w:b/>
                <w:bCs/>
                <w:color w:val="000000"/>
                <w:sz w:val="18"/>
                <w:szCs w:val="18"/>
                <w:lang w:val="es-ES"/>
              </w:rPr>
              <w:t>70</w:t>
            </w:r>
          </w:p>
        </w:tc>
      </w:tr>
    </w:tbl>
    <w:p w:rsidR="00431338" w:rsidRDefault="00431338" w:rsidP="00570EBA">
      <w:pPr>
        <w:pStyle w:val="Sangra3detindependiente"/>
        <w:tabs>
          <w:tab w:val="clear" w:pos="5671"/>
          <w:tab w:val="clear" w:pos="7797"/>
          <w:tab w:val="right" w:pos="3403"/>
        </w:tabs>
        <w:spacing w:before="120"/>
        <w:rPr>
          <w:bCs/>
          <w:sz w:val="20"/>
          <w:szCs w:val="20"/>
        </w:rPr>
      </w:pPr>
    </w:p>
    <w:p w:rsidR="00423C1D" w:rsidRDefault="00423C1D" w:rsidP="00570EBA">
      <w:pPr>
        <w:pStyle w:val="Sangra3detindependiente"/>
        <w:tabs>
          <w:tab w:val="clear" w:pos="5671"/>
          <w:tab w:val="clear" w:pos="7797"/>
          <w:tab w:val="right" w:pos="3403"/>
        </w:tabs>
        <w:spacing w:before="120"/>
        <w:rPr>
          <w:bCs/>
          <w:sz w:val="20"/>
          <w:szCs w:val="20"/>
        </w:rPr>
      </w:pPr>
    </w:p>
    <w:p w:rsidR="00245534" w:rsidRDefault="00245534" w:rsidP="00EF6B46">
      <w:pPr>
        <w:tabs>
          <w:tab w:val="right" w:pos="8364"/>
        </w:tabs>
        <w:ind w:firstLine="540"/>
        <w:jc w:val="both"/>
        <w:rPr>
          <w:bCs/>
          <w:sz w:val="24"/>
        </w:rPr>
      </w:pPr>
    </w:p>
    <w:p w:rsidR="001052A7" w:rsidRDefault="001052A7" w:rsidP="0081769D">
      <w:pPr>
        <w:tabs>
          <w:tab w:val="right" w:pos="8364"/>
        </w:tabs>
        <w:jc w:val="both"/>
        <w:rPr>
          <w:rFonts w:ascii="NewBaskerville" w:hAnsi="NewBaskerville"/>
          <w:b/>
          <w:bCs/>
          <w:sz w:val="24"/>
          <w:szCs w:val="24"/>
        </w:rPr>
      </w:pPr>
    </w:p>
    <w:p w:rsidR="0058608E" w:rsidRDefault="0058608E" w:rsidP="0081769D">
      <w:pPr>
        <w:tabs>
          <w:tab w:val="right" w:pos="8364"/>
        </w:tabs>
        <w:jc w:val="both"/>
        <w:rPr>
          <w:rFonts w:ascii="NewBaskerville" w:hAnsi="NewBaskerville"/>
          <w:b/>
          <w:bCs/>
          <w:sz w:val="24"/>
          <w:szCs w:val="24"/>
        </w:rPr>
      </w:pPr>
    </w:p>
    <w:p w:rsidR="00EF6B46" w:rsidRPr="004B5CEB" w:rsidRDefault="00EF6B46" w:rsidP="0081769D">
      <w:pPr>
        <w:tabs>
          <w:tab w:val="right" w:pos="8364"/>
        </w:tabs>
        <w:jc w:val="both"/>
        <w:rPr>
          <w:rFonts w:ascii="NewBaskerville" w:hAnsi="NewBaskerville"/>
          <w:b/>
          <w:bCs/>
          <w:sz w:val="24"/>
          <w:szCs w:val="24"/>
        </w:rPr>
      </w:pPr>
      <w:r w:rsidRPr="004B5CEB">
        <w:rPr>
          <w:rFonts w:ascii="NewBaskerville" w:hAnsi="NewBaskerville"/>
          <w:b/>
          <w:bCs/>
          <w:sz w:val="24"/>
          <w:szCs w:val="24"/>
        </w:rPr>
        <w:t>1</w:t>
      </w:r>
      <w:r w:rsidR="00A00693" w:rsidRPr="004B5CEB">
        <w:rPr>
          <w:rFonts w:ascii="NewBaskerville" w:hAnsi="NewBaskerville"/>
          <w:b/>
          <w:bCs/>
          <w:sz w:val="24"/>
          <w:szCs w:val="24"/>
        </w:rPr>
        <w:t>7</w:t>
      </w:r>
      <w:r w:rsidR="002019D4" w:rsidRPr="004B5CEB">
        <w:rPr>
          <w:rFonts w:ascii="NewBaskerville" w:hAnsi="NewBaskerville"/>
          <w:b/>
          <w:bCs/>
          <w:sz w:val="24"/>
          <w:szCs w:val="24"/>
        </w:rPr>
        <w:t xml:space="preserve">. </w:t>
      </w:r>
      <w:r w:rsidRPr="004B5CEB">
        <w:rPr>
          <w:rFonts w:ascii="NewBaskerville" w:hAnsi="NewBaskerville"/>
          <w:b/>
          <w:bCs/>
          <w:sz w:val="24"/>
          <w:szCs w:val="24"/>
        </w:rPr>
        <w:t>Remuneraciones de consejeros</w:t>
      </w:r>
    </w:p>
    <w:p w:rsidR="00EF6B46" w:rsidRPr="004B5CEB" w:rsidRDefault="00EF6B46" w:rsidP="008D534C">
      <w:pPr>
        <w:tabs>
          <w:tab w:val="right" w:pos="8364"/>
        </w:tabs>
        <w:jc w:val="both"/>
        <w:rPr>
          <w:rFonts w:ascii="NewBaskerville" w:hAnsi="NewBaskerville"/>
        </w:rPr>
      </w:pPr>
    </w:p>
    <w:p w:rsidR="00C43B1A" w:rsidRPr="004B5CEB" w:rsidRDefault="00EF6B46" w:rsidP="00C43B1A">
      <w:pPr>
        <w:tabs>
          <w:tab w:val="right" w:pos="8364"/>
        </w:tabs>
        <w:ind w:firstLine="567"/>
        <w:jc w:val="both"/>
        <w:rPr>
          <w:rFonts w:ascii="NewBaskerville" w:hAnsi="NewBaskerville"/>
        </w:rPr>
      </w:pPr>
      <w:r w:rsidRPr="004B5CEB">
        <w:rPr>
          <w:rFonts w:ascii="NewBaskerville" w:hAnsi="NewBaskerville"/>
        </w:rPr>
        <w:t xml:space="preserve">Los miembros del Consejo de Administración por acuerdo del mismo de día 13 de </w:t>
      </w:r>
      <w:r w:rsidR="00A861CC">
        <w:rPr>
          <w:rFonts w:ascii="NewBaskerville" w:hAnsi="NewBaskerville"/>
        </w:rPr>
        <w:t>d</w:t>
      </w:r>
      <w:r w:rsidRPr="004B5CEB">
        <w:rPr>
          <w:rFonts w:ascii="NewBaskerville" w:hAnsi="NewBaskerville"/>
        </w:rPr>
        <w:t>iciembre de 2001 cobran dietas por asis</w:t>
      </w:r>
      <w:r w:rsidR="001164D2" w:rsidRPr="004B5CEB">
        <w:rPr>
          <w:rFonts w:ascii="NewBaskerville" w:hAnsi="NewBaskerville"/>
        </w:rPr>
        <w:t>t</w:t>
      </w:r>
      <w:r w:rsidR="00D07CEE" w:rsidRPr="004B5CEB">
        <w:rPr>
          <w:rFonts w:ascii="NewBaskerville" w:hAnsi="NewBaskerville"/>
        </w:rPr>
        <w:t>encia. Durante el ejercicio 202</w:t>
      </w:r>
      <w:r w:rsidR="00395199">
        <w:rPr>
          <w:rFonts w:ascii="NewBaskerville" w:hAnsi="NewBaskerville"/>
        </w:rPr>
        <w:t>3</w:t>
      </w:r>
      <w:r w:rsidRPr="004B5CEB">
        <w:rPr>
          <w:rFonts w:ascii="NewBaskerville" w:hAnsi="NewBaskerville"/>
        </w:rPr>
        <w:t xml:space="preserve"> se han pagado </w:t>
      </w:r>
      <w:r w:rsidR="00D07CEE" w:rsidRPr="004B5CEB">
        <w:rPr>
          <w:rFonts w:ascii="NewBaskerville" w:hAnsi="NewBaskerville"/>
        </w:rPr>
        <w:t>1</w:t>
      </w:r>
      <w:r w:rsidR="00395199">
        <w:rPr>
          <w:rFonts w:ascii="NewBaskerville" w:hAnsi="NewBaskerville"/>
        </w:rPr>
        <w:t>61</w:t>
      </w:r>
      <w:r w:rsidR="00D07CEE" w:rsidRPr="004B5CEB">
        <w:rPr>
          <w:rFonts w:ascii="NewBaskerville" w:hAnsi="NewBaskerville"/>
        </w:rPr>
        <w:t>.</w:t>
      </w:r>
      <w:r w:rsidR="00395199">
        <w:rPr>
          <w:rFonts w:ascii="NewBaskerville" w:hAnsi="NewBaskerville"/>
        </w:rPr>
        <w:t>946,</w:t>
      </w:r>
      <w:r w:rsidR="00D125AB">
        <w:rPr>
          <w:rFonts w:ascii="NewBaskerville" w:hAnsi="NewBaskerville"/>
        </w:rPr>
        <w:t>1</w:t>
      </w:r>
      <w:r w:rsidR="00395199">
        <w:rPr>
          <w:rFonts w:ascii="NewBaskerville" w:hAnsi="NewBaskerville"/>
        </w:rPr>
        <w:t>4</w:t>
      </w:r>
      <w:r w:rsidR="00D07CEE" w:rsidRPr="004B5CEB">
        <w:rPr>
          <w:rFonts w:ascii="NewBaskerville" w:hAnsi="NewBaskerville"/>
        </w:rPr>
        <w:t xml:space="preserve"> euros (202</w:t>
      </w:r>
      <w:r w:rsidR="00395199">
        <w:rPr>
          <w:rFonts w:ascii="NewBaskerville" w:hAnsi="NewBaskerville"/>
        </w:rPr>
        <w:t>2</w:t>
      </w:r>
      <w:r w:rsidR="00C43B1A" w:rsidRPr="004B5CEB">
        <w:rPr>
          <w:rFonts w:ascii="NewBaskerville" w:hAnsi="NewBaskerville"/>
        </w:rPr>
        <w:t xml:space="preserve">: </w:t>
      </w:r>
      <w:r w:rsidR="00956562">
        <w:rPr>
          <w:rFonts w:ascii="NewBaskerville" w:hAnsi="NewBaskerville"/>
        </w:rPr>
        <w:t>1</w:t>
      </w:r>
      <w:r w:rsidR="00395199">
        <w:rPr>
          <w:rFonts w:ascii="NewBaskerville" w:hAnsi="NewBaskerville"/>
        </w:rPr>
        <w:t>58</w:t>
      </w:r>
      <w:r w:rsidR="00D07CEE" w:rsidRPr="004B5CEB">
        <w:rPr>
          <w:rFonts w:ascii="NewBaskerville" w:hAnsi="NewBaskerville"/>
          <w:color w:val="000000"/>
          <w:lang w:eastAsia="es-ES_tradnl"/>
        </w:rPr>
        <w:t>.</w:t>
      </w:r>
      <w:r w:rsidR="00395199">
        <w:rPr>
          <w:rFonts w:ascii="NewBaskerville" w:hAnsi="NewBaskerville"/>
          <w:color w:val="000000"/>
          <w:lang w:eastAsia="es-ES_tradnl"/>
        </w:rPr>
        <w:t>543</w:t>
      </w:r>
      <w:r w:rsidR="00D07CEE" w:rsidRPr="004B5CEB">
        <w:rPr>
          <w:rFonts w:ascii="NewBaskerville" w:hAnsi="NewBaskerville"/>
          <w:color w:val="000000"/>
          <w:lang w:eastAsia="es-ES_tradnl"/>
        </w:rPr>
        <w:t>,</w:t>
      </w:r>
      <w:r w:rsidR="00395199">
        <w:rPr>
          <w:rFonts w:ascii="NewBaskerville" w:hAnsi="NewBaskerville"/>
          <w:color w:val="000000"/>
          <w:lang w:eastAsia="es-ES_tradnl"/>
        </w:rPr>
        <w:t>10</w:t>
      </w:r>
      <w:r w:rsidR="00D07CEE" w:rsidRPr="004B5CEB">
        <w:rPr>
          <w:rFonts w:ascii="NewBaskerville" w:hAnsi="NewBaskerville"/>
          <w:color w:val="000000"/>
          <w:lang w:eastAsia="es-ES_tradnl"/>
        </w:rPr>
        <w:t xml:space="preserve"> e</w:t>
      </w:r>
      <w:r w:rsidR="00C43B1A" w:rsidRPr="004B5CEB">
        <w:rPr>
          <w:rFonts w:ascii="NewBaskerville" w:hAnsi="NewBaskerville"/>
        </w:rPr>
        <w:t>uros).</w:t>
      </w:r>
    </w:p>
    <w:p w:rsidR="00EF6B46" w:rsidRPr="004B5CEB" w:rsidRDefault="00EF6B46" w:rsidP="00C43B1A">
      <w:pPr>
        <w:tabs>
          <w:tab w:val="right" w:pos="8364"/>
        </w:tabs>
        <w:jc w:val="both"/>
        <w:rPr>
          <w:rFonts w:ascii="NewBaskerville" w:hAnsi="NewBaskerville"/>
        </w:rPr>
      </w:pPr>
    </w:p>
    <w:p w:rsidR="00EF6B46" w:rsidRPr="004B5CEB" w:rsidRDefault="00EF6B46" w:rsidP="00EF6B46">
      <w:pPr>
        <w:tabs>
          <w:tab w:val="right" w:pos="8364"/>
        </w:tabs>
        <w:ind w:firstLine="567"/>
        <w:jc w:val="both"/>
        <w:rPr>
          <w:rFonts w:ascii="NewBaskerville" w:hAnsi="NewBaskerville"/>
        </w:rPr>
      </w:pPr>
      <w:r w:rsidRPr="004B5CEB">
        <w:rPr>
          <w:rFonts w:ascii="NewBaskerville" w:hAnsi="NewBaskerville"/>
        </w:rPr>
        <w:t>Ninguno de los Consejeros de la Entidad ostenta participaciones en el capital social, ni ostenta cargo alguno en Sociedades con análogo o complementario objeto social</w:t>
      </w:r>
      <w:r w:rsidR="00B97531" w:rsidRPr="004B5CEB">
        <w:rPr>
          <w:rFonts w:ascii="NewBaskerville" w:hAnsi="NewBaskerville"/>
        </w:rPr>
        <w:t>.</w:t>
      </w:r>
      <w:r w:rsidRPr="004B5CEB">
        <w:rPr>
          <w:rFonts w:ascii="NewBaskerville" w:hAnsi="NewBaskerville"/>
        </w:rPr>
        <w:t xml:space="preserve"> </w:t>
      </w:r>
    </w:p>
    <w:p w:rsidR="008A1987" w:rsidRDefault="008A1987" w:rsidP="00EF6B46">
      <w:pPr>
        <w:tabs>
          <w:tab w:val="right" w:pos="8364"/>
        </w:tabs>
        <w:ind w:firstLine="567"/>
        <w:jc w:val="both"/>
      </w:pPr>
    </w:p>
    <w:p w:rsidR="00EF6B46" w:rsidRDefault="00EF6B46" w:rsidP="00EF6B46">
      <w:pPr>
        <w:tabs>
          <w:tab w:val="right" w:pos="8364"/>
        </w:tabs>
        <w:ind w:firstLine="567"/>
        <w:jc w:val="both"/>
        <w:rPr>
          <w:sz w:val="24"/>
        </w:rPr>
      </w:pPr>
    </w:p>
    <w:p w:rsidR="00050985" w:rsidRDefault="00050985" w:rsidP="00EF6B46">
      <w:pPr>
        <w:tabs>
          <w:tab w:val="right" w:pos="8364"/>
        </w:tabs>
        <w:ind w:firstLine="567"/>
        <w:jc w:val="both"/>
        <w:rPr>
          <w:sz w:val="24"/>
        </w:rPr>
      </w:pPr>
    </w:p>
    <w:p w:rsidR="00EF6B46" w:rsidRPr="00803B43" w:rsidRDefault="002E417C" w:rsidP="00EF6B46">
      <w:pPr>
        <w:tabs>
          <w:tab w:val="right" w:pos="8364"/>
        </w:tabs>
        <w:ind w:left="567" w:hanging="567"/>
        <w:jc w:val="both"/>
        <w:rPr>
          <w:rFonts w:ascii="NewBaskerville" w:hAnsi="NewBaskerville"/>
          <w:b/>
          <w:bCs/>
          <w:sz w:val="24"/>
          <w:szCs w:val="24"/>
        </w:rPr>
      </w:pPr>
      <w:r w:rsidRPr="00803B43">
        <w:rPr>
          <w:rFonts w:ascii="NewBaskerville" w:hAnsi="NewBaskerville"/>
          <w:b/>
          <w:bCs/>
          <w:sz w:val="24"/>
          <w:szCs w:val="24"/>
        </w:rPr>
        <w:t>18</w:t>
      </w:r>
      <w:r w:rsidR="002019D4" w:rsidRPr="00803B43">
        <w:rPr>
          <w:rFonts w:ascii="NewBaskerville" w:hAnsi="NewBaskerville"/>
          <w:b/>
          <w:bCs/>
          <w:sz w:val="24"/>
          <w:szCs w:val="24"/>
        </w:rPr>
        <w:t xml:space="preserve">. </w:t>
      </w:r>
      <w:r w:rsidR="00803B43">
        <w:rPr>
          <w:rFonts w:ascii="NewBaskerville" w:hAnsi="NewBaskerville"/>
          <w:b/>
          <w:bCs/>
          <w:sz w:val="24"/>
          <w:szCs w:val="24"/>
        </w:rPr>
        <w:t>Información sobre el período medio de pago a proveedores en operaciones comerciales.</w:t>
      </w:r>
    </w:p>
    <w:p w:rsidR="00EF6B46" w:rsidRDefault="00EF6B46" w:rsidP="00EF6B46">
      <w:pPr>
        <w:pStyle w:val="Textoindependiente"/>
        <w:keepLines/>
      </w:pPr>
    </w:p>
    <w:p w:rsidR="000D0B74" w:rsidRDefault="000214BB" w:rsidP="000214BB">
      <w:pPr>
        <w:pStyle w:val="Sangradetextonormal"/>
        <w:tabs>
          <w:tab w:val="clear" w:pos="8364"/>
          <w:tab w:val="right" w:pos="8222"/>
        </w:tabs>
        <w:rPr>
          <w:rFonts w:ascii="NewBaskerville" w:hAnsi="NewBaskerville"/>
          <w:sz w:val="20"/>
        </w:rPr>
      </w:pPr>
      <w:r w:rsidRPr="00803B43">
        <w:rPr>
          <w:rFonts w:ascii="NewBaskerville" w:hAnsi="NewBaskerville"/>
          <w:sz w:val="20"/>
        </w:rPr>
        <w:t xml:space="preserve">No existen aplazamientos de pago. Se detalla </w:t>
      </w:r>
      <w:r w:rsidR="00EF6B46" w:rsidRPr="00803B43">
        <w:rPr>
          <w:rFonts w:ascii="NewBaskerville" w:hAnsi="NewBaskerville"/>
          <w:sz w:val="20"/>
        </w:rPr>
        <w:t>l</w:t>
      </w:r>
      <w:r w:rsidRPr="00803B43">
        <w:rPr>
          <w:rFonts w:ascii="NewBaskerville" w:hAnsi="NewBaskerville"/>
          <w:sz w:val="20"/>
        </w:rPr>
        <w:t xml:space="preserve">a información </w:t>
      </w:r>
      <w:r w:rsidR="00EF6B46" w:rsidRPr="00803B43">
        <w:rPr>
          <w:rFonts w:ascii="NewBaskerville" w:hAnsi="NewBaskerville"/>
          <w:sz w:val="20"/>
        </w:rPr>
        <w:t>de pagos realizados a</w:t>
      </w:r>
      <w:r w:rsidRPr="00803B43">
        <w:rPr>
          <w:rFonts w:ascii="NewBaskerville" w:hAnsi="NewBaskerville"/>
          <w:sz w:val="20"/>
        </w:rPr>
        <w:t xml:space="preserve"> proveedores en operaciones comerciales en los</w:t>
      </w:r>
      <w:r w:rsidR="00EF6B46" w:rsidRPr="00803B43">
        <w:rPr>
          <w:rFonts w:ascii="NewBaskerville" w:hAnsi="NewBaskerville"/>
          <w:sz w:val="20"/>
        </w:rPr>
        <w:t xml:space="preserve"> ejercicio</w:t>
      </w:r>
      <w:r w:rsidRPr="00803B43">
        <w:rPr>
          <w:rFonts w:ascii="NewBaskerville" w:hAnsi="NewBaskerville"/>
          <w:sz w:val="20"/>
        </w:rPr>
        <w:t>s 202</w:t>
      </w:r>
      <w:r w:rsidR="00395199">
        <w:rPr>
          <w:rFonts w:ascii="NewBaskerville" w:hAnsi="NewBaskerville"/>
          <w:sz w:val="20"/>
        </w:rPr>
        <w:t>3</w:t>
      </w:r>
      <w:r w:rsidRPr="00803B43">
        <w:rPr>
          <w:rFonts w:ascii="NewBaskerville" w:hAnsi="NewBaskerville"/>
          <w:sz w:val="20"/>
        </w:rPr>
        <w:t xml:space="preserve"> y 202</w:t>
      </w:r>
      <w:r w:rsidR="00395199">
        <w:rPr>
          <w:rFonts w:ascii="NewBaskerville" w:hAnsi="NewBaskerville"/>
          <w:sz w:val="20"/>
        </w:rPr>
        <w:t>2</w:t>
      </w:r>
      <w:r w:rsidRPr="00803B43">
        <w:rPr>
          <w:rFonts w:ascii="NewBaskerville" w:hAnsi="NewBaskerville"/>
          <w:sz w:val="20"/>
        </w:rPr>
        <w:t>:</w:t>
      </w:r>
    </w:p>
    <w:p w:rsidR="00991EBD" w:rsidRDefault="00991EBD" w:rsidP="000214BB">
      <w:pPr>
        <w:pStyle w:val="Sangradetextonormal"/>
        <w:tabs>
          <w:tab w:val="clear" w:pos="8364"/>
          <w:tab w:val="right" w:pos="8222"/>
        </w:tabs>
        <w:rPr>
          <w:rFonts w:ascii="NewBaskerville" w:hAnsi="NewBaskerville"/>
          <w:sz w:val="20"/>
        </w:rPr>
      </w:pPr>
    </w:p>
    <w:tbl>
      <w:tblPr>
        <w:tblW w:w="5000" w:type="pct"/>
        <w:tblCellMar>
          <w:left w:w="70" w:type="dxa"/>
          <w:right w:w="70" w:type="dxa"/>
        </w:tblCellMar>
        <w:tblLook w:val="04A0" w:firstRow="1" w:lastRow="0" w:firstColumn="1" w:lastColumn="0" w:noHBand="0" w:noVBand="1"/>
      </w:tblPr>
      <w:tblGrid>
        <w:gridCol w:w="1415"/>
        <w:gridCol w:w="1416"/>
        <w:gridCol w:w="1195"/>
        <w:gridCol w:w="2341"/>
        <w:gridCol w:w="2277"/>
      </w:tblGrid>
      <w:tr w:rsidR="00395199" w:rsidRPr="00395199" w:rsidTr="00395199">
        <w:trPr>
          <w:trHeight w:val="465"/>
        </w:trPr>
        <w:tc>
          <w:tcPr>
            <w:tcW w:w="5000" w:type="pct"/>
            <w:gridSpan w:val="5"/>
            <w:tcBorders>
              <w:top w:val="nil"/>
              <w:left w:val="nil"/>
              <w:bottom w:val="nil"/>
              <w:right w:val="nil"/>
            </w:tcBorders>
            <w:shd w:val="clear" w:color="auto" w:fill="auto"/>
            <w:vAlign w:val="bottom"/>
            <w:hideMark/>
          </w:tcPr>
          <w:p w:rsidR="00395199" w:rsidRPr="00395199" w:rsidRDefault="00395199" w:rsidP="00395199">
            <w:pPr>
              <w:rPr>
                <w:rFonts w:ascii="Lucida Bright" w:hAnsi="Lucida Bright" w:cs="Calibri"/>
                <w:b/>
                <w:bCs/>
                <w:color w:val="000000"/>
                <w:sz w:val="14"/>
                <w:szCs w:val="14"/>
                <w:lang w:val="es-ES"/>
              </w:rPr>
            </w:pPr>
            <w:r w:rsidRPr="00395199">
              <w:rPr>
                <w:rFonts w:ascii="Lucida Bright" w:hAnsi="Lucida Bright" w:cs="Calibri"/>
                <w:b/>
                <w:bCs/>
                <w:color w:val="000000"/>
                <w:sz w:val="14"/>
                <w:szCs w:val="14"/>
                <w:lang w:val="es-ES"/>
              </w:rPr>
              <w:t>Información sobre el periodo medio de pago a proveedores en operaciones comerciales.</w:t>
            </w:r>
          </w:p>
        </w:tc>
      </w:tr>
      <w:tr w:rsidR="00395199" w:rsidRPr="00395199" w:rsidTr="00395199">
        <w:trPr>
          <w:trHeight w:val="240"/>
        </w:trPr>
        <w:tc>
          <w:tcPr>
            <w:tcW w:w="819" w:type="pct"/>
            <w:tcBorders>
              <w:top w:val="single" w:sz="8" w:space="0" w:color="auto"/>
              <w:left w:val="single" w:sz="8" w:space="0" w:color="auto"/>
              <w:bottom w:val="nil"/>
              <w:right w:val="nil"/>
            </w:tcBorders>
            <w:shd w:val="clear" w:color="000000" w:fill="CCFFCC"/>
            <w:noWrap/>
            <w:vAlign w:val="bottom"/>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 </w:t>
            </w:r>
          </w:p>
        </w:tc>
        <w:tc>
          <w:tcPr>
            <w:tcW w:w="819" w:type="pct"/>
            <w:tcBorders>
              <w:top w:val="single" w:sz="8" w:space="0" w:color="auto"/>
              <w:left w:val="nil"/>
              <w:bottom w:val="nil"/>
              <w:right w:val="nil"/>
            </w:tcBorders>
            <w:shd w:val="clear" w:color="000000" w:fill="CCFFCC"/>
            <w:noWrap/>
            <w:vAlign w:val="bottom"/>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 </w:t>
            </w:r>
          </w:p>
        </w:tc>
        <w:tc>
          <w:tcPr>
            <w:tcW w:w="691" w:type="pct"/>
            <w:tcBorders>
              <w:top w:val="single" w:sz="8" w:space="0" w:color="auto"/>
              <w:left w:val="nil"/>
              <w:bottom w:val="nil"/>
              <w:right w:val="nil"/>
            </w:tcBorders>
            <w:shd w:val="clear" w:color="000000" w:fill="CCFFCC"/>
            <w:noWrap/>
            <w:vAlign w:val="bottom"/>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 </w:t>
            </w:r>
          </w:p>
        </w:tc>
        <w:tc>
          <w:tcPr>
            <w:tcW w:w="1354" w:type="pct"/>
            <w:tcBorders>
              <w:top w:val="single" w:sz="8" w:space="0" w:color="auto"/>
              <w:left w:val="single" w:sz="8" w:space="0" w:color="auto"/>
              <w:bottom w:val="single" w:sz="8" w:space="0" w:color="auto"/>
              <w:right w:val="single" w:sz="8" w:space="0" w:color="auto"/>
            </w:tcBorders>
            <w:shd w:val="clear" w:color="000000" w:fill="CCFFCC"/>
            <w:noWrap/>
            <w:vAlign w:val="bottom"/>
            <w:hideMark/>
          </w:tcPr>
          <w:p w:rsidR="00395199" w:rsidRPr="00395199" w:rsidRDefault="00395199" w:rsidP="00395199">
            <w:pPr>
              <w:jc w:val="center"/>
              <w:rPr>
                <w:rFonts w:ascii="Lucida Bright" w:hAnsi="Lucida Bright" w:cs="Calibri"/>
                <w:b/>
                <w:bCs/>
                <w:color w:val="000000"/>
                <w:sz w:val="14"/>
                <w:szCs w:val="14"/>
                <w:lang w:val="es-ES"/>
              </w:rPr>
            </w:pPr>
            <w:r w:rsidRPr="00395199">
              <w:rPr>
                <w:rFonts w:ascii="Lucida Bright" w:hAnsi="Lucida Bright" w:cs="Calibri"/>
                <w:b/>
                <w:bCs/>
                <w:color w:val="000000"/>
                <w:sz w:val="14"/>
                <w:szCs w:val="14"/>
                <w:lang w:val="es-ES"/>
              </w:rPr>
              <w:t>2023</w:t>
            </w:r>
          </w:p>
        </w:tc>
        <w:tc>
          <w:tcPr>
            <w:tcW w:w="1317" w:type="pct"/>
            <w:tcBorders>
              <w:top w:val="single" w:sz="8" w:space="0" w:color="auto"/>
              <w:left w:val="nil"/>
              <w:bottom w:val="single" w:sz="8" w:space="0" w:color="auto"/>
              <w:right w:val="single" w:sz="8" w:space="0" w:color="auto"/>
            </w:tcBorders>
            <w:shd w:val="clear" w:color="000000" w:fill="CCFFCC"/>
            <w:noWrap/>
            <w:vAlign w:val="bottom"/>
            <w:hideMark/>
          </w:tcPr>
          <w:p w:rsidR="00395199" w:rsidRPr="00395199" w:rsidRDefault="00395199" w:rsidP="00395199">
            <w:pPr>
              <w:jc w:val="center"/>
              <w:rPr>
                <w:rFonts w:ascii="Lucida Bright" w:hAnsi="Lucida Bright" w:cs="Calibri"/>
                <w:b/>
                <w:bCs/>
                <w:color w:val="000000"/>
                <w:sz w:val="14"/>
                <w:szCs w:val="14"/>
                <w:lang w:val="es-ES"/>
              </w:rPr>
            </w:pPr>
            <w:r w:rsidRPr="00395199">
              <w:rPr>
                <w:rFonts w:ascii="Lucida Bright" w:hAnsi="Lucida Bright" w:cs="Calibri"/>
                <w:b/>
                <w:bCs/>
                <w:color w:val="000000"/>
                <w:sz w:val="14"/>
                <w:szCs w:val="14"/>
                <w:lang w:val="es-ES"/>
              </w:rPr>
              <w:t>2022</w:t>
            </w:r>
          </w:p>
        </w:tc>
      </w:tr>
      <w:tr w:rsidR="00395199" w:rsidRPr="00395199" w:rsidTr="00395199">
        <w:trPr>
          <w:trHeight w:val="240"/>
        </w:trPr>
        <w:tc>
          <w:tcPr>
            <w:tcW w:w="819" w:type="pct"/>
            <w:tcBorders>
              <w:top w:val="nil"/>
              <w:left w:val="single" w:sz="8" w:space="0" w:color="auto"/>
              <w:bottom w:val="single" w:sz="8" w:space="0" w:color="auto"/>
              <w:right w:val="nil"/>
            </w:tcBorders>
            <w:shd w:val="clear" w:color="000000" w:fill="CCFFCC"/>
            <w:noWrap/>
            <w:vAlign w:val="bottom"/>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 </w:t>
            </w:r>
          </w:p>
        </w:tc>
        <w:tc>
          <w:tcPr>
            <w:tcW w:w="819" w:type="pct"/>
            <w:tcBorders>
              <w:top w:val="nil"/>
              <w:left w:val="nil"/>
              <w:bottom w:val="single" w:sz="8" w:space="0" w:color="auto"/>
              <w:right w:val="nil"/>
            </w:tcBorders>
            <w:shd w:val="clear" w:color="000000" w:fill="CCFFCC"/>
            <w:noWrap/>
            <w:vAlign w:val="bottom"/>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 </w:t>
            </w:r>
          </w:p>
        </w:tc>
        <w:tc>
          <w:tcPr>
            <w:tcW w:w="691" w:type="pct"/>
            <w:tcBorders>
              <w:top w:val="nil"/>
              <w:left w:val="nil"/>
              <w:bottom w:val="single" w:sz="8" w:space="0" w:color="auto"/>
              <w:right w:val="nil"/>
            </w:tcBorders>
            <w:shd w:val="clear" w:color="000000" w:fill="CCFFCC"/>
            <w:noWrap/>
            <w:vAlign w:val="bottom"/>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 </w:t>
            </w:r>
          </w:p>
        </w:tc>
        <w:tc>
          <w:tcPr>
            <w:tcW w:w="1354" w:type="pct"/>
            <w:tcBorders>
              <w:top w:val="nil"/>
              <w:left w:val="single" w:sz="8" w:space="0" w:color="auto"/>
              <w:bottom w:val="single" w:sz="8" w:space="0" w:color="auto"/>
              <w:right w:val="single" w:sz="8" w:space="0" w:color="auto"/>
            </w:tcBorders>
            <w:shd w:val="clear" w:color="000000" w:fill="CCFFCC"/>
            <w:noWrap/>
            <w:vAlign w:val="bottom"/>
            <w:hideMark/>
          </w:tcPr>
          <w:p w:rsidR="00395199" w:rsidRPr="00395199" w:rsidRDefault="00395199" w:rsidP="00395199">
            <w:pPr>
              <w:jc w:val="center"/>
              <w:rPr>
                <w:rFonts w:ascii="Lucida Bright" w:hAnsi="Lucida Bright" w:cs="Calibri"/>
                <w:b/>
                <w:bCs/>
                <w:color w:val="000000"/>
                <w:sz w:val="14"/>
                <w:szCs w:val="14"/>
                <w:lang w:val="es-ES"/>
              </w:rPr>
            </w:pPr>
            <w:r w:rsidRPr="00395199">
              <w:rPr>
                <w:rFonts w:ascii="Lucida Bright" w:hAnsi="Lucida Bright" w:cs="Calibri"/>
                <w:b/>
                <w:bCs/>
                <w:color w:val="000000"/>
                <w:sz w:val="14"/>
                <w:szCs w:val="14"/>
                <w:lang w:val="es-ES"/>
              </w:rPr>
              <w:t>Días</w:t>
            </w:r>
          </w:p>
        </w:tc>
        <w:tc>
          <w:tcPr>
            <w:tcW w:w="1317" w:type="pct"/>
            <w:tcBorders>
              <w:top w:val="nil"/>
              <w:left w:val="nil"/>
              <w:bottom w:val="single" w:sz="8" w:space="0" w:color="auto"/>
              <w:right w:val="single" w:sz="8" w:space="0" w:color="auto"/>
            </w:tcBorders>
            <w:shd w:val="clear" w:color="000000" w:fill="CCFFCC"/>
            <w:noWrap/>
            <w:vAlign w:val="bottom"/>
            <w:hideMark/>
          </w:tcPr>
          <w:p w:rsidR="00395199" w:rsidRPr="00395199" w:rsidRDefault="00395199" w:rsidP="00395199">
            <w:pPr>
              <w:jc w:val="center"/>
              <w:rPr>
                <w:rFonts w:ascii="Lucida Bright" w:hAnsi="Lucida Bright" w:cs="Calibri"/>
                <w:b/>
                <w:bCs/>
                <w:color w:val="000000"/>
                <w:sz w:val="14"/>
                <w:szCs w:val="14"/>
                <w:lang w:val="es-ES"/>
              </w:rPr>
            </w:pPr>
            <w:r w:rsidRPr="00395199">
              <w:rPr>
                <w:rFonts w:ascii="Lucida Bright" w:hAnsi="Lucida Bright" w:cs="Calibri"/>
                <w:b/>
                <w:bCs/>
                <w:color w:val="000000"/>
                <w:sz w:val="14"/>
                <w:szCs w:val="14"/>
                <w:lang w:val="es-ES"/>
              </w:rPr>
              <w:t>Días</w:t>
            </w:r>
          </w:p>
        </w:tc>
      </w:tr>
      <w:tr w:rsidR="00395199" w:rsidRPr="00395199" w:rsidTr="00395199">
        <w:trPr>
          <w:trHeight w:val="225"/>
        </w:trPr>
        <w:tc>
          <w:tcPr>
            <w:tcW w:w="2329" w:type="pct"/>
            <w:gridSpan w:val="3"/>
            <w:tcBorders>
              <w:top w:val="single" w:sz="8" w:space="0" w:color="auto"/>
              <w:left w:val="single" w:sz="4" w:space="0" w:color="auto"/>
              <w:bottom w:val="single" w:sz="4" w:space="0" w:color="auto"/>
              <w:right w:val="single" w:sz="4" w:space="0" w:color="000000"/>
            </w:tcBorders>
            <w:shd w:val="clear" w:color="auto" w:fill="auto"/>
            <w:noWrap/>
            <w:vAlign w:val="bottom"/>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Periodo medio de pago a proveedores</w:t>
            </w:r>
          </w:p>
        </w:tc>
        <w:tc>
          <w:tcPr>
            <w:tcW w:w="1354" w:type="pct"/>
            <w:tcBorders>
              <w:top w:val="nil"/>
              <w:left w:val="nil"/>
              <w:bottom w:val="single" w:sz="4" w:space="0" w:color="auto"/>
              <w:right w:val="single" w:sz="4" w:space="0" w:color="auto"/>
            </w:tcBorders>
            <w:shd w:val="clear" w:color="auto" w:fill="auto"/>
            <w:vAlign w:val="bottom"/>
            <w:hideMark/>
          </w:tcPr>
          <w:p w:rsidR="00395199" w:rsidRPr="00395199" w:rsidRDefault="00395199" w:rsidP="00395199">
            <w:pPr>
              <w:jc w:val="cente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16,51</w:t>
            </w:r>
          </w:p>
        </w:tc>
        <w:tc>
          <w:tcPr>
            <w:tcW w:w="1317" w:type="pct"/>
            <w:tcBorders>
              <w:top w:val="nil"/>
              <w:left w:val="nil"/>
              <w:bottom w:val="single" w:sz="4" w:space="0" w:color="auto"/>
              <w:right w:val="single" w:sz="4" w:space="0" w:color="auto"/>
            </w:tcBorders>
            <w:shd w:val="clear" w:color="auto" w:fill="auto"/>
            <w:vAlign w:val="bottom"/>
            <w:hideMark/>
          </w:tcPr>
          <w:p w:rsidR="00395199" w:rsidRPr="00395199" w:rsidRDefault="00395199" w:rsidP="00395199">
            <w:pPr>
              <w:jc w:val="cente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14,18</w:t>
            </w:r>
          </w:p>
        </w:tc>
      </w:tr>
      <w:tr w:rsidR="00395199" w:rsidRPr="00395199" w:rsidTr="00395199">
        <w:trPr>
          <w:trHeight w:val="225"/>
        </w:trPr>
        <w:tc>
          <w:tcPr>
            <w:tcW w:w="1638" w:type="pct"/>
            <w:gridSpan w:val="2"/>
            <w:tcBorders>
              <w:top w:val="single" w:sz="4" w:space="0" w:color="auto"/>
              <w:left w:val="single" w:sz="4" w:space="0" w:color="auto"/>
              <w:bottom w:val="single" w:sz="4" w:space="0" w:color="auto"/>
              <w:right w:val="nil"/>
            </w:tcBorders>
            <w:shd w:val="clear" w:color="auto" w:fill="auto"/>
            <w:noWrap/>
            <w:vAlign w:val="bottom"/>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Ratio de operaciones pagadas</w:t>
            </w:r>
          </w:p>
        </w:tc>
        <w:tc>
          <w:tcPr>
            <w:tcW w:w="691" w:type="pct"/>
            <w:tcBorders>
              <w:top w:val="nil"/>
              <w:left w:val="nil"/>
              <w:bottom w:val="single" w:sz="4" w:space="0" w:color="auto"/>
              <w:right w:val="single" w:sz="4" w:space="0" w:color="auto"/>
            </w:tcBorders>
            <w:shd w:val="clear" w:color="auto" w:fill="auto"/>
            <w:noWrap/>
            <w:vAlign w:val="bottom"/>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 </w:t>
            </w:r>
          </w:p>
        </w:tc>
        <w:tc>
          <w:tcPr>
            <w:tcW w:w="1354" w:type="pct"/>
            <w:tcBorders>
              <w:top w:val="nil"/>
              <w:left w:val="nil"/>
              <w:bottom w:val="single" w:sz="4" w:space="0" w:color="auto"/>
              <w:right w:val="single" w:sz="4" w:space="0" w:color="auto"/>
            </w:tcBorders>
            <w:shd w:val="clear" w:color="auto" w:fill="auto"/>
            <w:vAlign w:val="bottom"/>
            <w:hideMark/>
          </w:tcPr>
          <w:p w:rsidR="00395199" w:rsidRPr="00395199" w:rsidRDefault="00395199" w:rsidP="00395199">
            <w:pPr>
              <w:jc w:val="cente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17,42</w:t>
            </w:r>
          </w:p>
        </w:tc>
        <w:tc>
          <w:tcPr>
            <w:tcW w:w="1317" w:type="pct"/>
            <w:tcBorders>
              <w:top w:val="nil"/>
              <w:left w:val="nil"/>
              <w:bottom w:val="single" w:sz="4" w:space="0" w:color="auto"/>
              <w:right w:val="single" w:sz="4" w:space="0" w:color="auto"/>
            </w:tcBorders>
            <w:shd w:val="clear" w:color="auto" w:fill="auto"/>
            <w:vAlign w:val="bottom"/>
            <w:hideMark/>
          </w:tcPr>
          <w:p w:rsidR="00395199" w:rsidRPr="00395199" w:rsidRDefault="00395199" w:rsidP="00395199">
            <w:pPr>
              <w:jc w:val="cente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15,02</w:t>
            </w:r>
          </w:p>
        </w:tc>
      </w:tr>
      <w:tr w:rsidR="00395199" w:rsidRPr="00395199" w:rsidTr="00395199">
        <w:trPr>
          <w:trHeight w:val="225"/>
        </w:trPr>
        <w:tc>
          <w:tcPr>
            <w:tcW w:w="2329"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 xml:space="preserve">Ratio de operaciones </w:t>
            </w:r>
            <w:r w:rsidR="00DD448C" w:rsidRPr="00395199">
              <w:rPr>
                <w:rFonts w:ascii="Lucida Bright" w:hAnsi="Lucida Bright" w:cs="Calibri"/>
                <w:color w:val="000000"/>
                <w:sz w:val="14"/>
                <w:szCs w:val="14"/>
                <w:lang w:val="es-ES"/>
              </w:rPr>
              <w:t>pendientes</w:t>
            </w:r>
            <w:r w:rsidRPr="00395199">
              <w:rPr>
                <w:rFonts w:ascii="Lucida Bright" w:hAnsi="Lucida Bright" w:cs="Calibri"/>
                <w:color w:val="000000"/>
                <w:sz w:val="14"/>
                <w:szCs w:val="14"/>
                <w:lang w:val="es-ES"/>
              </w:rPr>
              <w:t xml:space="preserve"> de pago</w:t>
            </w:r>
          </w:p>
        </w:tc>
        <w:tc>
          <w:tcPr>
            <w:tcW w:w="1354" w:type="pct"/>
            <w:tcBorders>
              <w:top w:val="nil"/>
              <w:left w:val="nil"/>
              <w:bottom w:val="single" w:sz="4" w:space="0" w:color="auto"/>
              <w:right w:val="single" w:sz="4" w:space="0" w:color="auto"/>
            </w:tcBorders>
            <w:shd w:val="clear" w:color="auto" w:fill="auto"/>
            <w:vAlign w:val="bottom"/>
            <w:hideMark/>
          </w:tcPr>
          <w:p w:rsidR="00395199" w:rsidRPr="00395199" w:rsidRDefault="00395199" w:rsidP="00395199">
            <w:pPr>
              <w:jc w:val="cente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5,71</w:t>
            </w:r>
          </w:p>
        </w:tc>
        <w:tc>
          <w:tcPr>
            <w:tcW w:w="1317" w:type="pct"/>
            <w:tcBorders>
              <w:top w:val="nil"/>
              <w:left w:val="nil"/>
              <w:bottom w:val="single" w:sz="4" w:space="0" w:color="auto"/>
              <w:right w:val="single" w:sz="4" w:space="0" w:color="auto"/>
            </w:tcBorders>
            <w:shd w:val="clear" w:color="auto" w:fill="auto"/>
            <w:vAlign w:val="bottom"/>
            <w:hideMark/>
          </w:tcPr>
          <w:p w:rsidR="00395199" w:rsidRPr="00395199" w:rsidRDefault="00395199" w:rsidP="00395199">
            <w:pPr>
              <w:jc w:val="cente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6,53</w:t>
            </w:r>
          </w:p>
        </w:tc>
      </w:tr>
      <w:tr w:rsidR="00395199" w:rsidRPr="00395199" w:rsidTr="00395199">
        <w:trPr>
          <w:trHeight w:val="225"/>
        </w:trPr>
        <w:tc>
          <w:tcPr>
            <w:tcW w:w="819" w:type="pct"/>
            <w:tcBorders>
              <w:top w:val="nil"/>
              <w:left w:val="nil"/>
              <w:bottom w:val="nil"/>
              <w:right w:val="nil"/>
            </w:tcBorders>
            <w:shd w:val="clear" w:color="auto" w:fill="auto"/>
            <w:noWrap/>
            <w:vAlign w:val="bottom"/>
            <w:hideMark/>
          </w:tcPr>
          <w:p w:rsidR="00395199" w:rsidRPr="00395199" w:rsidRDefault="00395199" w:rsidP="00395199">
            <w:pPr>
              <w:rPr>
                <w:rFonts w:ascii="Lucida Bright" w:hAnsi="Lucida Bright" w:cs="Calibri"/>
                <w:color w:val="000000"/>
                <w:sz w:val="14"/>
                <w:szCs w:val="14"/>
                <w:lang w:val="es-ES"/>
              </w:rPr>
            </w:pPr>
          </w:p>
        </w:tc>
        <w:tc>
          <w:tcPr>
            <w:tcW w:w="819" w:type="pct"/>
            <w:tcBorders>
              <w:top w:val="nil"/>
              <w:left w:val="nil"/>
              <w:bottom w:val="nil"/>
              <w:right w:val="nil"/>
            </w:tcBorders>
            <w:shd w:val="clear" w:color="auto" w:fill="auto"/>
            <w:noWrap/>
            <w:vAlign w:val="bottom"/>
            <w:hideMark/>
          </w:tcPr>
          <w:p w:rsidR="00395199" w:rsidRPr="00395199" w:rsidRDefault="00395199" w:rsidP="00395199">
            <w:pPr>
              <w:rPr>
                <w:rFonts w:ascii="Lucida Bright" w:hAnsi="Lucida Bright" w:cs="Calibri"/>
                <w:color w:val="000000"/>
                <w:sz w:val="14"/>
                <w:szCs w:val="14"/>
                <w:lang w:val="es-ES"/>
              </w:rPr>
            </w:pPr>
          </w:p>
        </w:tc>
        <w:tc>
          <w:tcPr>
            <w:tcW w:w="691" w:type="pct"/>
            <w:tcBorders>
              <w:top w:val="nil"/>
              <w:left w:val="nil"/>
              <w:bottom w:val="nil"/>
              <w:right w:val="nil"/>
            </w:tcBorders>
            <w:shd w:val="clear" w:color="auto" w:fill="auto"/>
            <w:noWrap/>
            <w:vAlign w:val="bottom"/>
            <w:hideMark/>
          </w:tcPr>
          <w:p w:rsidR="00395199" w:rsidRPr="00395199" w:rsidRDefault="00395199" w:rsidP="00395199">
            <w:pPr>
              <w:rPr>
                <w:rFonts w:ascii="Lucida Bright" w:hAnsi="Lucida Bright" w:cs="Calibri"/>
                <w:color w:val="000000"/>
                <w:sz w:val="14"/>
                <w:szCs w:val="14"/>
                <w:lang w:val="es-ES"/>
              </w:rPr>
            </w:pPr>
          </w:p>
        </w:tc>
        <w:tc>
          <w:tcPr>
            <w:tcW w:w="1354" w:type="pct"/>
            <w:tcBorders>
              <w:top w:val="nil"/>
              <w:left w:val="nil"/>
              <w:bottom w:val="nil"/>
              <w:right w:val="nil"/>
            </w:tcBorders>
            <w:shd w:val="clear" w:color="auto" w:fill="auto"/>
            <w:noWrap/>
            <w:vAlign w:val="bottom"/>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Importe euros</w:t>
            </w:r>
          </w:p>
        </w:tc>
        <w:tc>
          <w:tcPr>
            <w:tcW w:w="1317" w:type="pct"/>
            <w:tcBorders>
              <w:top w:val="nil"/>
              <w:left w:val="nil"/>
              <w:bottom w:val="nil"/>
              <w:right w:val="nil"/>
            </w:tcBorders>
            <w:shd w:val="clear" w:color="auto" w:fill="auto"/>
            <w:noWrap/>
            <w:vAlign w:val="bottom"/>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Importe euros</w:t>
            </w:r>
          </w:p>
        </w:tc>
      </w:tr>
      <w:tr w:rsidR="00395199" w:rsidRPr="00395199" w:rsidTr="00395199">
        <w:trPr>
          <w:trHeight w:val="225"/>
        </w:trPr>
        <w:tc>
          <w:tcPr>
            <w:tcW w:w="1638" w:type="pct"/>
            <w:gridSpan w:val="2"/>
            <w:tcBorders>
              <w:top w:val="single" w:sz="4" w:space="0" w:color="auto"/>
              <w:left w:val="single" w:sz="4" w:space="0" w:color="auto"/>
              <w:bottom w:val="single" w:sz="4" w:space="0" w:color="auto"/>
              <w:right w:val="nil"/>
            </w:tcBorders>
            <w:shd w:val="clear" w:color="auto" w:fill="auto"/>
            <w:noWrap/>
            <w:vAlign w:val="bottom"/>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Total pagos realizados</w:t>
            </w:r>
          </w:p>
        </w:tc>
        <w:tc>
          <w:tcPr>
            <w:tcW w:w="691" w:type="pct"/>
            <w:tcBorders>
              <w:top w:val="single" w:sz="4" w:space="0" w:color="auto"/>
              <w:left w:val="nil"/>
              <w:bottom w:val="single" w:sz="4" w:space="0" w:color="auto"/>
              <w:right w:val="single" w:sz="4" w:space="0" w:color="auto"/>
            </w:tcBorders>
            <w:shd w:val="clear" w:color="auto" w:fill="auto"/>
            <w:noWrap/>
            <w:vAlign w:val="bottom"/>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 </w:t>
            </w:r>
          </w:p>
        </w:tc>
        <w:tc>
          <w:tcPr>
            <w:tcW w:w="1354" w:type="pct"/>
            <w:tcBorders>
              <w:top w:val="single" w:sz="4" w:space="0" w:color="auto"/>
              <w:left w:val="nil"/>
              <w:bottom w:val="single" w:sz="4" w:space="0" w:color="auto"/>
              <w:right w:val="single" w:sz="4" w:space="0" w:color="auto"/>
            </w:tcBorders>
            <w:shd w:val="clear" w:color="auto" w:fill="auto"/>
            <w:noWrap/>
            <w:vAlign w:val="bottom"/>
            <w:hideMark/>
          </w:tcPr>
          <w:p w:rsidR="00395199" w:rsidRPr="00395199" w:rsidRDefault="00395199" w:rsidP="00395199">
            <w:pPr>
              <w:jc w:val="right"/>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74.015.356,97</w:t>
            </w:r>
          </w:p>
        </w:tc>
        <w:tc>
          <w:tcPr>
            <w:tcW w:w="1317" w:type="pct"/>
            <w:tcBorders>
              <w:top w:val="single" w:sz="4" w:space="0" w:color="auto"/>
              <w:left w:val="nil"/>
              <w:bottom w:val="single" w:sz="4" w:space="0" w:color="auto"/>
              <w:right w:val="single" w:sz="4" w:space="0" w:color="auto"/>
            </w:tcBorders>
            <w:shd w:val="clear" w:color="auto" w:fill="auto"/>
            <w:noWrap/>
            <w:vAlign w:val="bottom"/>
            <w:hideMark/>
          </w:tcPr>
          <w:p w:rsidR="00395199" w:rsidRPr="00395199" w:rsidRDefault="00395199" w:rsidP="00395199">
            <w:pPr>
              <w:jc w:val="right"/>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43.984.787,68</w:t>
            </w:r>
          </w:p>
        </w:tc>
      </w:tr>
      <w:tr w:rsidR="00395199" w:rsidRPr="00395199" w:rsidTr="00395199">
        <w:trPr>
          <w:trHeight w:val="225"/>
        </w:trPr>
        <w:tc>
          <w:tcPr>
            <w:tcW w:w="1638" w:type="pct"/>
            <w:gridSpan w:val="2"/>
            <w:tcBorders>
              <w:top w:val="single" w:sz="4" w:space="0" w:color="auto"/>
              <w:left w:val="single" w:sz="4" w:space="0" w:color="auto"/>
              <w:bottom w:val="single" w:sz="4" w:space="0" w:color="auto"/>
              <w:right w:val="nil"/>
            </w:tcBorders>
            <w:shd w:val="clear" w:color="auto" w:fill="auto"/>
            <w:noWrap/>
            <w:vAlign w:val="bottom"/>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Total pagos pendientes</w:t>
            </w:r>
          </w:p>
        </w:tc>
        <w:tc>
          <w:tcPr>
            <w:tcW w:w="691" w:type="pct"/>
            <w:tcBorders>
              <w:top w:val="nil"/>
              <w:left w:val="nil"/>
              <w:bottom w:val="single" w:sz="4" w:space="0" w:color="auto"/>
              <w:right w:val="single" w:sz="4" w:space="0" w:color="auto"/>
            </w:tcBorders>
            <w:shd w:val="clear" w:color="auto" w:fill="auto"/>
            <w:noWrap/>
            <w:vAlign w:val="bottom"/>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 </w:t>
            </w:r>
          </w:p>
        </w:tc>
        <w:tc>
          <w:tcPr>
            <w:tcW w:w="1354" w:type="pct"/>
            <w:tcBorders>
              <w:top w:val="nil"/>
              <w:left w:val="nil"/>
              <w:bottom w:val="single" w:sz="4" w:space="0" w:color="auto"/>
              <w:right w:val="single" w:sz="4" w:space="0" w:color="auto"/>
            </w:tcBorders>
            <w:shd w:val="clear" w:color="auto" w:fill="auto"/>
            <w:noWrap/>
            <w:vAlign w:val="bottom"/>
            <w:hideMark/>
          </w:tcPr>
          <w:p w:rsidR="00395199" w:rsidRPr="00395199" w:rsidRDefault="00395199" w:rsidP="00395199">
            <w:pPr>
              <w:jc w:val="right"/>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3.745.457,23</w:t>
            </w:r>
          </w:p>
        </w:tc>
        <w:tc>
          <w:tcPr>
            <w:tcW w:w="1317" w:type="pct"/>
            <w:tcBorders>
              <w:top w:val="nil"/>
              <w:left w:val="nil"/>
              <w:bottom w:val="single" w:sz="4" w:space="0" w:color="auto"/>
              <w:right w:val="single" w:sz="4" w:space="0" w:color="auto"/>
            </w:tcBorders>
            <w:shd w:val="clear" w:color="auto" w:fill="auto"/>
            <w:noWrap/>
            <w:vAlign w:val="bottom"/>
            <w:hideMark/>
          </w:tcPr>
          <w:p w:rsidR="00395199" w:rsidRPr="00395199" w:rsidRDefault="00395199" w:rsidP="00395199">
            <w:pPr>
              <w:jc w:val="right"/>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2.879.246,60</w:t>
            </w:r>
          </w:p>
        </w:tc>
      </w:tr>
    </w:tbl>
    <w:p w:rsidR="00991EBD" w:rsidRDefault="00991EBD" w:rsidP="000214BB">
      <w:pPr>
        <w:pStyle w:val="Sangradetextonormal"/>
        <w:tabs>
          <w:tab w:val="clear" w:pos="8364"/>
          <w:tab w:val="right" w:pos="8222"/>
        </w:tabs>
        <w:rPr>
          <w:rFonts w:ascii="NewBaskerville" w:hAnsi="NewBaskerville"/>
          <w:sz w:val="20"/>
        </w:rPr>
      </w:pPr>
    </w:p>
    <w:p w:rsidR="00395199" w:rsidRDefault="00395199" w:rsidP="000214BB">
      <w:pPr>
        <w:pStyle w:val="Sangradetextonormal"/>
        <w:tabs>
          <w:tab w:val="clear" w:pos="8364"/>
          <w:tab w:val="right" w:pos="8222"/>
        </w:tabs>
        <w:rPr>
          <w:rFonts w:ascii="NewBaskerville" w:hAnsi="NewBaskerville"/>
          <w:sz w:val="20"/>
        </w:rPr>
      </w:pPr>
    </w:p>
    <w:p w:rsidR="00395199" w:rsidRDefault="00395199" w:rsidP="000214BB">
      <w:pPr>
        <w:pStyle w:val="Sangradetextonormal"/>
        <w:tabs>
          <w:tab w:val="clear" w:pos="8364"/>
          <w:tab w:val="right" w:pos="8222"/>
        </w:tabs>
        <w:rPr>
          <w:rFonts w:ascii="NewBaskerville" w:hAnsi="NewBaskerville"/>
          <w:sz w:val="20"/>
        </w:rPr>
      </w:pPr>
    </w:p>
    <w:tbl>
      <w:tblPr>
        <w:tblW w:w="5000" w:type="pct"/>
        <w:tblCellMar>
          <w:left w:w="70" w:type="dxa"/>
          <w:right w:w="70" w:type="dxa"/>
        </w:tblCellMar>
        <w:tblLook w:val="04A0" w:firstRow="1" w:lastRow="0" w:firstColumn="1" w:lastColumn="0" w:noHBand="0" w:noVBand="1"/>
      </w:tblPr>
      <w:tblGrid>
        <w:gridCol w:w="2002"/>
        <w:gridCol w:w="2002"/>
        <w:gridCol w:w="2002"/>
        <w:gridCol w:w="1656"/>
        <w:gridCol w:w="982"/>
      </w:tblGrid>
      <w:tr w:rsidR="00395199" w:rsidRPr="00395199" w:rsidTr="00395199">
        <w:trPr>
          <w:trHeight w:val="225"/>
        </w:trPr>
        <w:tc>
          <w:tcPr>
            <w:tcW w:w="5000" w:type="pct"/>
            <w:gridSpan w:val="5"/>
            <w:vMerge w:val="restart"/>
            <w:tcBorders>
              <w:top w:val="single" w:sz="8" w:space="0" w:color="auto"/>
              <w:left w:val="single" w:sz="8" w:space="0" w:color="auto"/>
              <w:bottom w:val="nil"/>
              <w:right w:val="single" w:sz="8" w:space="0" w:color="000000"/>
            </w:tcBorders>
            <w:shd w:val="clear" w:color="000000" w:fill="CCFFCC"/>
            <w:vAlign w:val="bottom"/>
            <w:hideMark/>
          </w:tcPr>
          <w:p w:rsidR="00395199" w:rsidRPr="00395199" w:rsidRDefault="00395199" w:rsidP="00395199">
            <w:pPr>
              <w:rPr>
                <w:rFonts w:ascii="Lucida Bright" w:hAnsi="Lucida Bright" w:cs="Calibri"/>
                <w:b/>
                <w:bCs/>
                <w:color w:val="000000"/>
                <w:sz w:val="14"/>
                <w:szCs w:val="14"/>
                <w:lang w:val="es-ES"/>
              </w:rPr>
            </w:pPr>
            <w:r w:rsidRPr="00395199">
              <w:rPr>
                <w:rFonts w:ascii="Lucida Bright" w:hAnsi="Lucida Bright" w:cs="Calibri"/>
                <w:b/>
                <w:bCs/>
                <w:color w:val="000000"/>
                <w:sz w:val="14"/>
                <w:szCs w:val="14"/>
                <w:lang w:val="es-ES"/>
              </w:rPr>
              <w:t>Información sobre el volumen monetario y número de facturas pagadas en un período inferior al máximo establecido en la normativa de morosidad</w:t>
            </w:r>
          </w:p>
        </w:tc>
      </w:tr>
      <w:tr w:rsidR="00395199" w:rsidRPr="00395199" w:rsidTr="00395199">
        <w:trPr>
          <w:trHeight w:val="240"/>
        </w:trPr>
        <w:tc>
          <w:tcPr>
            <w:tcW w:w="5000" w:type="pct"/>
            <w:gridSpan w:val="5"/>
            <w:vMerge/>
            <w:tcBorders>
              <w:top w:val="single" w:sz="8" w:space="0" w:color="auto"/>
              <w:left w:val="single" w:sz="8" w:space="0" w:color="auto"/>
              <w:bottom w:val="nil"/>
              <w:right w:val="single" w:sz="8" w:space="0" w:color="000000"/>
            </w:tcBorders>
            <w:vAlign w:val="center"/>
            <w:hideMark/>
          </w:tcPr>
          <w:p w:rsidR="00395199" w:rsidRPr="00395199" w:rsidRDefault="00395199" w:rsidP="00395199">
            <w:pPr>
              <w:rPr>
                <w:rFonts w:ascii="Lucida Bright" w:hAnsi="Lucida Bright" w:cs="Calibri"/>
                <w:b/>
                <w:bCs/>
                <w:color w:val="000000"/>
                <w:sz w:val="14"/>
                <w:szCs w:val="14"/>
                <w:lang w:val="es-ES"/>
              </w:rPr>
            </w:pPr>
          </w:p>
        </w:tc>
      </w:tr>
      <w:tr w:rsidR="00395199" w:rsidRPr="00395199" w:rsidTr="00395199">
        <w:trPr>
          <w:trHeight w:val="225"/>
        </w:trPr>
        <w:tc>
          <w:tcPr>
            <w:tcW w:w="1158" w:type="pct"/>
            <w:tcBorders>
              <w:top w:val="nil"/>
              <w:left w:val="single" w:sz="8" w:space="0" w:color="auto"/>
              <w:bottom w:val="nil"/>
              <w:right w:val="nil"/>
            </w:tcBorders>
            <w:shd w:val="clear" w:color="000000" w:fill="CCFFCC"/>
            <w:vAlign w:val="bottom"/>
            <w:hideMark/>
          </w:tcPr>
          <w:p w:rsidR="00395199" w:rsidRPr="00395199" w:rsidRDefault="00395199" w:rsidP="00395199">
            <w:pPr>
              <w:rPr>
                <w:rFonts w:ascii="Lucida Bright" w:hAnsi="Lucida Bright" w:cs="Calibri"/>
                <w:b/>
                <w:bCs/>
                <w:color w:val="000000"/>
                <w:sz w:val="14"/>
                <w:szCs w:val="14"/>
                <w:lang w:val="es-ES"/>
              </w:rPr>
            </w:pPr>
            <w:r w:rsidRPr="00395199">
              <w:rPr>
                <w:rFonts w:ascii="Lucida Bright" w:hAnsi="Lucida Bright" w:cs="Calibri"/>
                <w:b/>
                <w:bCs/>
                <w:color w:val="000000"/>
                <w:sz w:val="14"/>
                <w:szCs w:val="14"/>
                <w:lang w:val="es-ES"/>
              </w:rPr>
              <w:t> </w:t>
            </w:r>
          </w:p>
        </w:tc>
        <w:tc>
          <w:tcPr>
            <w:tcW w:w="1158" w:type="pct"/>
            <w:tcBorders>
              <w:top w:val="nil"/>
              <w:left w:val="nil"/>
              <w:bottom w:val="nil"/>
              <w:right w:val="nil"/>
            </w:tcBorders>
            <w:shd w:val="clear" w:color="000000" w:fill="CCFFCC"/>
            <w:vAlign w:val="bottom"/>
            <w:hideMark/>
          </w:tcPr>
          <w:p w:rsidR="00395199" w:rsidRPr="00395199" w:rsidRDefault="00395199" w:rsidP="00395199">
            <w:pPr>
              <w:rPr>
                <w:rFonts w:ascii="Lucida Bright" w:hAnsi="Lucida Bright" w:cs="Calibri"/>
                <w:b/>
                <w:bCs/>
                <w:color w:val="000000"/>
                <w:sz w:val="14"/>
                <w:szCs w:val="14"/>
                <w:lang w:val="es-ES"/>
              </w:rPr>
            </w:pPr>
            <w:r w:rsidRPr="00395199">
              <w:rPr>
                <w:rFonts w:ascii="Lucida Bright" w:hAnsi="Lucida Bright" w:cs="Calibri"/>
                <w:b/>
                <w:bCs/>
                <w:color w:val="000000"/>
                <w:sz w:val="14"/>
                <w:szCs w:val="14"/>
                <w:lang w:val="es-ES"/>
              </w:rPr>
              <w:t> </w:t>
            </w:r>
          </w:p>
        </w:tc>
        <w:tc>
          <w:tcPr>
            <w:tcW w:w="1158" w:type="pct"/>
            <w:tcBorders>
              <w:top w:val="nil"/>
              <w:left w:val="nil"/>
              <w:bottom w:val="nil"/>
              <w:right w:val="nil"/>
            </w:tcBorders>
            <w:shd w:val="clear" w:color="000000" w:fill="CCFFCC"/>
            <w:vAlign w:val="bottom"/>
            <w:hideMark/>
          </w:tcPr>
          <w:p w:rsidR="00395199" w:rsidRPr="00395199" w:rsidRDefault="00395199" w:rsidP="00395199">
            <w:pPr>
              <w:rPr>
                <w:rFonts w:ascii="Lucida Bright" w:hAnsi="Lucida Bright" w:cs="Calibri"/>
                <w:b/>
                <w:bCs/>
                <w:color w:val="000000"/>
                <w:sz w:val="14"/>
                <w:szCs w:val="14"/>
                <w:lang w:val="es-ES"/>
              </w:rPr>
            </w:pPr>
            <w:r w:rsidRPr="00395199">
              <w:rPr>
                <w:rFonts w:ascii="Lucida Bright" w:hAnsi="Lucida Bright" w:cs="Calibri"/>
                <w:b/>
                <w:bCs/>
                <w:color w:val="000000"/>
                <w:sz w:val="14"/>
                <w:szCs w:val="14"/>
                <w:lang w:val="es-ES"/>
              </w:rPr>
              <w:t> </w:t>
            </w:r>
          </w:p>
        </w:tc>
        <w:tc>
          <w:tcPr>
            <w:tcW w:w="1526" w:type="pct"/>
            <w:gridSpan w:val="2"/>
            <w:tcBorders>
              <w:top w:val="single" w:sz="8" w:space="0" w:color="auto"/>
              <w:left w:val="single" w:sz="8" w:space="0" w:color="auto"/>
              <w:bottom w:val="nil"/>
              <w:right w:val="single" w:sz="8" w:space="0" w:color="000000"/>
            </w:tcBorders>
            <w:shd w:val="clear" w:color="000000" w:fill="CCFFCC"/>
            <w:vAlign w:val="bottom"/>
            <w:hideMark/>
          </w:tcPr>
          <w:p w:rsidR="00395199" w:rsidRPr="00395199" w:rsidRDefault="00395199" w:rsidP="00395199">
            <w:pPr>
              <w:jc w:val="center"/>
              <w:rPr>
                <w:rFonts w:ascii="Lucida Bright" w:hAnsi="Lucida Bright" w:cs="Calibri"/>
                <w:b/>
                <w:bCs/>
                <w:color w:val="000000"/>
                <w:sz w:val="14"/>
                <w:szCs w:val="14"/>
                <w:lang w:val="es-ES"/>
              </w:rPr>
            </w:pPr>
            <w:r w:rsidRPr="00395199">
              <w:rPr>
                <w:rFonts w:ascii="Lucida Bright" w:hAnsi="Lucida Bright" w:cs="Calibri"/>
                <w:b/>
                <w:bCs/>
                <w:color w:val="000000"/>
                <w:sz w:val="14"/>
                <w:szCs w:val="14"/>
                <w:lang w:val="es-ES"/>
              </w:rPr>
              <w:t>2023</w:t>
            </w:r>
          </w:p>
        </w:tc>
      </w:tr>
      <w:tr w:rsidR="00395199" w:rsidRPr="00395199" w:rsidTr="00395199">
        <w:trPr>
          <w:trHeight w:val="240"/>
        </w:trPr>
        <w:tc>
          <w:tcPr>
            <w:tcW w:w="3474" w:type="pct"/>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 xml:space="preserve">Núm. de </w:t>
            </w:r>
            <w:proofErr w:type="spellStart"/>
            <w:r w:rsidRPr="00395199">
              <w:rPr>
                <w:rFonts w:ascii="Lucida Bright" w:hAnsi="Lucida Bright" w:cs="Calibri"/>
                <w:color w:val="000000"/>
                <w:sz w:val="14"/>
                <w:szCs w:val="14"/>
                <w:lang w:val="es-ES"/>
              </w:rPr>
              <w:t>fact</w:t>
            </w:r>
            <w:proofErr w:type="spellEnd"/>
            <w:r w:rsidRPr="00395199">
              <w:rPr>
                <w:rFonts w:ascii="Lucida Bright" w:hAnsi="Lucida Bright" w:cs="Calibri"/>
                <w:color w:val="000000"/>
                <w:sz w:val="14"/>
                <w:szCs w:val="14"/>
                <w:lang w:val="es-ES"/>
              </w:rPr>
              <w:t xml:space="preserve"> pagadas en un período inferior al </w:t>
            </w:r>
            <w:proofErr w:type="spellStart"/>
            <w:r w:rsidRPr="00395199">
              <w:rPr>
                <w:rFonts w:ascii="Lucida Bright" w:hAnsi="Lucida Bright" w:cs="Calibri"/>
                <w:color w:val="000000"/>
                <w:sz w:val="14"/>
                <w:szCs w:val="14"/>
                <w:lang w:val="es-ES"/>
              </w:rPr>
              <w:t>máx</w:t>
            </w:r>
            <w:proofErr w:type="spellEnd"/>
            <w:r w:rsidRPr="00395199">
              <w:rPr>
                <w:rFonts w:ascii="Lucida Bright" w:hAnsi="Lucida Bright" w:cs="Calibri"/>
                <w:color w:val="000000"/>
                <w:sz w:val="14"/>
                <w:szCs w:val="14"/>
                <w:lang w:val="es-ES"/>
              </w:rPr>
              <w:t xml:space="preserve"> </w:t>
            </w:r>
            <w:proofErr w:type="spellStart"/>
            <w:r w:rsidRPr="00395199">
              <w:rPr>
                <w:rFonts w:ascii="Lucida Bright" w:hAnsi="Lucida Bright" w:cs="Calibri"/>
                <w:color w:val="000000"/>
                <w:sz w:val="14"/>
                <w:szCs w:val="14"/>
                <w:lang w:val="es-ES"/>
              </w:rPr>
              <w:t>establ</w:t>
            </w:r>
            <w:proofErr w:type="spellEnd"/>
            <w:r w:rsidRPr="00395199">
              <w:rPr>
                <w:rFonts w:ascii="Lucida Bright" w:hAnsi="Lucida Bright" w:cs="Calibri"/>
                <w:color w:val="000000"/>
                <w:sz w:val="14"/>
                <w:szCs w:val="14"/>
                <w:lang w:val="es-ES"/>
              </w:rPr>
              <w:t>.</w:t>
            </w:r>
          </w:p>
        </w:tc>
        <w:tc>
          <w:tcPr>
            <w:tcW w:w="9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199" w:rsidRPr="00395199" w:rsidRDefault="00395199" w:rsidP="00395199">
            <w:pPr>
              <w:jc w:val="cente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3774</w:t>
            </w:r>
          </w:p>
        </w:tc>
        <w:tc>
          <w:tcPr>
            <w:tcW w:w="567" w:type="pct"/>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95199" w:rsidRPr="00395199" w:rsidRDefault="00395199" w:rsidP="00395199">
            <w:pPr>
              <w:jc w:val="cente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90,72%</w:t>
            </w:r>
          </w:p>
        </w:tc>
      </w:tr>
      <w:tr w:rsidR="00395199" w:rsidRPr="00395199" w:rsidTr="00395199">
        <w:trPr>
          <w:trHeight w:val="165"/>
        </w:trPr>
        <w:tc>
          <w:tcPr>
            <w:tcW w:w="3474" w:type="pct"/>
            <w:gridSpan w:val="3"/>
            <w:vMerge/>
            <w:tcBorders>
              <w:top w:val="single" w:sz="4" w:space="0" w:color="auto"/>
              <w:left w:val="single" w:sz="8" w:space="0" w:color="auto"/>
              <w:bottom w:val="single" w:sz="4" w:space="0" w:color="auto"/>
              <w:right w:val="single" w:sz="4" w:space="0" w:color="auto"/>
            </w:tcBorders>
            <w:vAlign w:val="center"/>
            <w:hideMark/>
          </w:tcPr>
          <w:p w:rsidR="00395199" w:rsidRPr="00395199" w:rsidRDefault="00395199" w:rsidP="00395199">
            <w:pPr>
              <w:rPr>
                <w:rFonts w:ascii="Lucida Bright" w:hAnsi="Lucida Bright" w:cs="Calibri"/>
                <w:color w:val="000000"/>
                <w:sz w:val="14"/>
                <w:szCs w:val="14"/>
                <w:lang w:val="es-ES"/>
              </w:rPr>
            </w:pPr>
          </w:p>
        </w:tc>
        <w:tc>
          <w:tcPr>
            <w:tcW w:w="958" w:type="pct"/>
            <w:vMerge/>
            <w:tcBorders>
              <w:top w:val="single" w:sz="4" w:space="0" w:color="auto"/>
              <w:left w:val="single" w:sz="4" w:space="0" w:color="auto"/>
              <w:bottom w:val="single" w:sz="4" w:space="0" w:color="auto"/>
              <w:right w:val="single" w:sz="4" w:space="0" w:color="auto"/>
            </w:tcBorders>
            <w:vAlign w:val="center"/>
            <w:hideMark/>
          </w:tcPr>
          <w:p w:rsidR="00395199" w:rsidRPr="00395199" w:rsidRDefault="00395199" w:rsidP="00395199">
            <w:pPr>
              <w:rPr>
                <w:rFonts w:ascii="Lucida Bright" w:hAnsi="Lucida Bright" w:cs="Calibri"/>
                <w:color w:val="000000"/>
                <w:sz w:val="14"/>
                <w:szCs w:val="14"/>
                <w:lang w:val="es-ES"/>
              </w:rPr>
            </w:pPr>
          </w:p>
        </w:tc>
        <w:tc>
          <w:tcPr>
            <w:tcW w:w="567" w:type="pct"/>
            <w:vMerge/>
            <w:tcBorders>
              <w:top w:val="single" w:sz="4" w:space="0" w:color="auto"/>
              <w:left w:val="single" w:sz="4" w:space="0" w:color="auto"/>
              <w:bottom w:val="single" w:sz="4" w:space="0" w:color="auto"/>
              <w:right w:val="single" w:sz="8" w:space="0" w:color="auto"/>
            </w:tcBorders>
            <w:vAlign w:val="center"/>
            <w:hideMark/>
          </w:tcPr>
          <w:p w:rsidR="00395199" w:rsidRPr="00395199" w:rsidRDefault="00395199" w:rsidP="00395199">
            <w:pPr>
              <w:rPr>
                <w:rFonts w:ascii="Lucida Bright" w:hAnsi="Lucida Bright" w:cs="Calibri"/>
                <w:color w:val="000000"/>
                <w:sz w:val="14"/>
                <w:szCs w:val="14"/>
                <w:lang w:val="es-ES"/>
              </w:rPr>
            </w:pPr>
          </w:p>
        </w:tc>
      </w:tr>
      <w:tr w:rsidR="00395199" w:rsidRPr="00395199" w:rsidTr="00395199">
        <w:trPr>
          <w:trHeight w:val="225"/>
        </w:trPr>
        <w:tc>
          <w:tcPr>
            <w:tcW w:w="3474" w:type="pct"/>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Núm. total de facturas pagadas</w:t>
            </w:r>
          </w:p>
        </w:tc>
        <w:tc>
          <w:tcPr>
            <w:tcW w:w="958" w:type="pct"/>
            <w:tcBorders>
              <w:top w:val="nil"/>
              <w:left w:val="nil"/>
              <w:bottom w:val="single" w:sz="4" w:space="0" w:color="auto"/>
              <w:right w:val="single" w:sz="4" w:space="0" w:color="auto"/>
            </w:tcBorders>
            <w:shd w:val="clear" w:color="auto" w:fill="auto"/>
            <w:noWrap/>
            <w:vAlign w:val="bottom"/>
            <w:hideMark/>
          </w:tcPr>
          <w:p w:rsidR="00395199" w:rsidRPr="00395199" w:rsidRDefault="00395199" w:rsidP="00395199">
            <w:pPr>
              <w:jc w:val="cente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4160</w:t>
            </w:r>
          </w:p>
        </w:tc>
        <w:tc>
          <w:tcPr>
            <w:tcW w:w="567" w:type="pct"/>
            <w:tcBorders>
              <w:top w:val="nil"/>
              <w:left w:val="nil"/>
              <w:bottom w:val="single" w:sz="4" w:space="0" w:color="auto"/>
              <w:right w:val="single" w:sz="8" w:space="0" w:color="auto"/>
            </w:tcBorders>
            <w:shd w:val="clear" w:color="auto" w:fill="auto"/>
            <w:noWrap/>
            <w:vAlign w:val="center"/>
            <w:hideMark/>
          </w:tcPr>
          <w:p w:rsidR="00395199" w:rsidRPr="00395199" w:rsidRDefault="00395199" w:rsidP="00395199">
            <w:pPr>
              <w:jc w:val="cente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100,00%</w:t>
            </w:r>
          </w:p>
        </w:tc>
      </w:tr>
      <w:tr w:rsidR="00395199" w:rsidRPr="00395199" w:rsidTr="00395199">
        <w:trPr>
          <w:trHeight w:val="225"/>
        </w:trPr>
        <w:tc>
          <w:tcPr>
            <w:tcW w:w="3474" w:type="pct"/>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 xml:space="preserve">Volumen monetario de </w:t>
            </w:r>
            <w:proofErr w:type="spellStart"/>
            <w:r w:rsidRPr="00395199">
              <w:rPr>
                <w:rFonts w:ascii="Lucida Bright" w:hAnsi="Lucida Bright" w:cs="Calibri"/>
                <w:color w:val="000000"/>
                <w:sz w:val="14"/>
                <w:szCs w:val="14"/>
                <w:lang w:val="es-ES"/>
              </w:rPr>
              <w:t>fact</w:t>
            </w:r>
            <w:proofErr w:type="spellEnd"/>
            <w:r w:rsidRPr="00395199">
              <w:rPr>
                <w:rFonts w:ascii="Lucida Bright" w:hAnsi="Lucida Bright" w:cs="Calibri"/>
                <w:color w:val="000000"/>
                <w:sz w:val="14"/>
                <w:szCs w:val="14"/>
                <w:lang w:val="es-ES"/>
              </w:rPr>
              <w:t xml:space="preserve"> pagadas en un período inferior al </w:t>
            </w:r>
            <w:proofErr w:type="spellStart"/>
            <w:r w:rsidRPr="00395199">
              <w:rPr>
                <w:rFonts w:ascii="Lucida Bright" w:hAnsi="Lucida Bright" w:cs="Calibri"/>
                <w:color w:val="000000"/>
                <w:sz w:val="14"/>
                <w:szCs w:val="14"/>
                <w:lang w:val="es-ES"/>
              </w:rPr>
              <w:t>máx</w:t>
            </w:r>
            <w:proofErr w:type="spellEnd"/>
            <w:r w:rsidRPr="00395199">
              <w:rPr>
                <w:rFonts w:ascii="Lucida Bright" w:hAnsi="Lucida Bright" w:cs="Calibri"/>
                <w:color w:val="000000"/>
                <w:sz w:val="14"/>
                <w:szCs w:val="14"/>
                <w:lang w:val="es-ES"/>
              </w:rPr>
              <w:t xml:space="preserve"> </w:t>
            </w:r>
            <w:proofErr w:type="spellStart"/>
            <w:r w:rsidRPr="00395199">
              <w:rPr>
                <w:rFonts w:ascii="Lucida Bright" w:hAnsi="Lucida Bright" w:cs="Calibri"/>
                <w:color w:val="000000"/>
                <w:sz w:val="14"/>
                <w:szCs w:val="14"/>
                <w:lang w:val="es-ES"/>
              </w:rPr>
              <w:t>establ</w:t>
            </w:r>
            <w:proofErr w:type="spellEnd"/>
            <w:r w:rsidRPr="00395199">
              <w:rPr>
                <w:rFonts w:ascii="Lucida Bright" w:hAnsi="Lucida Bright" w:cs="Calibri"/>
                <w:color w:val="000000"/>
                <w:sz w:val="14"/>
                <w:szCs w:val="14"/>
                <w:lang w:val="es-ES"/>
              </w:rPr>
              <w:t>.</w:t>
            </w:r>
          </w:p>
        </w:tc>
        <w:tc>
          <w:tcPr>
            <w:tcW w:w="9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395199" w:rsidRPr="00395199" w:rsidRDefault="00395199" w:rsidP="00395199">
            <w:pPr>
              <w:jc w:val="cente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68.488.097,69</w:t>
            </w:r>
          </w:p>
        </w:tc>
        <w:tc>
          <w:tcPr>
            <w:tcW w:w="567" w:type="pct"/>
            <w:vMerge w:val="restart"/>
            <w:tcBorders>
              <w:top w:val="nil"/>
              <w:left w:val="single" w:sz="4" w:space="0" w:color="auto"/>
              <w:bottom w:val="single" w:sz="4" w:space="0" w:color="auto"/>
              <w:right w:val="single" w:sz="8" w:space="0" w:color="auto"/>
            </w:tcBorders>
            <w:shd w:val="clear" w:color="auto" w:fill="auto"/>
            <w:noWrap/>
            <w:vAlign w:val="center"/>
            <w:hideMark/>
          </w:tcPr>
          <w:p w:rsidR="00395199" w:rsidRPr="00395199" w:rsidRDefault="00395199" w:rsidP="00395199">
            <w:pPr>
              <w:jc w:val="cente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92,53%</w:t>
            </w:r>
          </w:p>
        </w:tc>
      </w:tr>
      <w:tr w:rsidR="00395199" w:rsidRPr="00395199" w:rsidTr="00395199">
        <w:trPr>
          <w:trHeight w:val="225"/>
        </w:trPr>
        <w:tc>
          <w:tcPr>
            <w:tcW w:w="3474" w:type="pct"/>
            <w:gridSpan w:val="3"/>
            <w:vMerge/>
            <w:tcBorders>
              <w:top w:val="single" w:sz="4" w:space="0" w:color="auto"/>
              <w:left w:val="single" w:sz="8" w:space="0" w:color="auto"/>
              <w:bottom w:val="single" w:sz="4" w:space="0" w:color="auto"/>
              <w:right w:val="single" w:sz="4" w:space="0" w:color="auto"/>
            </w:tcBorders>
            <w:vAlign w:val="center"/>
            <w:hideMark/>
          </w:tcPr>
          <w:p w:rsidR="00395199" w:rsidRPr="00395199" w:rsidRDefault="00395199" w:rsidP="00395199">
            <w:pPr>
              <w:rPr>
                <w:rFonts w:ascii="Lucida Bright" w:hAnsi="Lucida Bright" w:cs="Calibri"/>
                <w:color w:val="000000"/>
                <w:sz w:val="14"/>
                <w:szCs w:val="14"/>
                <w:lang w:val="es-ES"/>
              </w:rPr>
            </w:pPr>
          </w:p>
        </w:tc>
        <w:tc>
          <w:tcPr>
            <w:tcW w:w="958" w:type="pct"/>
            <w:vMerge/>
            <w:tcBorders>
              <w:top w:val="nil"/>
              <w:left w:val="single" w:sz="4" w:space="0" w:color="auto"/>
              <w:bottom w:val="single" w:sz="4" w:space="0" w:color="auto"/>
              <w:right w:val="single" w:sz="4" w:space="0" w:color="auto"/>
            </w:tcBorders>
            <w:vAlign w:val="center"/>
            <w:hideMark/>
          </w:tcPr>
          <w:p w:rsidR="00395199" w:rsidRPr="00395199" w:rsidRDefault="00395199" w:rsidP="00395199">
            <w:pPr>
              <w:rPr>
                <w:rFonts w:ascii="Lucida Bright" w:hAnsi="Lucida Bright" w:cs="Calibri"/>
                <w:color w:val="000000"/>
                <w:sz w:val="14"/>
                <w:szCs w:val="14"/>
                <w:lang w:val="es-ES"/>
              </w:rPr>
            </w:pPr>
          </w:p>
        </w:tc>
        <w:tc>
          <w:tcPr>
            <w:tcW w:w="567" w:type="pct"/>
            <w:vMerge/>
            <w:tcBorders>
              <w:top w:val="nil"/>
              <w:left w:val="single" w:sz="4" w:space="0" w:color="auto"/>
              <w:bottom w:val="single" w:sz="4" w:space="0" w:color="auto"/>
              <w:right w:val="single" w:sz="8" w:space="0" w:color="auto"/>
            </w:tcBorders>
            <w:vAlign w:val="center"/>
            <w:hideMark/>
          </w:tcPr>
          <w:p w:rsidR="00395199" w:rsidRPr="00395199" w:rsidRDefault="00395199" w:rsidP="00395199">
            <w:pPr>
              <w:rPr>
                <w:rFonts w:ascii="Lucida Bright" w:hAnsi="Lucida Bright" w:cs="Calibri"/>
                <w:color w:val="000000"/>
                <w:sz w:val="14"/>
                <w:szCs w:val="14"/>
                <w:lang w:val="es-ES"/>
              </w:rPr>
            </w:pPr>
          </w:p>
        </w:tc>
      </w:tr>
      <w:tr w:rsidR="00395199" w:rsidRPr="00395199" w:rsidTr="00395199">
        <w:trPr>
          <w:trHeight w:val="315"/>
        </w:trPr>
        <w:tc>
          <w:tcPr>
            <w:tcW w:w="3474" w:type="pct"/>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395199" w:rsidRPr="00395199" w:rsidRDefault="00395199" w:rsidP="00395199">
            <w:pP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Volumen monetario total de facturas pagadas</w:t>
            </w:r>
          </w:p>
        </w:tc>
        <w:tc>
          <w:tcPr>
            <w:tcW w:w="958" w:type="pct"/>
            <w:tcBorders>
              <w:top w:val="nil"/>
              <w:left w:val="nil"/>
              <w:bottom w:val="single" w:sz="8" w:space="0" w:color="auto"/>
              <w:right w:val="single" w:sz="4" w:space="0" w:color="auto"/>
            </w:tcBorders>
            <w:shd w:val="clear" w:color="auto" w:fill="auto"/>
            <w:noWrap/>
            <w:vAlign w:val="center"/>
            <w:hideMark/>
          </w:tcPr>
          <w:p w:rsidR="00395199" w:rsidRPr="00395199" w:rsidRDefault="00395199" w:rsidP="00395199">
            <w:pPr>
              <w:jc w:val="cente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74.015.356,97</w:t>
            </w:r>
          </w:p>
        </w:tc>
        <w:tc>
          <w:tcPr>
            <w:tcW w:w="567" w:type="pct"/>
            <w:tcBorders>
              <w:top w:val="nil"/>
              <w:left w:val="nil"/>
              <w:bottom w:val="single" w:sz="8" w:space="0" w:color="auto"/>
              <w:right w:val="single" w:sz="8" w:space="0" w:color="auto"/>
            </w:tcBorders>
            <w:shd w:val="clear" w:color="auto" w:fill="auto"/>
            <w:noWrap/>
            <w:vAlign w:val="center"/>
            <w:hideMark/>
          </w:tcPr>
          <w:p w:rsidR="00395199" w:rsidRPr="00395199" w:rsidRDefault="00395199" w:rsidP="00395199">
            <w:pPr>
              <w:jc w:val="center"/>
              <w:rPr>
                <w:rFonts w:ascii="Lucida Bright" w:hAnsi="Lucida Bright" w:cs="Calibri"/>
                <w:color w:val="000000"/>
                <w:sz w:val="14"/>
                <w:szCs w:val="14"/>
                <w:lang w:val="es-ES"/>
              </w:rPr>
            </w:pPr>
            <w:r w:rsidRPr="00395199">
              <w:rPr>
                <w:rFonts w:ascii="Lucida Bright" w:hAnsi="Lucida Bright" w:cs="Calibri"/>
                <w:color w:val="000000"/>
                <w:sz w:val="14"/>
                <w:szCs w:val="14"/>
                <w:lang w:val="es-ES"/>
              </w:rPr>
              <w:t>100,00%</w:t>
            </w:r>
          </w:p>
        </w:tc>
      </w:tr>
    </w:tbl>
    <w:p w:rsidR="00991EBD" w:rsidRDefault="00991EBD" w:rsidP="000214BB">
      <w:pPr>
        <w:pStyle w:val="Sangradetextonormal"/>
        <w:tabs>
          <w:tab w:val="clear" w:pos="8364"/>
          <w:tab w:val="right" w:pos="8222"/>
        </w:tabs>
        <w:rPr>
          <w:rFonts w:ascii="NewBaskerville" w:hAnsi="NewBaskerville"/>
          <w:sz w:val="20"/>
        </w:rPr>
      </w:pPr>
    </w:p>
    <w:p w:rsidR="00991EBD" w:rsidRDefault="00991EBD" w:rsidP="000214BB">
      <w:pPr>
        <w:pStyle w:val="Sangradetextonormal"/>
        <w:tabs>
          <w:tab w:val="clear" w:pos="8364"/>
          <w:tab w:val="right" w:pos="8222"/>
        </w:tabs>
        <w:rPr>
          <w:rFonts w:ascii="NewBaskerville" w:hAnsi="NewBaskerville"/>
          <w:sz w:val="20"/>
        </w:rPr>
      </w:pPr>
    </w:p>
    <w:p w:rsidR="002D2BC3" w:rsidRDefault="002D2BC3" w:rsidP="002D2BC3">
      <w:pPr>
        <w:tabs>
          <w:tab w:val="right" w:pos="8364"/>
        </w:tabs>
        <w:ind w:firstLine="567"/>
        <w:jc w:val="both"/>
        <w:rPr>
          <w:sz w:val="24"/>
        </w:rPr>
      </w:pPr>
    </w:p>
    <w:p w:rsidR="002D2BC3" w:rsidRDefault="002D2BC3" w:rsidP="002D2BC3">
      <w:pPr>
        <w:tabs>
          <w:tab w:val="right" w:pos="8364"/>
        </w:tabs>
        <w:ind w:left="567" w:hanging="567"/>
        <w:jc w:val="both"/>
        <w:rPr>
          <w:rFonts w:ascii="NewBaskerville" w:hAnsi="NewBaskerville"/>
          <w:b/>
          <w:bCs/>
          <w:sz w:val="24"/>
          <w:szCs w:val="24"/>
        </w:rPr>
      </w:pPr>
      <w:r>
        <w:rPr>
          <w:rFonts w:ascii="NewBaskerville" w:hAnsi="NewBaskerville"/>
          <w:b/>
          <w:bCs/>
          <w:sz w:val="24"/>
          <w:szCs w:val="24"/>
        </w:rPr>
        <w:t>19</w:t>
      </w:r>
      <w:r w:rsidRPr="00803B43">
        <w:rPr>
          <w:rFonts w:ascii="NewBaskerville" w:hAnsi="NewBaskerville"/>
          <w:b/>
          <w:bCs/>
          <w:sz w:val="24"/>
          <w:szCs w:val="24"/>
        </w:rPr>
        <w:t xml:space="preserve">. </w:t>
      </w:r>
      <w:r>
        <w:rPr>
          <w:rFonts w:ascii="NewBaskerville" w:hAnsi="NewBaskerville"/>
          <w:b/>
          <w:bCs/>
          <w:sz w:val="24"/>
          <w:szCs w:val="24"/>
        </w:rPr>
        <w:t>Hechos posteriores al cierre.</w:t>
      </w:r>
    </w:p>
    <w:p w:rsidR="002D2BC3" w:rsidRPr="00803B43" w:rsidRDefault="002D2BC3" w:rsidP="002D2BC3">
      <w:pPr>
        <w:tabs>
          <w:tab w:val="right" w:pos="8364"/>
        </w:tabs>
        <w:ind w:left="567" w:hanging="567"/>
        <w:jc w:val="both"/>
        <w:rPr>
          <w:rFonts w:ascii="NewBaskerville" w:hAnsi="NewBaskerville"/>
          <w:b/>
          <w:bCs/>
          <w:sz w:val="24"/>
          <w:szCs w:val="24"/>
        </w:rPr>
      </w:pPr>
    </w:p>
    <w:p w:rsidR="00991EBD" w:rsidRDefault="002D2BC3" w:rsidP="000214BB">
      <w:pPr>
        <w:pStyle w:val="Sangradetextonormal"/>
        <w:tabs>
          <w:tab w:val="clear" w:pos="8364"/>
          <w:tab w:val="right" w:pos="8222"/>
        </w:tabs>
        <w:rPr>
          <w:rFonts w:ascii="NewBaskerville" w:hAnsi="NewBaskerville"/>
          <w:sz w:val="20"/>
        </w:rPr>
      </w:pPr>
      <w:r>
        <w:rPr>
          <w:rFonts w:ascii="NewBaskerville" w:hAnsi="NewBaskerville"/>
          <w:sz w:val="20"/>
        </w:rPr>
        <w:t xml:space="preserve">En fechas posteriores al cierre referido </w:t>
      </w:r>
      <w:r w:rsidR="00C06926">
        <w:rPr>
          <w:rFonts w:ascii="NewBaskerville" w:hAnsi="NewBaskerville"/>
          <w:sz w:val="20"/>
        </w:rPr>
        <w:t>en</w:t>
      </w:r>
      <w:r>
        <w:rPr>
          <w:rFonts w:ascii="NewBaskerville" w:hAnsi="NewBaskerville"/>
          <w:sz w:val="20"/>
        </w:rPr>
        <w:t xml:space="preserve"> estas Cuentas Anuales</w:t>
      </w:r>
      <w:r w:rsidR="00C06926">
        <w:rPr>
          <w:rFonts w:ascii="NewBaskerville" w:hAnsi="NewBaskerville"/>
          <w:sz w:val="20"/>
        </w:rPr>
        <w:t>,</w:t>
      </w:r>
      <w:r>
        <w:rPr>
          <w:rFonts w:ascii="NewBaskerville" w:hAnsi="NewBaskerville"/>
          <w:sz w:val="20"/>
        </w:rPr>
        <w:t xml:space="preserve"> se ha</w:t>
      </w:r>
      <w:r w:rsidR="00C06926">
        <w:rPr>
          <w:rFonts w:ascii="NewBaskerville" w:hAnsi="NewBaskerville"/>
          <w:sz w:val="20"/>
        </w:rPr>
        <w:t>n</w:t>
      </w:r>
      <w:r>
        <w:rPr>
          <w:rFonts w:ascii="NewBaskerville" w:hAnsi="NewBaskerville"/>
          <w:sz w:val="20"/>
        </w:rPr>
        <w:t xml:space="preserve"> recibido </w:t>
      </w:r>
      <w:r w:rsidR="00C06926">
        <w:rPr>
          <w:rFonts w:ascii="NewBaskerville" w:hAnsi="NewBaskerville"/>
          <w:sz w:val="20"/>
        </w:rPr>
        <w:t xml:space="preserve">resoluciones desfavorables a la Entidad que han adquirido firmeza, correspondientes </w:t>
      </w:r>
      <w:proofErr w:type="gramStart"/>
      <w:r w:rsidR="00C06926">
        <w:rPr>
          <w:rFonts w:ascii="NewBaskerville" w:hAnsi="NewBaskerville"/>
          <w:sz w:val="20"/>
        </w:rPr>
        <w:t>a</w:t>
      </w:r>
      <w:proofErr w:type="gramEnd"/>
      <w:r w:rsidR="00C06926">
        <w:rPr>
          <w:rFonts w:ascii="NewBaskerville" w:hAnsi="NewBaskerville"/>
          <w:sz w:val="20"/>
        </w:rPr>
        <w:t>:</w:t>
      </w:r>
    </w:p>
    <w:p w:rsidR="009B7514" w:rsidRDefault="009B7514" w:rsidP="000214BB">
      <w:pPr>
        <w:pStyle w:val="Sangradetextonormal"/>
        <w:tabs>
          <w:tab w:val="clear" w:pos="8364"/>
          <w:tab w:val="right" w:pos="8222"/>
        </w:tabs>
        <w:rPr>
          <w:rFonts w:ascii="NewBaskerville" w:hAnsi="NewBaskerville"/>
          <w:sz w:val="20"/>
        </w:rPr>
      </w:pPr>
    </w:p>
    <w:p w:rsidR="00C06926" w:rsidRDefault="00C06926" w:rsidP="00C06926">
      <w:pPr>
        <w:pStyle w:val="Sangradetextonormal"/>
        <w:numPr>
          <w:ilvl w:val="0"/>
          <w:numId w:val="6"/>
        </w:numPr>
        <w:tabs>
          <w:tab w:val="clear" w:pos="8364"/>
          <w:tab w:val="right" w:pos="8222"/>
        </w:tabs>
        <w:rPr>
          <w:rFonts w:ascii="NewBaskerville" w:hAnsi="NewBaskerville"/>
          <w:sz w:val="20"/>
        </w:rPr>
      </w:pPr>
      <w:r>
        <w:rPr>
          <w:rFonts w:ascii="NewBaskerville" w:hAnsi="NewBaskerville"/>
          <w:sz w:val="20"/>
        </w:rPr>
        <w:t>La demanda “UTE ATRAQUE GRANDES BUQUES”</w:t>
      </w:r>
    </w:p>
    <w:p w:rsidR="00C06926" w:rsidRDefault="00C06926" w:rsidP="00C06926">
      <w:pPr>
        <w:pStyle w:val="Sangradetextonormal"/>
        <w:numPr>
          <w:ilvl w:val="0"/>
          <w:numId w:val="6"/>
        </w:numPr>
        <w:tabs>
          <w:tab w:val="clear" w:pos="8364"/>
          <w:tab w:val="right" w:pos="8222"/>
        </w:tabs>
        <w:rPr>
          <w:rFonts w:ascii="NewBaskerville" w:hAnsi="NewBaskerville"/>
          <w:sz w:val="20"/>
        </w:rPr>
      </w:pPr>
      <w:r>
        <w:rPr>
          <w:rFonts w:ascii="NewBaskerville" w:hAnsi="NewBaskerville"/>
          <w:sz w:val="20"/>
        </w:rPr>
        <w:t>Reclamación “COMPAÑÍA LOGÍSTICA DE HIDROCARBUROS”</w:t>
      </w:r>
    </w:p>
    <w:p w:rsidR="00C06926" w:rsidRDefault="00C06926" w:rsidP="00C06926">
      <w:pPr>
        <w:pStyle w:val="Sangradetextonormal"/>
        <w:tabs>
          <w:tab w:val="clear" w:pos="8364"/>
          <w:tab w:val="right" w:pos="8222"/>
        </w:tabs>
        <w:rPr>
          <w:rFonts w:ascii="NewBaskerville" w:hAnsi="NewBaskerville"/>
          <w:sz w:val="20"/>
        </w:rPr>
      </w:pPr>
    </w:p>
    <w:p w:rsidR="00C06926" w:rsidRDefault="00C06926" w:rsidP="00C06926">
      <w:pPr>
        <w:pStyle w:val="Sangradetextonormal"/>
        <w:tabs>
          <w:tab w:val="clear" w:pos="8364"/>
          <w:tab w:val="right" w:pos="8222"/>
        </w:tabs>
        <w:rPr>
          <w:rFonts w:ascii="NewBaskerville" w:hAnsi="NewBaskerville"/>
          <w:sz w:val="20"/>
        </w:rPr>
      </w:pPr>
      <w:r>
        <w:rPr>
          <w:rFonts w:ascii="NewBaskerville" w:hAnsi="NewBaskerville"/>
          <w:sz w:val="20"/>
        </w:rPr>
        <w:t>Tales resoluciones desfavorables firmes tendrán como consecuencia la aplicación de las provision</w:t>
      </w:r>
      <w:r w:rsidR="00624C31">
        <w:rPr>
          <w:rFonts w:ascii="NewBaskerville" w:hAnsi="NewBaskerville"/>
          <w:sz w:val="20"/>
        </w:rPr>
        <w:t>es estimadas, y en su caso, la pérdida de la consignación judicial reconocida en balance.</w:t>
      </w:r>
    </w:p>
    <w:p w:rsidR="000214BB" w:rsidRDefault="000214BB" w:rsidP="002D2BC3">
      <w:pPr>
        <w:pStyle w:val="Sangradetextonormal"/>
        <w:tabs>
          <w:tab w:val="clear" w:pos="8364"/>
          <w:tab w:val="right" w:pos="8222"/>
        </w:tabs>
        <w:ind w:left="567" w:hanging="567"/>
        <w:rPr>
          <w:sz w:val="20"/>
        </w:rPr>
      </w:pPr>
    </w:p>
    <w:p w:rsidR="000214BB" w:rsidRDefault="000214BB" w:rsidP="000214BB">
      <w:pPr>
        <w:pStyle w:val="Sangradetextonormal"/>
        <w:tabs>
          <w:tab w:val="clear" w:pos="8364"/>
          <w:tab w:val="right" w:pos="8222"/>
        </w:tabs>
        <w:rPr>
          <w:sz w:val="20"/>
        </w:rPr>
      </w:pPr>
    </w:p>
    <w:p w:rsidR="000214BB" w:rsidRDefault="000214BB" w:rsidP="000214BB">
      <w:pPr>
        <w:pStyle w:val="Sangradetextonormal"/>
        <w:tabs>
          <w:tab w:val="clear" w:pos="8364"/>
          <w:tab w:val="right" w:pos="8222"/>
        </w:tabs>
        <w:rPr>
          <w:bCs/>
        </w:rPr>
      </w:pPr>
    </w:p>
    <w:p w:rsidR="008A1987" w:rsidRDefault="008A1987" w:rsidP="001052A7">
      <w:pPr>
        <w:tabs>
          <w:tab w:val="right" w:pos="8364"/>
        </w:tabs>
        <w:ind w:firstLine="540"/>
        <w:jc w:val="both"/>
        <w:rPr>
          <w:bCs/>
        </w:rPr>
      </w:pPr>
    </w:p>
    <w:p w:rsidR="008A1987" w:rsidRPr="001052A7" w:rsidRDefault="008A1987" w:rsidP="001052A7">
      <w:pPr>
        <w:tabs>
          <w:tab w:val="right" w:pos="8364"/>
        </w:tabs>
        <w:ind w:firstLine="540"/>
        <w:jc w:val="both"/>
        <w:rPr>
          <w:bCs/>
        </w:rPr>
      </w:pPr>
    </w:p>
    <w:p w:rsidR="002C4355" w:rsidRPr="001052A7" w:rsidRDefault="002C4355" w:rsidP="001052A7">
      <w:pPr>
        <w:tabs>
          <w:tab w:val="right" w:pos="8364"/>
        </w:tabs>
        <w:ind w:firstLine="540"/>
        <w:jc w:val="both"/>
        <w:rPr>
          <w:bCs/>
        </w:rPr>
      </w:pPr>
    </w:p>
    <w:p w:rsidR="00A57391" w:rsidRPr="00AD4AA7" w:rsidRDefault="00A57391" w:rsidP="00A57391">
      <w:pPr>
        <w:tabs>
          <w:tab w:val="right" w:pos="8364"/>
        </w:tabs>
        <w:jc w:val="center"/>
        <w:rPr>
          <w:b/>
          <w:caps/>
        </w:rPr>
      </w:pPr>
    </w:p>
    <w:p w:rsidR="00A57391" w:rsidRPr="00C7435A" w:rsidRDefault="00A57391" w:rsidP="00A57391">
      <w:pPr>
        <w:tabs>
          <w:tab w:val="right" w:pos="8364"/>
        </w:tabs>
        <w:jc w:val="center"/>
        <w:rPr>
          <w:rFonts w:ascii="NewBaskerville" w:hAnsi="NewBaskerville"/>
          <w:bCs/>
          <w:caps/>
        </w:rPr>
      </w:pPr>
      <w:r w:rsidRPr="00C7435A">
        <w:rPr>
          <w:rFonts w:ascii="NewBaskerville" w:hAnsi="NewBaskerville"/>
          <w:bCs/>
        </w:rPr>
        <w:t>EL PRESIDENTE</w:t>
      </w:r>
      <w:r w:rsidRPr="00C7435A">
        <w:rPr>
          <w:rFonts w:ascii="NewBaskerville" w:hAnsi="NewBaskerville"/>
          <w:bCs/>
          <w:caps/>
        </w:rPr>
        <w:t>,</w:t>
      </w:r>
    </w:p>
    <w:p w:rsidR="00A57391" w:rsidRPr="00C7435A" w:rsidRDefault="00D24A8A" w:rsidP="00A57391">
      <w:pPr>
        <w:tabs>
          <w:tab w:val="right" w:pos="8364"/>
        </w:tabs>
        <w:jc w:val="center"/>
        <w:rPr>
          <w:rFonts w:ascii="NewBaskerville" w:hAnsi="NewBaskerville"/>
          <w:bCs/>
        </w:rPr>
      </w:pPr>
      <w:r w:rsidRPr="00C7435A">
        <w:rPr>
          <w:rFonts w:ascii="NewBaskerville" w:hAnsi="NewBaskerville"/>
          <w:bCs/>
        </w:rPr>
        <w:t>Firmado digitalmente</w:t>
      </w:r>
    </w:p>
    <w:p w:rsidR="00A57391" w:rsidRPr="00AD4AA7" w:rsidRDefault="00A57391" w:rsidP="00A57391">
      <w:pPr>
        <w:tabs>
          <w:tab w:val="right" w:pos="8364"/>
        </w:tabs>
        <w:jc w:val="center"/>
        <w:rPr>
          <w:bCs/>
        </w:rPr>
      </w:pPr>
    </w:p>
    <w:p w:rsidR="00A57391" w:rsidRPr="00AD4AA7" w:rsidRDefault="00A57391" w:rsidP="00A57391">
      <w:pPr>
        <w:tabs>
          <w:tab w:val="right" w:pos="8364"/>
        </w:tabs>
        <w:jc w:val="center"/>
        <w:rPr>
          <w:bCs/>
        </w:rPr>
      </w:pPr>
    </w:p>
    <w:p w:rsidR="00A57391" w:rsidRPr="00AD4AA7" w:rsidRDefault="00A57391" w:rsidP="00A57391">
      <w:pPr>
        <w:tabs>
          <w:tab w:val="right" w:pos="8364"/>
        </w:tabs>
        <w:jc w:val="center"/>
        <w:rPr>
          <w:bCs/>
          <w:i/>
        </w:rPr>
      </w:pPr>
    </w:p>
    <w:p w:rsidR="00A57391" w:rsidRPr="00C7435A" w:rsidRDefault="008155BC" w:rsidP="00A57391">
      <w:pPr>
        <w:tabs>
          <w:tab w:val="right" w:pos="8364"/>
        </w:tabs>
        <w:jc w:val="center"/>
        <w:rPr>
          <w:rFonts w:ascii="NewBaskerville" w:hAnsi="NewBaskerville"/>
          <w:bCs/>
          <w:i/>
        </w:rPr>
      </w:pPr>
      <w:r w:rsidRPr="00C7435A">
        <w:rPr>
          <w:rFonts w:ascii="NewBaskerville" w:hAnsi="NewBaskerville"/>
          <w:bCs/>
          <w:i/>
        </w:rPr>
        <w:t>Fdo.</w:t>
      </w:r>
      <w:r w:rsidR="00A57391" w:rsidRPr="00C7435A">
        <w:rPr>
          <w:rFonts w:ascii="NewBaskerville" w:hAnsi="NewBaskerville"/>
          <w:bCs/>
          <w:i/>
        </w:rPr>
        <w:t xml:space="preserve"> </w:t>
      </w:r>
      <w:r w:rsidR="00DE301C">
        <w:rPr>
          <w:rFonts w:ascii="NewBaskerville" w:hAnsi="NewBaskerville"/>
          <w:bCs/>
          <w:i/>
        </w:rPr>
        <w:t>José Javier Sanz Fernández</w:t>
      </w:r>
    </w:p>
    <w:p w:rsidR="00D24A8A" w:rsidRDefault="00D24A8A" w:rsidP="00A57391">
      <w:pPr>
        <w:tabs>
          <w:tab w:val="right" w:pos="8364"/>
        </w:tabs>
        <w:jc w:val="center"/>
        <w:rPr>
          <w:bCs/>
          <w:i/>
        </w:rPr>
      </w:pPr>
    </w:p>
    <w:p w:rsidR="00D24A8A" w:rsidRDefault="00D24A8A" w:rsidP="00A57391">
      <w:pPr>
        <w:tabs>
          <w:tab w:val="right" w:pos="8364"/>
        </w:tabs>
        <w:jc w:val="center"/>
        <w:rPr>
          <w:bCs/>
          <w:i/>
        </w:rPr>
      </w:pPr>
    </w:p>
    <w:p w:rsidR="00D24A8A" w:rsidRDefault="00D24A8A" w:rsidP="00A57391">
      <w:pPr>
        <w:tabs>
          <w:tab w:val="right" w:pos="8364"/>
        </w:tabs>
        <w:jc w:val="center"/>
        <w:rPr>
          <w:bCs/>
          <w:i/>
        </w:rPr>
      </w:pPr>
    </w:p>
    <w:p w:rsidR="00D24A8A" w:rsidRDefault="00D24A8A" w:rsidP="00A57391">
      <w:pPr>
        <w:tabs>
          <w:tab w:val="right" w:pos="8364"/>
        </w:tabs>
        <w:jc w:val="center"/>
        <w:rPr>
          <w:bCs/>
          <w:i/>
        </w:rPr>
      </w:pPr>
    </w:p>
    <w:p w:rsidR="00D24A8A" w:rsidRDefault="00D24A8A" w:rsidP="00A57391">
      <w:pPr>
        <w:tabs>
          <w:tab w:val="right" w:pos="8364"/>
        </w:tabs>
        <w:jc w:val="center"/>
        <w:rPr>
          <w:bCs/>
          <w:i/>
        </w:rPr>
      </w:pPr>
    </w:p>
    <w:p w:rsidR="00D24A8A" w:rsidRDefault="00D24A8A" w:rsidP="00A57391">
      <w:pPr>
        <w:tabs>
          <w:tab w:val="right" w:pos="8364"/>
        </w:tabs>
        <w:jc w:val="center"/>
        <w:rPr>
          <w:bCs/>
          <w:i/>
        </w:rPr>
      </w:pPr>
    </w:p>
    <w:p w:rsidR="00D24A8A" w:rsidRDefault="00D24A8A" w:rsidP="00A57391">
      <w:pPr>
        <w:tabs>
          <w:tab w:val="right" w:pos="8364"/>
        </w:tabs>
        <w:jc w:val="center"/>
        <w:rPr>
          <w:bCs/>
          <w:i/>
        </w:rPr>
      </w:pPr>
    </w:p>
    <w:p w:rsidR="00D24A8A" w:rsidRDefault="00D24A8A" w:rsidP="00A57391">
      <w:pPr>
        <w:tabs>
          <w:tab w:val="right" w:pos="8364"/>
        </w:tabs>
        <w:jc w:val="center"/>
        <w:rPr>
          <w:bCs/>
          <w:i/>
        </w:rPr>
      </w:pPr>
    </w:p>
    <w:p w:rsidR="00D24A8A" w:rsidRDefault="00D24A8A" w:rsidP="00A57391">
      <w:pPr>
        <w:tabs>
          <w:tab w:val="right" w:pos="8364"/>
        </w:tabs>
        <w:jc w:val="center"/>
        <w:rPr>
          <w:bCs/>
          <w:i/>
        </w:rPr>
      </w:pPr>
    </w:p>
    <w:p w:rsidR="00D24A8A" w:rsidRDefault="00D24A8A" w:rsidP="00A57391">
      <w:pPr>
        <w:tabs>
          <w:tab w:val="right" w:pos="8364"/>
        </w:tabs>
        <w:jc w:val="center"/>
        <w:rPr>
          <w:bCs/>
          <w:i/>
        </w:rPr>
      </w:pPr>
    </w:p>
    <w:p w:rsidR="00D24A8A" w:rsidRPr="00C7435A" w:rsidRDefault="00D24A8A" w:rsidP="00A57391">
      <w:pPr>
        <w:tabs>
          <w:tab w:val="right" w:pos="8364"/>
        </w:tabs>
        <w:jc w:val="center"/>
        <w:rPr>
          <w:rFonts w:ascii="NewBaskerville" w:hAnsi="NewBaskerville"/>
          <w:bCs/>
          <w:i/>
        </w:rPr>
      </w:pPr>
    </w:p>
    <w:p w:rsidR="00D24A8A" w:rsidRPr="00C7435A" w:rsidRDefault="00D24A8A" w:rsidP="00D24A8A">
      <w:pPr>
        <w:tabs>
          <w:tab w:val="right" w:pos="8364"/>
        </w:tabs>
        <w:rPr>
          <w:rFonts w:ascii="NewBaskerville" w:hAnsi="NewBaskerville"/>
          <w:bCs/>
          <w:i/>
        </w:rPr>
      </w:pPr>
      <w:r w:rsidRPr="00C7435A">
        <w:rPr>
          <w:rFonts w:ascii="NewBaskerville" w:hAnsi="NewBaskerville"/>
          <w:bCs/>
          <w:i/>
        </w:rPr>
        <w:t>(La fecha válida será la de la firma electrónica del documento</w:t>
      </w:r>
      <w:r w:rsidR="00395199">
        <w:rPr>
          <w:rFonts w:ascii="NewBaskerville" w:hAnsi="NewBaskerville"/>
          <w:bCs/>
          <w:i/>
        </w:rPr>
        <w:t>)</w:t>
      </w:r>
    </w:p>
    <w:sectPr w:rsidR="00D24A8A" w:rsidRPr="00C7435A" w:rsidSect="00790C4F">
      <w:pgSz w:w="11907" w:h="16840" w:code="9"/>
      <w:pgMar w:top="1701" w:right="1418" w:bottom="1701" w:left="1985" w:header="567"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D1C" w:rsidRDefault="00350D1C">
      <w:r>
        <w:separator/>
      </w:r>
    </w:p>
  </w:endnote>
  <w:endnote w:type="continuationSeparator" w:id="0">
    <w:p w:rsidR="00350D1C" w:rsidRDefault="0035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Baskerville">
    <w:panose1 w:val="00000000000000000000"/>
    <w:charset w:val="00"/>
    <w:family w:val="auto"/>
    <w:pitch w:val="variable"/>
    <w:sig w:usb0="00000087" w:usb1="00000000" w:usb2="00000000" w:usb3="00000000" w:csb0="0000001B" w:csb1="00000000"/>
  </w:font>
  <w:font w:name="Lucida Sans">
    <w:altName w:val="Lucida Sans Unicode"/>
    <w:charset w:val="00"/>
    <w:family w:val="swiss"/>
    <w:pitch w:val="variable"/>
    <w:sig w:usb0="00000001" w:usb1="0000807B" w:usb2="00000008"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Frutiger">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1C" w:rsidRDefault="00350D1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50D1C" w:rsidRDefault="00350D1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1C" w:rsidRDefault="00350D1C" w:rsidP="007A1C6E">
    <w:pPr>
      <w:pStyle w:val="Piedepgina"/>
      <w:ind w:right="360"/>
    </w:pPr>
  </w:p>
  <w:p w:rsidR="00350D1C" w:rsidRDefault="00350D1C" w:rsidP="007A1C6E">
    <w:pPr>
      <w:pStyle w:val="Piedepgina"/>
      <w:framePr w:wrap="notBesid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9</w:t>
    </w:r>
    <w:r>
      <w:rPr>
        <w:rStyle w:val="Nmerodepgina"/>
      </w:rPr>
      <w:fldChar w:fldCharType="end"/>
    </w:r>
  </w:p>
  <w:p w:rsidR="00350D1C" w:rsidRDefault="00350D1C">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1C" w:rsidRDefault="00350D1C">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1C" w:rsidRDefault="00350D1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153A6">
      <w:rPr>
        <w:rStyle w:val="Nmerodepgina"/>
        <w:noProof/>
      </w:rPr>
      <w:t>36</w:t>
    </w:r>
    <w:r>
      <w:rPr>
        <w:rStyle w:val="Nmerodepgina"/>
      </w:rPr>
      <w:fldChar w:fldCharType="end"/>
    </w:r>
  </w:p>
  <w:p w:rsidR="00350D1C" w:rsidRDefault="00350D1C" w:rsidP="000D170C">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1C" w:rsidRDefault="00350D1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50D1C" w:rsidRDefault="00350D1C">
    <w:pPr>
      <w:pStyle w:val="Piedepgin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1C" w:rsidRDefault="00350D1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153A6">
      <w:rPr>
        <w:rStyle w:val="Nmerodepgina"/>
        <w:noProof/>
      </w:rPr>
      <w:t>70</w:t>
    </w:r>
    <w:r>
      <w:rPr>
        <w:rStyle w:val="Nmerodepgina"/>
      </w:rPr>
      <w:fldChar w:fldCharType="end"/>
    </w:r>
  </w:p>
  <w:p w:rsidR="00350D1C" w:rsidRDefault="00350D1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D1C" w:rsidRDefault="00350D1C">
      <w:r>
        <w:separator/>
      </w:r>
    </w:p>
  </w:footnote>
  <w:footnote w:type="continuationSeparator" w:id="0">
    <w:p w:rsidR="00350D1C" w:rsidRDefault="00350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1C" w:rsidRDefault="00350D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1C" w:rsidRDefault="00350D1C">
    <w:pPr>
      <w:pStyle w:val="Encabezado"/>
    </w:pPr>
    <w:r>
      <w:rPr>
        <w:noProof/>
        <w:lang w:val="es-ES"/>
      </w:rPr>
      <w:drawing>
        <wp:inline distT="0" distB="0" distL="0" distR="0" wp14:anchorId="184C551E" wp14:editId="436A2CB3">
          <wp:extent cx="6161405" cy="1034415"/>
          <wp:effectExtent l="0" t="0" r="0" b="0"/>
          <wp:docPr id="24" name="Imagen 24" descr="logoword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word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1405" cy="103441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1C" w:rsidRDefault="00350D1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1C" w:rsidRDefault="00350D1C" w:rsidP="00451B81">
    <w:pPr>
      <w:pStyle w:val="Encabezado"/>
      <w:tabs>
        <w:tab w:val="left" w:pos="567"/>
        <w:tab w:val="left" w:pos="709"/>
        <w:tab w:val="left" w:pos="993"/>
      </w:tabs>
      <w:ind w:left="-284" w:hanging="567"/>
    </w:pPr>
  </w:p>
  <w:p w:rsidR="00350D1C" w:rsidRDefault="00350D1C" w:rsidP="00451B81">
    <w:pPr>
      <w:pStyle w:val="Encabezado"/>
      <w:tabs>
        <w:tab w:val="left" w:pos="567"/>
        <w:tab w:val="left" w:pos="709"/>
        <w:tab w:val="left" w:pos="993"/>
      </w:tabs>
      <w:ind w:left="-284" w:hanging="567"/>
    </w:pPr>
    <w:r>
      <w:rPr>
        <w:noProof/>
        <w:lang w:val="es-ES"/>
      </w:rPr>
      <w:drawing>
        <wp:inline distT="0" distB="0" distL="0" distR="0" wp14:anchorId="29F4D9D6" wp14:editId="3155A994">
          <wp:extent cx="6117590" cy="1022985"/>
          <wp:effectExtent l="0" t="0" r="0" b="5715"/>
          <wp:docPr id="6" name="Imagen 6" descr="logoword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word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7590" cy="102298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1C" w:rsidRDefault="00350D1C" w:rsidP="00911AA3">
    <w:pPr>
      <w:pStyle w:val="Encabezado"/>
      <w:ind w:left="-709"/>
    </w:pPr>
    <w:r>
      <w:rPr>
        <w:noProof/>
        <w:lang w:val="es-ES"/>
      </w:rPr>
      <w:drawing>
        <wp:inline distT="0" distB="0" distL="0" distR="0" wp14:anchorId="586E9F38" wp14:editId="26DF0BC0">
          <wp:extent cx="6117590" cy="1022985"/>
          <wp:effectExtent l="0" t="0" r="0" b="5715"/>
          <wp:docPr id="5" name="Imagen 5" descr="logoword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word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7590" cy="10229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7C8EFF8"/>
    <w:lvl w:ilvl="0">
      <w:numFmt w:val="decimal"/>
      <w:lvlText w:val="*"/>
      <w:lvlJc w:val="left"/>
    </w:lvl>
  </w:abstractNum>
  <w:abstractNum w:abstractNumId="1">
    <w:nsid w:val="024A7FC8"/>
    <w:multiLevelType w:val="hybridMultilevel"/>
    <w:tmpl w:val="24785E46"/>
    <w:lvl w:ilvl="0" w:tplc="8EB42704">
      <w:start w:val="3"/>
      <w:numFmt w:val="lowerLetter"/>
      <w:lvlText w:val="%1)"/>
      <w:lvlJc w:val="left"/>
      <w:pPr>
        <w:tabs>
          <w:tab w:val="num" w:pos="480"/>
        </w:tabs>
        <w:ind w:left="480" w:hanging="360"/>
      </w:pPr>
      <w:rPr>
        <w:rFonts w:hint="default"/>
      </w:rPr>
    </w:lvl>
    <w:lvl w:ilvl="1" w:tplc="0C0A0019" w:tentative="1">
      <w:start w:val="1"/>
      <w:numFmt w:val="lowerLetter"/>
      <w:lvlText w:val="%2."/>
      <w:lvlJc w:val="left"/>
      <w:pPr>
        <w:tabs>
          <w:tab w:val="num" w:pos="1200"/>
        </w:tabs>
        <w:ind w:left="1200" w:hanging="360"/>
      </w:pPr>
    </w:lvl>
    <w:lvl w:ilvl="2" w:tplc="0C0A001B" w:tentative="1">
      <w:start w:val="1"/>
      <w:numFmt w:val="lowerRoman"/>
      <w:lvlText w:val="%3."/>
      <w:lvlJc w:val="right"/>
      <w:pPr>
        <w:tabs>
          <w:tab w:val="num" w:pos="1920"/>
        </w:tabs>
        <w:ind w:left="1920" w:hanging="180"/>
      </w:pPr>
    </w:lvl>
    <w:lvl w:ilvl="3" w:tplc="0C0A000F" w:tentative="1">
      <w:start w:val="1"/>
      <w:numFmt w:val="decimal"/>
      <w:lvlText w:val="%4."/>
      <w:lvlJc w:val="left"/>
      <w:pPr>
        <w:tabs>
          <w:tab w:val="num" w:pos="2640"/>
        </w:tabs>
        <w:ind w:left="2640" w:hanging="360"/>
      </w:pPr>
    </w:lvl>
    <w:lvl w:ilvl="4" w:tplc="0C0A0019" w:tentative="1">
      <w:start w:val="1"/>
      <w:numFmt w:val="lowerLetter"/>
      <w:lvlText w:val="%5."/>
      <w:lvlJc w:val="left"/>
      <w:pPr>
        <w:tabs>
          <w:tab w:val="num" w:pos="3360"/>
        </w:tabs>
        <w:ind w:left="3360" w:hanging="360"/>
      </w:pPr>
    </w:lvl>
    <w:lvl w:ilvl="5" w:tplc="0C0A001B" w:tentative="1">
      <w:start w:val="1"/>
      <w:numFmt w:val="lowerRoman"/>
      <w:lvlText w:val="%6."/>
      <w:lvlJc w:val="right"/>
      <w:pPr>
        <w:tabs>
          <w:tab w:val="num" w:pos="4080"/>
        </w:tabs>
        <w:ind w:left="4080" w:hanging="180"/>
      </w:pPr>
    </w:lvl>
    <w:lvl w:ilvl="6" w:tplc="0C0A000F" w:tentative="1">
      <w:start w:val="1"/>
      <w:numFmt w:val="decimal"/>
      <w:lvlText w:val="%7."/>
      <w:lvlJc w:val="left"/>
      <w:pPr>
        <w:tabs>
          <w:tab w:val="num" w:pos="4800"/>
        </w:tabs>
        <w:ind w:left="4800" w:hanging="360"/>
      </w:pPr>
    </w:lvl>
    <w:lvl w:ilvl="7" w:tplc="0C0A0019" w:tentative="1">
      <w:start w:val="1"/>
      <w:numFmt w:val="lowerLetter"/>
      <w:lvlText w:val="%8."/>
      <w:lvlJc w:val="left"/>
      <w:pPr>
        <w:tabs>
          <w:tab w:val="num" w:pos="5520"/>
        </w:tabs>
        <w:ind w:left="5520" w:hanging="360"/>
      </w:pPr>
    </w:lvl>
    <w:lvl w:ilvl="8" w:tplc="0C0A001B" w:tentative="1">
      <w:start w:val="1"/>
      <w:numFmt w:val="lowerRoman"/>
      <w:lvlText w:val="%9."/>
      <w:lvlJc w:val="right"/>
      <w:pPr>
        <w:tabs>
          <w:tab w:val="num" w:pos="6240"/>
        </w:tabs>
        <w:ind w:left="6240" w:hanging="180"/>
      </w:pPr>
    </w:lvl>
  </w:abstractNum>
  <w:abstractNum w:abstractNumId="2">
    <w:nsid w:val="03CA1CEC"/>
    <w:multiLevelType w:val="hybridMultilevel"/>
    <w:tmpl w:val="9AD692A6"/>
    <w:lvl w:ilvl="0" w:tplc="0C0A000F">
      <w:start w:val="1"/>
      <w:numFmt w:val="decimal"/>
      <w:lvlText w:val="%1."/>
      <w:lvlJc w:val="left"/>
      <w:pPr>
        <w:ind w:left="1245" w:hanging="360"/>
      </w:pPr>
    </w:lvl>
    <w:lvl w:ilvl="1" w:tplc="0C0A0019" w:tentative="1">
      <w:start w:val="1"/>
      <w:numFmt w:val="lowerLetter"/>
      <w:lvlText w:val="%2."/>
      <w:lvlJc w:val="left"/>
      <w:pPr>
        <w:ind w:left="1965" w:hanging="360"/>
      </w:pPr>
    </w:lvl>
    <w:lvl w:ilvl="2" w:tplc="0C0A001B" w:tentative="1">
      <w:start w:val="1"/>
      <w:numFmt w:val="lowerRoman"/>
      <w:lvlText w:val="%3."/>
      <w:lvlJc w:val="right"/>
      <w:pPr>
        <w:ind w:left="2685" w:hanging="180"/>
      </w:pPr>
    </w:lvl>
    <w:lvl w:ilvl="3" w:tplc="0C0A000F" w:tentative="1">
      <w:start w:val="1"/>
      <w:numFmt w:val="decimal"/>
      <w:lvlText w:val="%4."/>
      <w:lvlJc w:val="left"/>
      <w:pPr>
        <w:ind w:left="3405" w:hanging="360"/>
      </w:pPr>
    </w:lvl>
    <w:lvl w:ilvl="4" w:tplc="0C0A0019" w:tentative="1">
      <w:start w:val="1"/>
      <w:numFmt w:val="lowerLetter"/>
      <w:lvlText w:val="%5."/>
      <w:lvlJc w:val="left"/>
      <w:pPr>
        <w:ind w:left="4125" w:hanging="360"/>
      </w:pPr>
    </w:lvl>
    <w:lvl w:ilvl="5" w:tplc="0C0A001B" w:tentative="1">
      <w:start w:val="1"/>
      <w:numFmt w:val="lowerRoman"/>
      <w:lvlText w:val="%6."/>
      <w:lvlJc w:val="right"/>
      <w:pPr>
        <w:ind w:left="4845" w:hanging="180"/>
      </w:pPr>
    </w:lvl>
    <w:lvl w:ilvl="6" w:tplc="0C0A000F" w:tentative="1">
      <w:start w:val="1"/>
      <w:numFmt w:val="decimal"/>
      <w:lvlText w:val="%7."/>
      <w:lvlJc w:val="left"/>
      <w:pPr>
        <w:ind w:left="5565" w:hanging="360"/>
      </w:pPr>
    </w:lvl>
    <w:lvl w:ilvl="7" w:tplc="0C0A0019" w:tentative="1">
      <w:start w:val="1"/>
      <w:numFmt w:val="lowerLetter"/>
      <w:lvlText w:val="%8."/>
      <w:lvlJc w:val="left"/>
      <w:pPr>
        <w:ind w:left="6285" w:hanging="360"/>
      </w:pPr>
    </w:lvl>
    <w:lvl w:ilvl="8" w:tplc="0C0A001B" w:tentative="1">
      <w:start w:val="1"/>
      <w:numFmt w:val="lowerRoman"/>
      <w:lvlText w:val="%9."/>
      <w:lvlJc w:val="right"/>
      <w:pPr>
        <w:ind w:left="7005" w:hanging="180"/>
      </w:pPr>
    </w:lvl>
  </w:abstractNum>
  <w:abstractNum w:abstractNumId="3">
    <w:nsid w:val="05E545F7"/>
    <w:multiLevelType w:val="hybridMultilevel"/>
    <w:tmpl w:val="C0B225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6727B8A"/>
    <w:multiLevelType w:val="hybridMultilevel"/>
    <w:tmpl w:val="5178F2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B142616"/>
    <w:multiLevelType w:val="hybridMultilevel"/>
    <w:tmpl w:val="B29ED69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0B69646B"/>
    <w:multiLevelType w:val="hybridMultilevel"/>
    <w:tmpl w:val="8676DF28"/>
    <w:lvl w:ilvl="0" w:tplc="A920C5B0">
      <w:start w:val="4"/>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nsid w:val="103E54F1"/>
    <w:multiLevelType w:val="hybridMultilevel"/>
    <w:tmpl w:val="BE344F5A"/>
    <w:lvl w:ilvl="0" w:tplc="0C0A000F">
      <w:start w:val="1"/>
      <w:numFmt w:val="decimal"/>
      <w:lvlText w:val="%1."/>
      <w:lvlJc w:val="left"/>
      <w:pPr>
        <w:ind w:left="1483" w:hanging="360"/>
      </w:pPr>
    </w:lvl>
    <w:lvl w:ilvl="1" w:tplc="0C0A0019" w:tentative="1">
      <w:start w:val="1"/>
      <w:numFmt w:val="lowerLetter"/>
      <w:lvlText w:val="%2."/>
      <w:lvlJc w:val="left"/>
      <w:pPr>
        <w:ind w:left="2203" w:hanging="360"/>
      </w:pPr>
    </w:lvl>
    <w:lvl w:ilvl="2" w:tplc="0C0A001B" w:tentative="1">
      <w:start w:val="1"/>
      <w:numFmt w:val="lowerRoman"/>
      <w:lvlText w:val="%3."/>
      <w:lvlJc w:val="right"/>
      <w:pPr>
        <w:ind w:left="2923" w:hanging="180"/>
      </w:pPr>
    </w:lvl>
    <w:lvl w:ilvl="3" w:tplc="0C0A000F" w:tentative="1">
      <w:start w:val="1"/>
      <w:numFmt w:val="decimal"/>
      <w:lvlText w:val="%4."/>
      <w:lvlJc w:val="left"/>
      <w:pPr>
        <w:ind w:left="3643" w:hanging="360"/>
      </w:pPr>
    </w:lvl>
    <w:lvl w:ilvl="4" w:tplc="0C0A0019" w:tentative="1">
      <w:start w:val="1"/>
      <w:numFmt w:val="lowerLetter"/>
      <w:lvlText w:val="%5."/>
      <w:lvlJc w:val="left"/>
      <w:pPr>
        <w:ind w:left="4363" w:hanging="360"/>
      </w:pPr>
    </w:lvl>
    <w:lvl w:ilvl="5" w:tplc="0C0A001B" w:tentative="1">
      <w:start w:val="1"/>
      <w:numFmt w:val="lowerRoman"/>
      <w:lvlText w:val="%6."/>
      <w:lvlJc w:val="right"/>
      <w:pPr>
        <w:ind w:left="5083" w:hanging="180"/>
      </w:pPr>
    </w:lvl>
    <w:lvl w:ilvl="6" w:tplc="0C0A000F" w:tentative="1">
      <w:start w:val="1"/>
      <w:numFmt w:val="decimal"/>
      <w:lvlText w:val="%7."/>
      <w:lvlJc w:val="left"/>
      <w:pPr>
        <w:ind w:left="5803" w:hanging="360"/>
      </w:pPr>
    </w:lvl>
    <w:lvl w:ilvl="7" w:tplc="0C0A0019" w:tentative="1">
      <w:start w:val="1"/>
      <w:numFmt w:val="lowerLetter"/>
      <w:lvlText w:val="%8."/>
      <w:lvlJc w:val="left"/>
      <w:pPr>
        <w:ind w:left="6523" w:hanging="360"/>
      </w:pPr>
    </w:lvl>
    <w:lvl w:ilvl="8" w:tplc="0C0A001B" w:tentative="1">
      <w:start w:val="1"/>
      <w:numFmt w:val="lowerRoman"/>
      <w:lvlText w:val="%9."/>
      <w:lvlJc w:val="right"/>
      <w:pPr>
        <w:ind w:left="7243" w:hanging="180"/>
      </w:pPr>
    </w:lvl>
  </w:abstractNum>
  <w:abstractNum w:abstractNumId="8">
    <w:nsid w:val="13F609E2"/>
    <w:multiLevelType w:val="hybridMultilevel"/>
    <w:tmpl w:val="69986F4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9452103"/>
    <w:multiLevelType w:val="hybridMultilevel"/>
    <w:tmpl w:val="279A94CE"/>
    <w:lvl w:ilvl="0" w:tplc="165C1EE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EF71683"/>
    <w:multiLevelType w:val="hybridMultilevel"/>
    <w:tmpl w:val="CE38B8E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nsid w:val="26C8787E"/>
    <w:multiLevelType w:val="hybridMultilevel"/>
    <w:tmpl w:val="A896075A"/>
    <w:lvl w:ilvl="0" w:tplc="B5B6B76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9D928D3"/>
    <w:multiLevelType w:val="hybridMultilevel"/>
    <w:tmpl w:val="E6E6AE1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2CA314EB"/>
    <w:multiLevelType w:val="hybridMultilevel"/>
    <w:tmpl w:val="3AD69D5A"/>
    <w:lvl w:ilvl="0" w:tplc="0C0A0013">
      <w:start w:val="1"/>
      <w:numFmt w:val="upp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nsid w:val="2CC96896"/>
    <w:multiLevelType w:val="hybridMultilevel"/>
    <w:tmpl w:val="3A4039E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2DB820CD"/>
    <w:multiLevelType w:val="hybridMultilevel"/>
    <w:tmpl w:val="F8CEC120"/>
    <w:lvl w:ilvl="0" w:tplc="4B2E75DA">
      <w:start w:val="1"/>
      <w:numFmt w:val="lowerLetter"/>
      <w:lvlText w:val="%1)"/>
      <w:lvlJc w:val="left"/>
      <w:pPr>
        <w:tabs>
          <w:tab w:val="num" w:pos="927"/>
        </w:tabs>
        <w:ind w:left="927" w:hanging="360"/>
      </w:pPr>
      <w:rPr>
        <w:rFonts w:hint="default"/>
      </w:rPr>
    </w:lvl>
    <w:lvl w:ilvl="1" w:tplc="9C700940">
      <w:start w:val="2"/>
      <w:numFmt w:val="bullet"/>
      <w:lvlText w:val=""/>
      <w:lvlJc w:val="left"/>
      <w:pPr>
        <w:tabs>
          <w:tab w:val="num" w:pos="1647"/>
        </w:tabs>
        <w:ind w:left="1647" w:hanging="360"/>
      </w:pPr>
      <w:rPr>
        <w:rFonts w:ascii="Symbol" w:eastAsia="Times New Roman" w:hAnsi="Symbol" w:cs="Times New Roman" w:hint="default"/>
      </w:r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6">
    <w:nsid w:val="2F975FF5"/>
    <w:multiLevelType w:val="hybridMultilevel"/>
    <w:tmpl w:val="07EC466C"/>
    <w:lvl w:ilvl="0" w:tplc="47F29CD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1C91739"/>
    <w:multiLevelType w:val="hybridMultilevel"/>
    <w:tmpl w:val="5A7EE6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2286E02"/>
    <w:multiLevelType w:val="multilevel"/>
    <w:tmpl w:val="46C6B09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8107831"/>
    <w:multiLevelType w:val="hybridMultilevel"/>
    <w:tmpl w:val="80EA0F52"/>
    <w:lvl w:ilvl="0" w:tplc="739A67A4">
      <w:start w:val="1"/>
      <w:numFmt w:val="lowerLetter"/>
      <w:lvlText w:val="%1)"/>
      <w:lvlJc w:val="left"/>
      <w:pPr>
        <w:ind w:left="644" w:hanging="360"/>
      </w:pPr>
      <w:rPr>
        <w:rFonts w:ascii="NewBaskerville" w:hAnsi="NewBaskerville" w:hint="default"/>
        <w:sz w:val="20"/>
        <w:szCs w:val="20"/>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nsid w:val="41CA328E"/>
    <w:multiLevelType w:val="hybridMultilevel"/>
    <w:tmpl w:val="4D3ED092"/>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1">
    <w:nsid w:val="45EA5995"/>
    <w:multiLevelType w:val="hybridMultilevel"/>
    <w:tmpl w:val="C8BC530A"/>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FB017F"/>
    <w:multiLevelType w:val="hybridMultilevel"/>
    <w:tmpl w:val="214478BC"/>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nsid w:val="4CCE3F67"/>
    <w:multiLevelType w:val="hybridMultilevel"/>
    <w:tmpl w:val="41DCE198"/>
    <w:lvl w:ilvl="0" w:tplc="0C0A000F">
      <w:start w:val="1"/>
      <w:numFmt w:val="decimal"/>
      <w:lvlText w:val="%1."/>
      <w:lvlJc w:val="left"/>
      <w:pPr>
        <w:ind w:left="1245" w:hanging="360"/>
      </w:pPr>
    </w:lvl>
    <w:lvl w:ilvl="1" w:tplc="0C0A0019" w:tentative="1">
      <w:start w:val="1"/>
      <w:numFmt w:val="lowerLetter"/>
      <w:lvlText w:val="%2."/>
      <w:lvlJc w:val="left"/>
      <w:pPr>
        <w:ind w:left="1965" w:hanging="360"/>
      </w:pPr>
    </w:lvl>
    <w:lvl w:ilvl="2" w:tplc="0C0A001B" w:tentative="1">
      <w:start w:val="1"/>
      <w:numFmt w:val="lowerRoman"/>
      <w:lvlText w:val="%3."/>
      <w:lvlJc w:val="right"/>
      <w:pPr>
        <w:ind w:left="2685" w:hanging="180"/>
      </w:pPr>
    </w:lvl>
    <w:lvl w:ilvl="3" w:tplc="0C0A000F" w:tentative="1">
      <w:start w:val="1"/>
      <w:numFmt w:val="decimal"/>
      <w:lvlText w:val="%4."/>
      <w:lvlJc w:val="left"/>
      <w:pPr>
        <w:ind w:left="3405" w:hanging="360"/>
      </w:pPr>
    </w:lvl>
    <w:lvl w:ilvl="4" w:tplc="0C0A0019" w:tentative="1">
      <w:start w:val="1"/>
      <w:numFmt w:val="lowerLetter"/>
      <w:lvlText w:val="%5."/>
      <w:lvlJc w:val="left"/>
      <w:pPr>
        <w:ind w:left="4125" w:hanging="360"/>
      </w:pPr>
    </w:lvl>
    <w:lvl w:ilvl="5" w:tplc="0C0A001B" w:tentative="1">
      <w:start w:val="1"/>
      <w:numFmt w:val="lowerRoman"/>
      <w:lvlText w:val="%6."/>
      <w:lvlJc w:val="right"/>
      <w:pPr>
        <w:ind w:left="4845" w:hanging="180"/>
      </w:pPr>
    </w:lvl>
    <w:lvl w:ilvl="6" w:tplc="0C0A000F" w:tentative="1">
      <w:start w:val="1"/>
      <w:numFmt w:val="decimal"/>
      <w:lvlText w:val="%7."/>
      <w:lvlJc w:val="left"/>
      <w:pPr>
        <w:ind w:left="5565" w:hanging="360"/>
      </w:pPr>
    </w:lvl>
    <w:lvl w:ilvl="7" w:tplc="0C0A0019" w:tentative="1">
      <w:start w:val="1"/>
      <w:numFmt w:val="lowerLetter"/>
      <w:lvlText w:val="%8."/>
      <w:lvlJc w:val="left"/>
      <w:pPr>
        <w:ind w:left="6285" w:hanging="360"/>
      </w:pPr>
    </w:lvl>
    <w:lvl w:ilvl="8" w:tplc="0C0A001B" w:tentative="1">
      <w:start w:val="1"/>
      <w:numFmt w:val="lowerRoman"/>
      <w:lvlText w:val="%9."/>
      <w:lvlJc w:val="right"/>
      <w:pPr>
        <w:ind w:left="7005" w:hanging="180"/>
      </w:pPr>
    </w:lvl>
  </w:abstractNum>
  <w:abstractNum w:abstractNumId="24">
    <w:nsid w:val="4D421DC9"/>
    <w:multiLevelType w:val="hybridMultilevel"/>
    <w:tmpl w:val="40488F1A"/>
    <w:lvl w:ilvl="0" w:tplc="212CEA1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F0C54DD"/>
    <w:multiLevelType w:val="hybridMultilevel"/>
    <w:tmpl w:val="AA0AE492"/>
    <w:lvl w:ilvl="0" w:tplc="2832683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4480ADC"/>
    <w:multiLevelType w:val="hybridMultilevel"/>
    <w:tmpl w:val="90826E50"/>
    <w:lvl w:ilvl="0" w:tplc="0C0A000F">
      <w:start w:val="1"/>
      <w:numFmt w:val="decimal"/>
      <w:lvlText w:val="%1."/>
      <w:lvlJc w:val="left"/>
      <w:pPr>
        <w:ind w:left="1528" w:hanging="360"/>
      </w:pPr>
    </w:lvl>
    <w:lvl w:ilvl="1" w:tplc="0C0A0019" w:tentative="1">
      <w:start w:val="1"/>
      <w:numFmt w:val="lowerLetter"/>
      <w:lvlText w:val="%2."/>
      <w:lvlJc w:val="left"/>
      <w:pPr>
        <w:ind w:left="2248" w:hanging="360"/>
      </w:pPr>
    </w:lvl>
    <w:lvl w:ilvl="2" w:tplc="0C0A001B" w:tentative="1">
      <w:start w:val="1"/>
      <w:numFmt w:val="lowerRoman"/>
      <w:lvlText w:val="%3."/>
      <w:lvlJc w:val="right"/>
      <w:pPr>
        <w:ind w:left="2968" w:hanging="180"/>
      </w:pPr>
    </w:lvl>
    <w:lvl w:ilvl="3" w:tplc="0C0A000F" w:tentative="1">
      <w:start w:val="1"/>
      <w:numFmt w:val="decimal"/>
      <w:lvlText w:val="%4."/>
      <w:lvlJc w:val="left"/>
      <w:pPr>
        <w:ind w:left="3688" w:hanging="360"/>
      </w:pPr>
    </w:lvl>
    <w:lvl w:ilvl="4" w:tplc="0C0A0019" w:tentative="1">
      <w:start w:val="1"/>
      <w:numFmt w:val="lowerLetter"/>
      <w:lvlText w:val="%5."/>
      <w:lvlJc w:val="left"/>
      <w:pPr>
        <w:ind w:left="4408" w:hanging="360"/>
      </w:pPr>
    </w:lvl>
    <w:lvl w:ilvl="5" w:tplc="0C0A001B" w:tentative="1">
      <w:start w:val="1"/>
      <w:numFmt w:val="lowerRoman"/>
      <w:lvlText w:val="%6."/>
      <w:lvlJc w:val="right"/>
      <w:pPr>
        <w:ind w:left="5128" w:hanging="180"/>
      </w:pPr>
    </w:lvl>
    <w:lvl w:ilvl="6" w:tplc="0C0A000F" w:tentative="1">
      <w:start w:val="1"/>
      <w:numFmt w:val="decimal"/>
      <w:lvlText w:val="%7."/>
      <w:lvlJc w:val="left"/>
      <w:pPr>
        <w:ind w:left="5848" w:hanging="360"/>
      </w:pPr>
    </w:lvl>
    <w:lvl w:ilvl="7" w:tplc="0C0A0019" w:tentative="1">
      <w:start w:val="1"/>
      <w:numFmt w:val="lowerLetter"/>
      <w:lvlText w:val="%8."/>
      <w:lvlJc w:val="left"/>
      <w:pPr>
        <w:ind w:left="6568" w:hanging="360"/>
      </w:pPr>
    </w:lvl>
    <w:lvl w:ilvl="8" w:tplc="0C0A001B" w:tentative="1">
      <w:start w:val="1"/>
      <w:numFmt w:val="lowerRoman"/>
      <w:lvlText w:val="%9."/>
      <w:lvlJc w:val="right"/>
      <w:pPr>
        <w:ind w:left="7288" w:hanging="180"/>
      </w:pPr>
    </w:lvl>
  </w:abstractNum>
  <w:abstractNum w:abstractNumId="27">
    <w:nsid w:val="54B1522C"/>
    <w:multiLevelType w:val="hybridMultilevel"/>
    <w:tmpl w:val="60C26210"/>
    <w:lvl w:ilvl="0" w:tplc="47F29CD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85A4BC8"/>
    <w:multiLevelType w:val="hybridMultilevel"/>
    <w:tmpl w:val="B8C858A8"/>
    <w:lvl w:ilvl="0" w:tplc="EF9E4894">
      <w:start w:val="8"/>
      <w:numFmt w:val="lowerLetter"/>
      <w:lvlText w:val="%1)"/>
      <w:lvlJc w:val="left"/>
      <w:pPr>
        <w:ind w:left="1065" w:hanging="360"/>
      </w:pPr>
      <w:rPr>
        <w:rFonts w:hint="default"/>
      </w:rPr>
    </w:lvl>
    <w:lvl w:ilvl="1" w:tplc="0C0A0019">
      <w:start w:val="1"/>
      <w:numFmt w:val="lowerLetter"/>
      <w:lvlText w:val="%2."/>
      <w:lvlJc w:val="left"/>
      <w:pPr>
        <w:ind w:left="1636"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9">
    <w:nsid w:val="5B0350EF"/>
    <w:multiLevelType w:val="hybridMultilevel"/>
    <w:tmpl w:val="6E38D1B8"/>
    <w:lvl w:ilvl="0" w:tplc="040A0001">
      <w:start w:val="1"/>
      <w:numFmt w:val="bullet"/>
      <w:lvlText w:val=""/>
      <w:lvlJc w:val="left"/>
      <w:pPr>
        <w:ind w:left="765" w:hanging="360"/>
      </w:pPr>
      <w:rPr>
        <w:rFonts w:ascii="Symbol" w:hAnsi="Symbol" w:hint="default"/>
      </w:rPr>
    </w:lvl>
    <w:lvl w:ilvl="1" w:tplc="040A0003" w:tentative="1">
      <w:start w:val="1"/>
      <w:numFmt w:val="bullet"/>
      <w:lvlText w:val="o"/>
      <w:lvlJc w:val="left"/>
      <w:pPr>
        <w:ind w:left="1485" w:hanging="360"/>
      </w:pPr>
      <w:rPr>
        <w:rFonts w:ascii="Courier New" w:hAnsi="Courier New" w:cs="Courier New" w:hint="default"/>
      </w:rPr>
    </w:lvl>
    <w:lvl w:ilvl="2" w:tplc="040A0005" w:tentative="1">
      <w:start w:val="1"/>
      <w:numFmt w:val="bullet"/>
      <w:lvlText w:val=""/>
      <w:lvlJc w:val="left"/>
      <w:pPr>
        <w:ind w:left="2205" w:hanging="360"/>
      </w:pPr>
      <w:rPr>
        <w:rFonts w:ascii="Wingdings" w:hAnsi="Wingdings" w:hint="default"/>
      </w:rPr>
    </w:lvl>
    <w:lvl w:ilvl="3" w:tplc="040A0001" w:tentative="1">
      <w:start w:val="1"/>
      <w:numFmt w:val="bullet"/>
      <w:lvlText w:val=""/>
      <w:lvlJc w:val="left"/>
      <w:pPr>
        <w:ind w:left="2925" w:hanging="360"/>
      </w:pPr>
      <w:rPr>
        <w:rFonts w:ascii="Symbol" w:hAnsi="Symbol" w:hint="default"/>
      </w:rPr>
    </w:lvl>
    <w:lvl w:ilvl="4" w:tplc="040A0003" w:tentative="1">
      <w:start w:val="1"/>
      <w:numFmt w:val="bullet"/>
      <w:lvlText w:val="o"/>
      <w:lvlJc w:val="left"/>
      <w:pPr>
        <w:ind w:left="3645" w:hanging="360"/>
      </w:pPr>
      <w:rPr>
        <w:rFonts w:ascii="Courier New" w:hAnsi="Courier New" w:cs="Courier New" w:hint="default"/>
      </w:rPr>
    </w:lvl>
    <w:lvl w:ilvl="5" w:tplc="040A0005" w:tentative="1">
      <w:start w:val="1"/>
      <w:numFmt w:val="bullet"/>
      <w:lvlText w:val=""/>
      <w:lvlJc w:val="left"/>
      <w:pPr>
        <w:ind w:left="4365" w:hanging="360"/>
      </w:pPr>
      <w:rPr>
        <w:rFonts w:ascii="Wingdings" w:hAnsi="Wingdings" w:hint="default"/>
      </w:rPr>
    </w:lvl>
    <w:lvl w:ilvl="6" w:tplc="040A0001" w:tentative="1">
      <w:start w:val="1"/>
      <w:numFmt w:val="bullet"/>
      <w:lvlText w:val=""/>
      <w:lvlJc w:val="left"/>
      <w:pPr>
        <w:ind w:left="5085" w:hanging="360"/>
      </w:pPr>
      <w:rPr>
        <w:rFonts w:ascii="Symbol" w:hAnsi="Symbol" w:hint="default"/>
      </w:rPr>
    </w:lvl>
    <w:lvl w:ilvl="7" w:tplc="040A0003" w:tentative="1">
      <w:start w:val="1"/>
      <w:numFmt w:val="bullet"/>
      <w:lvlText w:val="o"/>
      <w:lvlJc w:val="left"/>
      <w:pPr>
        <w:ind w:left="5805" w:hanging="360"/>
      </w:pPr>
      <w:rPr>
        <w:rFonts w:ascii="Courier New" w:hAnsi="Courier New" w:cs="Courier New" w:hint="default"/>
      </w:rPr>
    </w:lvl>
    <w:lvl w:ilvl="8" w:tplc="040A0005" w:tentative="1">
      <w:start w:val="1"/>
      <w:numFmt w:val="bullet"/>
      <w:lvlText w:val=""/>
      <w:lvlJc w:val="left"/>
      <w:pPr>
        <w:ind w:left="6525" w:hanging="360"/>
      </w:pPr>
      <w:rPr>
        <w:rFonts w:ascii="Wingdings" w:hAnsi="Wingdings" w:hint="default"/>
      </w:rPr>
    </w:lvl>
  </w:abstractNum>
  <w:abstractNum w:abstractNumId="30">
    <w:nsid w:val="5BB44183"/>
    <w:multiLevelType w:val="hybridMultilevel"/>
    <w:tmpl w:val="643CCF26"/>
    <w:lvl w:ilvl="0" w:tplc="EF3A3D8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03111AE"/>
    <w:multiLevelType w:val="hybridMultilevel"/>
    <w:tmpl w:val="F48E8616"/>
    <w:lvl w:ilvl="0" w:tplc="67C8EFF8">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506"/>
        </w:tabs>
        <w:ind w:left="1506" w:hanging="360"/>
      </w:pPr>
      <w:rPr>
        <w:rFonts w:ascii="Courier New" w:hAnsi="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32">
    <w:nsid w:val="64927B6A"/>
    <w:multiLevelType w:val="hybridMultilevel"/>
    <w:tmpl w:val="D2348E1A"/>
    <w:lvl w:ilvl="0" w:tplc="0C0A000F">
      <w:start w:val="1"/>
      <w:numFmt w:val="decimal"/>
      <w:lvlText w:val="%1."/>
      <w:lvlJc w:val="left"/>
      <w:pPr>
        <w:ind w:left="1245" w:hanging="360"/>
      </w:pPr>
    </w:lvl>
    <w:lvl w:ilvl="1" w:tplc="0C0A0019" w:tentative="1">
      <w:start w:val="1"/>
      <w:numFmt w:val="lowerLetter"/>
      <w:lvlText w:val="%2."/>
      <w:lvlJc w:val="left"/>
      <w:pPr>
        <w:ind w:left="1965" w:hanging="360"/>
      </w:pPr>
    </w:lvl>
    <w:lvl w:ilvl="2" w:tplc="0C0A001B" w:tentative="1">
      <w:start w:val="1"/>
      <w:numFmt w:val="lowerRoman"/>
      <w:lvlText w:val="%3."/>
      <w:lvlJc w:val="right"/>
      <w:pPr>
        <w:ind w:left="2685" w:hanging="180"/>
      </w:pPr>
    </w:lvl>
    <w:lvl w:ilvl="3" w:tplc="0C0A000F" w:tentative="1">
      <w:start w:val="1"/>
      <w:numFmt w:val="decimal"/>
      <w:lvlText w:val="%4."/>
      <w:lvlJc w:val="left"/>
      <w:pPr>
        <w:ind w:left="3405" w:hanging="360"/>
      </w:pPr>
    </w:lvl>
    <w:lvl w:ilvl="4" w:tplc="0C0A0019" w:tentative="1">
      <w:start w:val="1"/>
      <w:numFmt w:val="lowerLetter"/>
      <w:lvlText w:val="%5."/>
      <w:lvlJc w:val="left"/>
      <w:pPr>
        <w:ind w:left="4125" w:hanging="360"/>
      </w:pPr>
    </w:lvl>
    <w:lvl w:ilvl="5" w:tplc="0C0A001B" w:tentative="1">
      <w:start w:val="1"/>
      <w:numFmt w:val="lowerRoman"/>
      <w:lvlText w:val="%6."/>
      <w:lvlJc w:val="right"/>
      <w:pPr>
        <w:ind w:left="4845" w:hanging="180"/>
      </w:pPr>
    </w:lvl>
    <w:lvl w:ilvl="6" w:tplc="0C0A000F" w:tentative="1">
      <w:start w:val="1"/>
      <w:numFmt w:val="decimal"/>
      <w:lvlText w:val="%7."/>
      <w:lvlJc w:val="left"/>
      <w:pPr>
        <w:ind w:left="5565" w:hanging="360"/>
      </w:pPr>
    </w:lvl>
    <w:lvl w:ilvl="7" w:tplc="0C0A0019" w:tentative="1">
      <w:start w:val="1"/>
      <w:numFmt w:val="lowerLetter"/>
      <w:lvlText w:val="%8."/>
      <w:lvlJc w:val="left"/>
      <w:pPr>
        <w:ind w:left="6285" w:hanging="360"/>
      </w:pPr>
    </w:lvl>
    <w:lvl w:ilvl="8" w:tplc="0C0A001B" w:tentative="1">
      <w:start w:val="1"/>
      <w:numFmt w:val="lowerRoman"/>
      <w:lvlText w:val="%9."/>
      <w:lvlJc w:val="right"/>
      <w:pPr>
        <w:ind w:left="7005" w:hanging="180"/>
      </w:pPr>
    </w:lvl>
  </w:abstractNum>
  <w:abstractNum w:abstractNumId="33">
    <w:nsid w:val="665644CE"/>
    <w:multiLevelType w:val="hybridMultilevel"/>
    <w:tmpl w:val="943C30E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70339E4"/>
    <w:multiLevelType w:val="hybridMultilevel"/>
    <w:tmpl w:val="4132699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nsid w:val="677F3454"/>
    <w:multiLevelType w:val="hybridMultilevel"/>
    <w:tmpl w:val="891A4A76"/>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6">
    <w:nsid w:val="69BF1E45"/>
    <w:multiLevelType w:val="hybridMultilevel"/>
    <w:tmpl w:val="41629DFE"/>
    <w:lvl w:ilvl="0" w:tplc="6DA484B2">
      <w:start w:val="1"/>
      <w:numFmt w:val="decimal"/>
      <w:lvlText w:val="%1."/>
      <w:lvlJc w:val="left"/>
      <w:pPr>
        <w:ind w:left="1047" w:hanging="360"/>
      </w:pPr>
      <w:rPr>
        <w:rFonts w:hint="default"/>
      </w:rPr>
    </w:lvl>
    <w:lvl w:ilvl="1" w:tplc="0C0A0019" w:tentative="1">
      <w:start w:val="1"/>
      <w:numFmt w:val="lowerLetter"/>
      <w:lvlText w:val="%2."/>
      <w:lvlJc w:val="left"/>
      <w:pPr>
        <w:ind w:left="1767" w:hanging="360"/>
      </w:pPr>
    </w:lvl>
    <w:lvl w:ilvl="2" w:tplc="0C0A001B" w:tentative="1">
      <w:start w:val="1"/>
      <w:numFmt w:val="lowerRoman"/>
      <w:lvlText w:val="%3."/>
      <w:lvlJc w:val="right"/>
      <w:pPr>
        <w:ind w:left="2487" w:hanging="180"/>
      </w:pPr>
    </w:lvl>
    <w:lvl w:ilvl="3" w:tplc="0C0A000F" w:tentative="1">
      <w:start w:val="1"/>
      <w:numFmt w:val="decimal"/>
      <w:lvlText w:val="%4."/>
      <w:lvlJc w:val="left"/>
      <w:pPr>
        <w:ind w:left="3207" w:hanging="360"/>
      </w:pPr>
    </w:lvl>
    <w:lvl w:ilvl="4" w:tplc="0C0A0019" w:tentative="1">
      <w:start w:val="1"/>
      <w:numFmt w:val="lowerLetter"/>
      <w:lvlText w:val="%5."/>
      <w:lvlJc w:val="left"/>
      <w:pPr>
        <w:ind w:left="3927" w:hanging="360"/>
      </w:pPr>
    </w:lvl>
    <w:lvl w:ilvl="5" w:tplc="0C0A001B" w:tentative="1">
      <w:start w:val="1"/>
      <w:numFmt w:val="lowerRoman"/>
      <w:lvlText w:val="%6."/>
      <w:lvlJc w:val="right"/>
      <w:pPr>
        <w:ind w:left="4647" w:hanging="180"/>
      </w:pPr>
    </w:lvl>
    <w:lvl w:ilvl="6" w:tplc="0C0A000F" w:tentative="1">
      <w:start w:val="1"/>
      <w:numFmt w:val="decimal"/>
      <w:lvlText w:val="%7."/>
      <w:lvlJc w:val="left"/>
      <w:pPr>
        <w:ind w:left="5367" w:hanging="360"/>
      </w:pPr>
    </w:lvl>
    <w:lvl w:ilvl="7" w:tplc="0C0A0019" w:tentative="1">
      <w:start w:val="1"/>
      <w:numFmt w:val="lowerLetter"/>
      <w:lvlText w:val="%8."/>
      <w:lvlJc w:val="left"/>
      <w:pPr>
        <w:ind w:left="6087" w:hanging="360"/>
      </w:pPr>
    </w:lvl>
    <w:lvl w:ilvl="8" w:tplc="0C0A001B" w:tentative="1">
      <w:start w:val="1"/>
      <w:numFmt w:val="lowerRoman"/>
      <w:lvlText w:val="%9."/>
      <w:lvlJc w:val="right"/>
      <w:pPr>
        <w:ind w:left="6807" w:hanging="180"/>
      </w:pPr>
    </w:lvl>
  </w:abstractNum>
  <w:abstractNum w:abstractNumId="37">
    <w:nsid w:val="6B8759A4"/>
    <w:multiLevelType w:val="hybridMultilevel"/>
    <w:tmpl w:val="4D6204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CDD2E33"/>
    <w:multiLevelType w:val="hybridMultilevel"/>
    <w:tmpl w:val="1CDC7B1A"/>
    <w:lvl w:ilvl="0" w:tplc="0C0A000D">
      <w:start w:val="1"/>
      <w:numFmt w:val="bullet"/>
      <w:lvlText w:val=""/>
      <w:lvlJc w:val="left"/>
      <w:pPr>
        <w:ind w:left="2007" w:hanging="360"/>
      </w:pPr>
      <w:rPr>
        <w:rFonts w:ascii="Wingdings" w:hAnsi="Wingdings"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39">
    <w:nsid w:val="6E4B736D"/>
    <w:multiLevelType w:val="hybridMultilevel"/>
    <w:tmpl w:val="E2906F3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nsid w:val="728366DF"/>
    <w:multiLevelType w:val="hybridMultilevel"/>
    <w:tmpl w:val="676E4EC6"/>
    <w:lvl w:ilvl="0" w:tplc="0C0A0001">
      <w:start w:val="1"/>
      <w:numFmt w:val="bullet"/>
      <w:lvlText w:val=""/>
      <w:lvlJc w:val="left"/>
      <w:pPr>
        <w:ind w:left="1260" w:hanging="360"/>
      </w:pPr>
      <w:rPr>
        <w:rFonts w:ascii="Symbol" w:hAnsi="Symbol"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41">
    <w:nsid w:val="742B654B"/>
    <w:multiLevelType w:val="hybridMultilevel"/>
    <w:tmpl w:val="B6BCD0AA"/>
    <w:lvl w:ilvl="0" w:tplc="B00A198E">
      <w:start w:val="3"/>
      <w:numFmt w:val="bullet"/>
      <w:lvlText w:val="-"/>
      <w:lvlJc w:val="left"/>
      <w:pPr>
        <w:ind w:left="928" w:hanging="360"/>
      </w:pPr>
      <w:rPr>
        <w:rFonts w:ascii="NewBaskerville" w:eastAsia="Times New Roman" w:hAnsi="NewBaskerville" w:cs="Times New Roman"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42">
    <w:nsid w:val="75D7042D"/>
    <w:multiLevelType w:val="hybridMultilevel"/>
    <w:tmpl w:val="D758E7EA"/>
    <w:lvl w:ilvl="0" w:tplc="0C0A000F">
      <w:start w:val="1"/>
      <w:numFmt w:val="decimal"/>
      <w:lvlText w:val="%1."/>
      <w:lvlJc w:val="left"/>
      <w:pPr>
        <w:ind w:left="1245" w:hanging="360"/>
      </w:pPr>
    </w:lvl>
    <w:lvl w:ilvl="1" w:tplc="0C0A0019" w:tentative="1">
      <w:start w:val="1"/>
      <w:numFmt w:val="lowerLetter"/>
      <w:lvlText w:val="%2."/>
      <w:lvlJc w:val="left"/>
      <w:pPr>
        <w:ind w:left="1965" w:hanging="360"/>
      </w:pPr>
    </w:lvl>
    <w:lvl w:ilvl="2" w:tplc="0C0A001B" w:tentative="1">
      <w:start w:val="1"/>
      <w:numFmt w:val="lowerRoman"/>
      <w:lvlText w:val="%3."/>
      <w:lvlJc w:val="right"/>
      <w:pPr>
        <w:ind w:left="2685" w:hanging="180"/>
      </w:pPr>
    </w:lvl>
    <w:lvl w:ilvl="3" w:tplc="0C0A000F" w:tentative="1">
      <w:start w:val="1"/>
      <w:numFmt w:val="decimal"/>
      <w:lvlText w:val="%4."/>
      <w:lvlJc w:val="left"/>
      <w:pPr>
        <w:ind w:left="3405" w:hanging="360"/>
      </w:pPr>
    </w:lvl>
    <w:lvl w:ilvl="4" w:tplc="0C0A0019" w:tentative="1">
      <w:start w:val="1"/>
      <w:numFmt w:val="lowerLetter"/>
      <w:lvlText w:val="%5."/>
      <w:lvlJc w:val="left"/>
      <w:pPr>
        <w:ind w:left="4125" w:hanging="360"/>
      </w:pPr>
    </w:lvl>
    <w:lvl w:ilvl="5" w:tplc="0C0A001B" w:tentative="1">
      <w:start w:val="1"/>
      <w:numFmt w:val="lowerRoman"/>
      <w:lvlText w:val="%6."/>
      <w:lvlJc w:val="right"/>
      <w:pPr>
        <w:ind w:left="4845" w:hanging="180"/>
      </w:pPr>
    </w:lvl>
    <w:lvl w:ilvl="6" w:tplc="0C0A000F" w:tentative="1">
      <w:start w:val="1"/>
      <w:numFmt w:val="decimal"/>
      <w:lvlText w:val="%7."/>
      <w:lvlJc w:val="left"/>
      <w:pPr>
        <w:ind w:left="5565" w:hanging="360"/>
      </w:pPr>
    </w:lvl>
    <w:lvl w:ilvl="7" w:tplc="0C0A0019" w:tentative="1">
      <w:start w:val="1"/>
      <w:numFmt w:val="lowerLetter"/>
      <w:lvlText w:val="%8."/>
      <w:lvlJc w:val="left"/>
      <w:pPr>
        <w:ind w:left="6285" w:hanging="360"/>
      </w:pPr>
    </w:lvl>
    <w:lvl w:ilvl="8" w:tplc="0C0A001B" w:tentative="1">
      <w:start w:val="1"/>
      <w:numFmt w:val="lowerRoman"/>
      <w:lvlText w:val="%9."/>
      <w:lvlJc w:val="right"/>
      <w:pPr>
        <w:ind w:left="7005" w:hanging="180"/>
      </w:pPr>
    </w:lvl>
  </w:abstractNum>
  <w:abstractNum w:abstractNumId="43">
    <w:nsid w:val="778327C1"/>
    <w:multiLevelType w:val="hybridMultilevel"/>
    <w:tmpl w:val="D9C865A6"/>
    <w:lvl w:ilvl="0" w:tplc="5868EF32">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44">
    <w:nsid w:val="79A62A63"/>
    <w:multiLevelType w:val="hybridMultilevel"/>
    <w:tmpl w:val="89DC6002"/>
    <w:lvl w:ilvl="0" w:tplc="0C0A000F">
      <w:start w:val="1"/>
      <w:numFmt w:val="decimal"/>
      <w:lvlText w:val="%1."/>
      <w:lvlJc w:val="left"/>
      <w:pPr>
        <w:ind w:left="1245" w:hanging="360"/>
      </w:pPr>
    </w:lvl>
    <w:lvl w:ilvl="1" w:tplc="0C0A0019" w:tentative="1">
      <w:start w:val="1"/>
      <w:numFmt w:val="lowerLetter"/>
      <w:lvlText w:val="%2."/>
      <w:lvlJc w:val="left"/>
      <w:pPr>
        <w:ind w:left="1965" w:hanging="360"/>
      </w:pPr>
    </w:lvl>
    <w:lvl w:ilvl="2" w:tplc="0C0A001B" w:tentative="1">
      <w:start w:val="1"/>
      <w:numFmt w:val="lowerRoman"/>
      <w:lvlText w:val="%3."/>
      <w:lvlJc w:val="right"/>
      <w:pPr>
        <w:ind w:left="2685" w:hanging="180"/>
      </w:pPr>
    </w:lvl>
    <w:lvl w:ilvl="3" w:tplc="0C0A000F" w:tentative="1">
      <w:start w:val="1"/>
      <w:numFmt w:val="decimal"/>
      <w:lvlText w:val="%4."/>
      <w:lvlJc w:val="left"/>
      <w:pPr>
        <w:ind w:left="3405" w:hanging="360"/>
      </w:pPr>
    </w:lvl>
    <w:lvl w:ilvl="4" w:tplc="0C0A0019" w:tentative="1">
      <w:start w:val="1"/>
      <w:numFmt w:val="lowerLetter"/>
      <w:lvlText w:val="%5."/>
      <w:lvlJc w:val="left"/>
      <w:pPr>
        <w:ind w:left="4125" w:hanging="360"/>
      </w:pPr>
    </w:lvl>
    <w:lvl w:ilvl="5" w:tplc="0C0A001B" w:tentative="1">
      <w:start w:val="1"/>
      <w:numFmt w:val="lowerRoman"/>
      <w:lvlText w:val="%6."/>
      <w:lvlJc w:val="right"/>
      <w:pPr>
        <w:ind w:left="4845" w:hanging="180"/>
      </w:pPr>
    </w:lvl>
    <w:lvl w:ilvl="6" w:tplc="0C0A000F" w:tentative="1">
      <w:start w:val="1"/>
      <w:numFmt w:val="decimal"/>
      <w:lvlText w:val="%7."/>
      <w:lvlJc w:val="left"/>
      <w:pPr>
        <w:ind w:left="5565" w:hanging="360"/>
      </w:pPr>
    </w:lvl>
    <w:lvl w:ilvl="7" w:tplc="0C0A0019" w:tentative="1">
      <w:start w:val="1"/>
      <w:numFmt w:val="lowerLetter"/>
      <w:lvlText w:val="%8."/>
      <w:lvlJc w:val="left"/>
      <w:pPr>
        <w:ind w:left="6285" w:hanging="360"/>
      </w:pPr>
    </w:lvl>
    <w:lvl w:ilvl="8" w:tplc="0C0A001B" w:tentative="1">
      <w:start w:val="1"/>
      <w:numFmt w:val="lowerRoman"/>
      <w:lvlText w:val="%9."/>
      <w:lvlJc w:val="right"/>
      <w:pPr>
        <w:ind w:left="7005" w:hanging="180"/>
      </w:pPr>
    </w:lvl>
  </w:abstractNum>
  <w:abstractNum w:abstractNumId="45">
    <w:nsid w:val="7D962EEB"/>
    <w:multiLevelType w:val="hybridMultilevel"/>
    <w:tmpl w:val="4BAC8D3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DD5190F"/>
    <w:multiLevelType w:val="hybridMultilevel"/>
    <w:tmpl w:val="33ACD25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E7A517F"/>
    <w:multiLevelType w:val="hybridMultilevel"/>
    <w:tmpl w:val="55E22404"/>
    <w:lvl w:ilvl="0" w:tplc="0C0A000F">
      <w:start w:val="1"/>
      <w:numFmt w:val="decimal"/>
      <w:lvlText w:val="%1."/>
      <w:lvlJc w:val="left"/>
      <w:pPr>
        <w:ind w:left="1932" w:hanging="360"/>
      </w:pPr>
    </w:lvl>
    <w:lvl w:ilvl="1" w:tplc="0C0A0019" w:tentative="1">
      <w:start w:val="1"/>
      <w:numFmt w:val="lowerLetter"/>
      <w:lvlText w:val="%2."/>
      <w:lvlJc w:val="left"/>
      <w:pPr>
        <w:ind w:left="2652" w:hanging="360"/>
      </w:pPr>
    </w:lvl>
    <w:lvl w:ilvl="2" w:tplc="0C0A001B" w:tentative="1">
      <w:start w:val="1"/>
      <w:numFmt w:val="lowerRoman"/>
      <w:lvlText w:val="%3."/>
      <w:lvlJc w:val="right"/>
      <w:pPr>
        <w:ind w:left="3372" w:hanging="180"/>
      </w:pPr>
    </w:lvl>
    <w:lvl w:ilvl="3" w:tplc="0C0A000F" w:tentative="1">
      <w:start w:val="1"/>
      <w:numFmt w:val="decimal"/>
      <w:lvlText w:val="%4."/>
      <w:lvlJc w:val="left"/>
      <w:pPr>
        <w:ind w:left="4092" w:hanging="360"/>
      </w:pPr>
    </w:lvl>
    <w:lvl w:ilvl="4" w:tplc="0C0A0019" w:tentative="1">
      <w:start w:val="1"/>
      <w:numFmt w:val="lowerLetter"/>
      <w:lvlText w:val="%5."/>
      <w:lvlJc w:val="left"/>
      <w:pPr>
        <w:ind w:left="4812" w:hanging="360"/>
      </w:pPr>
    </w:lvl>
    <w:lvl w:ilvl="5" w:tplc="0C0A001B" w:tentative="1">
      <w:start w:val="1"/>
      <w:numFmt w:val="lowerRoman"/>
      <w:lvlText w:val="%6."/>
      <w:lvlJc w:val="right"/>
      <w:pPr>
        <w:ind w:left="5532" w:hanging="180"/>
      </w:pPr>
    </w:lvl>
    <w:lvl w:ilvl="6" w:tplc="0C0A000F" w:tentative="1">
      <w:start w:val="1"/>
      <w:numFmt w:val="decimal"/>
      <w:lvlText w:val="%7."/>
      <w:lvlJc w:val="left"/>
      <w:pPr>
        <w:ind w:left="6252" w:hanging="360"/>
      </w:pPr>
    </w:lvl>
    <w:lvl w:ilvl="7" w:tplc="0C0A0019" w:tentative="1">
      <w:start w:val="1"/>
      <w:numFmt w:val="lowerLetter"/>
      <w:lvlText w:val="%8."/>
      <w:lvlJc w:val="left"/>
      <w:pPr>
        <w:ind w:left="6972" w:hanging="360"/>
      </w:pPr>
    </w:lvl>
    <w:lvl w:ilvl="8" w:tplc="0C0A001B" w:tentative="1">
      <w:start w:val="1"/>
      <w:numFmt w:val="lowerRoman"/>
      <w:lvlText w:val="%9."/>
      <w:lvlJc w:val="right"/>
      <w:pPr>
        <w:ind w:left="7692" w:hanging="180"/>
      </w:pPr>
    </w:lvl>
  </w:abstractNum>
  <w:abstractNum w:abstractNumId="48">
    <w:nsid w:val="7EF01C4C"/>
    <w:multiLevelType w:val="hybridMultilevel"/>
    <w:tmpl w:val="68E4780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141"/>
        <w:lvlJc w:val="left"/>
        <w:pPr>
          <w:ind w:left="708" w:hanging="141"/>
        </w:pPr>
        <w:rPr>
          <w:rFonts w:ascii="Symbol" w:hAnsi="Symbol" w:hint="default"/>
        </w:rPr>
      </w:lvl>
    </w:lvlOverride>
  </w:num>
  <w:num w:numId="2">
    <w:abstractNumId w:val="43"/>
  </w:num>
  <w:num w:numId="3">
    <w:abstractNumId w:val="15"/>
  </w:num>
  <w:num w:numId="4">
    <w:abstractNumId w:val="1"/>
  </w:num>
  <w:num w:numId="5">
    <w:abstractNumId w:val="28"/>
  </w:num>
  <w:num w:numId="6">
    <w:abstractNumId w:val="11"/>
  </w:num>
  <w:num w:numId="7">
    <w:abstractNumId w:val="21"/>
  </w:num>
  <w:num w:numId="8">
    <w:abstractNumId w:val="29"/>
  </w:num>
  <w:num w:numId="9">
    <w:abstractNumId w:val="18"/>
  </w:num>
  <w:num w:numId="10">
    <w:abstractNumId w:val="36"/>
  </w:num>
  <w:num w:numId="11">
    <w:abstractNumId w:val="22"/>
  </w:num>
  <w:num w:numId="12">
    <w:abstractNumId w:val="35"/>
  </w:num>
  <w:num w:numId="13">
    <w:abstractNumId w:val="24"/>
  </w:num>
  <w:num w:numId="14">
    <w:abstractNumId w:val="27"/>
  </w:num>
  <w:num w:numId="15">
    <w:abstractNumId w:val="39"/>
  </w:num>
  <w:num w:numId="16">
    <w:abstractNumId w:val="12"/>
  </w:num>
  <w:num w:numId="17">
    <w:abstractNumId w:val="16"/>
  </w:num>
  <w:num w:numId="18">
    <w:abstractNumId w:val="10"/>
  </w:num>
  <w:num w:numId="19">
    <w:abstractNumId w:val="48"/>
  </w:num>
  <w:num w:numId="20">
    <w:abstractNumId w:val="44"/>
  </w:num>
  <w:num w:numId="21">
    <w:abstractNumId w:val="23"/>
  </w:num>
  <w:num w:numId="22">
    <w:abstractNumId w:val="42"/>
  </w:num>
  <w:num w:numId="23">
    <w:abstractNumId w:val="32"/>
  </w:num>
  <w:num w:numId="24">
    <w:abstractNumId w:val="2"/>
  </w:num>
  <w:num w:numId="25">
    <w:abstractNumId w:val="14"/>
  </w:num>
  <w:num w:numId="26">
    <w:abstractNumId w:val="5"/>
  </w:num>
  <w:num w:numId="27">
    <w:abstractNumId w:val="34"/>
  </w:num>
  <w:num w:numId="28">
    <w:abstractNumId w:val="30"/>
  </w:num>
  <w:num w:numId="29">
    <w:abstractNumId w:val="25"/>
  </w:num>
  <w:num w:numId="30">
    <w:abstractNumId w:val="13"/>
  </w:num>
  <w:num w:numId="31">
    <w:abstractNumId w:val="7"/>
  </w:num>
  <w:num w:numId="32">
    <w:abstractNumId w:val="26"/>
  </w:num>
  <w:num w:numId="33">
    <w:abstractNumId w:val="8"/>
  </w:num>
  <w:num w:numId="34">
    <w:abstractNumId w:val="45"/>
  </w:num>
  <w:num w:numId="35">
    <w:abstractNumId w:val="46"/>
  </w:num>
  <w:num w:numId="36">
    <w:abstractNumId w:val="33"/>
  </w:num>
  <w:num w:numId="37">
    <w:abstractNumId w:val="4"/>
  </w:num>
  <w:num w:numId="38">
    <w:abstractNumId w:val="20"/>
  </w:num>
  <w:num w:numId="39">
    <w:abstractNumId w:val="38"/>
  </w:num>
  <w:num w:numId="40">
    <w:abstractNumId w:val="31"/>
  </w:num>
  <w:num w:numId="41">
    <w:abstractNumId w:val="6"/>
  </w:num>
  <w:num w:numId="42">
    <w:abstractNumId w:val="9"/>
  </w:num>
  <w:num w:numId="43">
    <w:abstractNumId w:val="41"/>
  </w:num>
  <w:num w:numId="44">
    <w:abstractNumId w:val="19"/>
  </w:num>
  <w:num w:numId="45">
    <w:abstractNumId w:val="47"/>
  </w:num>
  <w:num w:numId="46">
    <w:abstractNumId w:val="17"/>
  </w:num>
  <w:num w:numId="47">
    <w:abstractNumId w:val="37"/>
  </w:num>
  <w:num w:numId="48">
    <w:abstractNumId w:val="40"/>
  </w:num>
  <w:num w:numId="4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hideSpellingErrors/>
  <w:hideGrammaticalErrors/>
  <w:proofState w:spelling="clean" w:grammar="clean"/>
  <w:attachedTemplate r:id="rId1"/>
  <w:defaultTabStop w:val="709"/>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21E"/>
    <w:rsid w:val="0000011D"/>
    <w:rsid w:val="00000AC7"/>
    <w:rsid w:val="00001577"/>
    <w:rsid w:val="00001588"/>
    <w:rsid w:val="00001682"/>
    <w:rsid w:val="00001E0B"/>
    <w:rsid w:val="00002B67"/>
    <w:rsid w:val="00003A48"/>
    <w:rsid w:val="000042A8"/>
    <w:rsid w:val="00004364"/>
    <w:rsid w:val="00004468"/>
    <w:rsid w:val="00004821"/>
    <w:rsid w:val="00004ABB"/>
    <w:rsid w:val="00005756"/>
    <w:rsid w:val="000068AD"/>
    <w:rsid w:val="00006B02"/>
    <w:rsid w:val="000072F2"/>
    <w:rsid w:val="0000780C"/>
    <w:rsid w:val="000104C7"/>
    <w:rsid w:val="00010D3D"/>
    <w:rsid w:val="00011BF3"/>
    <w:rsid w:val="0001276F"/>
    <w:rsid w:val="00015939"/>
    <w:rsid w:val="0001659E"/>
    <w:rsid w:val="0001788C"/>
    <w:rsid w:val="00017E6A"/>
    <w:rsid w:val="0002045F"/>
    <w:rsid w:val="000204BC"/>
    <w:rsid w:val="0002052A"/>
    <w:rsid w:val="00020B55"/>
    <w:rsid w:val="000210E2"/>
    <w:rsid w:val="000214BB"/>
    <w:rsid w:val="00021A30"/>
    <w:rsid w:val="000231A1"/>
    <w:rsid w:val="00023EB8"/>
    <w:rsid w:val="00024765"/>
    <w:rsid w:val="00024AA3"/>
    <w:rsid w:val="00025C4B"/>
    <w:rsid w:val="000263AE"/>
    <w:rsid w:val="000274DE"/>
    <w:rsid w:val="00027678"/>
    <w:rsid w:val="000279A9"/>
    <w:rsid w:val="000300BD"/>
    <w:rsid w:val="000307B8"/>
    <w:rsid w:val="00030DE8"/>
    <w:rsid w:val="00030FFA"/>
    <w:rsid w:val="000313FC"/>
    <w:rsid w:val="000332EA"/>
    <w:rsid w:val="000337F0"/>
    <w:rsid w:val="0003424C"/>
    <w:rsid w:val="00035F9F"/>
    <w:rsid w:val="00036F2A"/>
    <w:rsid w:val="00037643"/>
    <w:rsid w:val="0004087C"/>
    <w:rsid w:val="00040BB6"/>
    <w:rsid w:val="00040E00"/>
    <w:rsid w:val="00043062"/>
    <w:rsid w:val="00044207"/>
    <w:rsid w:val="00044B64"/>
    <w:rsid w:val="000458C5"/>
    <w:rsid w:val="00045A28"/>
    <w:rsid w:val="000469AC"/>
    <w:rsid w:val="00047A30"/>
    <w:rsid w:val="00047E3D"/>
    <w:rsid w:val="00047F91"/>
    <w:rsid w:val="00050985"/>
    <w:rsid w:val="00052604"/>
    <w:rsid w:val="00052B62"/>
    <w:rsid w:val="00052D93"/>
    <w:rsid w:val="000536BA"/>
    <w:rsid w:val="00053A9A"/>
    <w:rsid w:val="00054292"/>
    <w:rsid w:val="000542C8"/>
    <w:rsid w:val="00054B87"/>
    <w:rsid w:val="0005508B"/>
    <w:rsid w:val="0005605C"/>
    <w:rsid w:val="0005620E"/>
    <w:rsid w:val="00056367"/>
    <w:rsid w:val="00057148"/>
    <w:rsid w:val="0005783F"/>
    <w:rsid w:val="00057A33"/>
    <w:rsid w:val="000617FB"/>
    <w:rsid w:val="00061D51"/>
    <w:rsid w:val="00062A97"/>
    <w:rsid w:val="00062EAB"/>
    <w:rsid w:val="0006344B"/>
    <w:rsid w:val="00063565"/>
    <w:rsid w:val="00063785"/>
    <w:rsid w:val="00063E16"/>
    <w:rsid w:val="00063F0F"/>
    <w:rsid w:val="00064EE1"/>
    <w:rsid w:val="000652F5"/>
    <w:rsid w:val="00066FF6"/>
    <w:rsid w:val="0006789D"/>
    <w:rsid w:val="0006790B"/>
    <w:rsid w:val="000718BF"/>
    <w:rsid w:val="0007197A"/>
    <w:rsid w:val="00071C84"/>
    <w:rsid w:val="00072D1A"/>
    <w:rsid w:val="00072E45"/>
    <w:rsid w:val="00073912"/>
    <w:rsid w:val="00073A81"/>
    <w:rsid w:val="00074175"/>
    <w:rsid w:val="00074931"/>
    <w:rsid w:val="0007573B"/>
    <w:rsid w:val="00075A9A"/>
    <w:rsid w:val="00076E63"/>
    <w:rsid w:val="00077612"/>
    <w:rsid w:val="00077BCA"/>
    <w:rsid w:val="00077D64"/>
    <w:rsid w:val="00080084"/>
    <w:rsid w:val="00080511"/>
    <w:rsid w:val="000807C2"/>
    <w:rsid w:val="0008191B"/>
    <w:rsid w:val="00081E15"/>
    <w:rsid w:val="00082992"/>
    <w:rsid w:val="00083185"/>
    <w:rsid w:val="00083BB5"/>
    <w:rsid w:val="00083E35"/>
    <w:rsid w:val="0008430D"/>
    <w:rsid w:val="00084916"/>
    <w:rsid w:val="00085057"/>
    <w:rsid w:val="000870CC"/>
    <w:rsid w:val="00087381"/>
    <w:rsid w:val="00087AAE"/>
    <w:rsid w:val="00090112"/>
    <w:rsid w:val="00090E5E"/>
    <w:rsid w:val="00090EC6"/>
    <w:rsid w:val="00090FAB"/>
    <w:rsid w:val="0009164C"/>
    <w:rsid w:val="00091B3E"/>
    <w:rsid w:val="000927E0"/>
    <w:rsid w:val="00093913"/>
    <w:rsid w:val="00094725"/>
    <w:rsid w:val="00094C6A"/>
    <w:rsid w:val="0009572E"/>
    <w:rsid w:val="00095FD3"/>
    <w:rsid w:val="000960C1"/>
    <w:rsid w:val="00096D11"/>
    <w:rsid w:val="000972BD"/>
    <w:rsid w:val="000975C8"/>
    <w:rsid w:val="00097B54"/>
    <w:rsid w:val="000A09C1"/>
    <w:rsid w:val="000A0CB4"/>
    <w:rsid w:val="000A0E1D"/>
    <w:rsid w:val="000A14A4"/>
    <w:rsid w:val="000A1693"/>
    <w:rsid w:val="000A2082"/>
    <w:rsid w:val="000A2322"/>
    <w:rsid w:val="000A29BC"/>
    <w:rsid w:val="000A2AAF"/>
    <w:rsid w:val="000A350B"/>
    <w:rsid w:val="000A391E"/>
    <w:rsid w:val="000A4C0E"/>
    <w:rsid w:val="000A60B9"/>
    <w:rsid w:val="000A65C0"/>
    <w:rsid w:val="000A6F65"/>
    <w:rsid w:val="000A7012"/>
    <w:rsid w:val="000A76C8"/>
    <w:rsid w:val="000A7777"/>
    <w:rsid w:val="000A7A18"/>
    <w:rsid w:val="000B0113"/>
    <w:rsid w:val="000B4249"/>
    <w:rsid w:val="000B4473"/>
    <w:rsid w:val="000B5444"/>
    <w:rsid w:val="000B5B0D"/>
    <w:rsid w:val="000B5D32"/>
    <w:rsid w:val="000B67EF"/>
    <w:rsid w:val="000B6BB2"/>
    <w:rsid w:val="000B6D28"/>
    <w:rsid w:val="000C0C34"/>
    <w:rsid w:val="000C0E35"/>
    <w:rsid w:val="000C1789"/>
    <w:rsid w:val="000C1BC0"/>
    <w:rsid w:val="000C25EF"/>
    <w:rsid w:val="000C3896"/>
    <w:rsid w:val="000C4583"/>
    <w:rsid w:val="000C5111"/>
    <w:rsid w:val="000C59D6"/>
    <w:rsid w:val="000C5FB0"/>
    <w:rsid w:val="000C66D8"/>
    <w:rsid w:val="000C6CDD"/>
    <w:rsid w:val="000C6DB5"/>
    <w:rsid w:val="000D00D0"/>
    <w:rsid w:val="000D00E6"/>
    <w:rsid w:val="000D0330"/>
    <w:rsid w:val="000D0B74"/>
    <w:rsid w:val="000D0C50"/>
    <w:rsid w:val="000D10E4"/>
    <w:rsid w:val="000D170C"/>
    <w:rsid w:val="000D1AE5"/>
    <w:rsid w:val="000D233E"/>
    <w:rsid w:val="000D31C6"/>
    <w:rsid w:val="000D3F81"/>
    <w:rsid w:val="000D5121"/>
    <w:rsid w:val="000D5A55"/>
    <w:rsid w:val="000D60BD"/>
    <w:rsid w:val="000D6842"/>
    <w:rsid w:val="000D6E28"/>
    <w:rsid w:val="000D7416"/>
    <w:rsid w:val="000E1482"/>
    <w:rsid w:val="000E18AF"/>
    <w:rsid w:val="000E297C"/>
    <w:rsid w:val="000E2D19"/>
    <w:rsid w:val="000E49AF"/>
    <w:rsid w:val="000E4DC4"/>
    <w:rsid w:val="000E5C11"/>
    <w:rsid w:val="000E5D88"/>
    <w:rsid w:val="000E6BD4"/>
    <w:rsid w:val="000E71DA"/>
    <w:rsid w:val="000F06FB"/>
    <w:rsid w:val="000F36F8"/>
    <w:rsid w:val="000F381C"/>
    <w:rsid w:val="000F3A6B"/>
    <w:rsid w:val="000F3AD4"/>
    <w:rsid w:val="000F4124"/>
    <w:rsid w:val="000F4192"/>
    <w:rsid w:val="000F532A"/>
    <w:rsid w:val="000F5829"/>
    <w:rsid w:val="001001B0"/>
    <w:rsid w:val="00100DA5"/>
    <w:rsid w:val="0010198F"/>
    <w:rsid w:val="00102226"/>
    <w:rsid w:val="00102DF0"/>
    <w:rsid w:val="00103003"/>
    <w:rsid w:val="0010426E"/>
    <w:rsid w:val="00104546"/>
    <w:rsid w:val="001052A7"/>
    <w:rsid w:val="00105588"/>
    <w:rsid w:val="0010596D"/>
    <w:rsid w:val="001060CD"/>
    <w:rsid w:val="00106204"/>
    <w:rsid w:val="00106A43"/>
    <w:rsid w:val="00106C9E"/>
    <w:rsid w:val="00107DB6"/>
    <w:rsid w:val="001102E6"/>
    <w:rsid w:val="00110779"/>
    <w:rsid w:val="001117FA"/>
    <w:rsid w:val="0011288F"/>
    <w:rsid w:val="00112BE6"/>
    <w:rsid w:val="001131CC"/>
    <w:rsid w:val="001151CE"/>
    <w:rsid w:val="001152FD"/>
    <w:rsid w:val="00115B4D"/>
    <w:rsid w:val="00116150"/>
    <w:rsid w:val="001164D2"/>
    <w:rsid w:val="0011793D"/>
    <w:rsid w:val="001179B4"/>
    <w:rsid w:val="00117D4F"/>
    <w:rsid w:val="001207A8"/>
    <w:rsid w:val="001208BE"/>
    <w:rsid w:val="00120B99"/>
    <w:rsid w:val="00121405"/>
    <w:rsid w:val="001214AF"/>
    <w:rsid w:val="00122761"/>
    <w:rsid w:val="0012293C"/>
    <w:rsid w:val="00123FA2"/>
    <w:rsid w:val="00124395"/>
    <w:rsid w:val="0012523A"/>
    <w:rsid w:val="0012610B"/>
    <w:rsid w:val="0012715B"/>
    <w:rsid w:val="00130051"/>
    <w:rsid w:val="00130323"/>
    <w:rsid w:val="001307F8"/>
    <w:rsid w:val="00130FA3"/>
    <w:rsid w:val="001310D5"/>
    <w:rsid w:val="00131130"/>
    <w:rsid w:val="00131F22"/>
    <w:rsid w:val="00131F5A"/>
    <w:rsid w:val="001328BC"/>
    <w:rsid w:val="00132A6C"/>
    <w:rsid w:val="00133B47"/>
    <w:rsid w:val="001343C0"/>
    <w:rsid w:val="001345E7"/>
    <w:rsid w:val="001347F6"/>
    <w:rsid w:val="001349EC"/>
    <w:rsid w:val="0013506A"/>
    <w:rsid w:val="00135089"/>
    <w:rsid w:val="00135274"/>
    <w:rsid w:val="001353B8"/>
    <w:rsid w:val="00135553"/>
    <w:rsid w:val="001357FE"/>
    <w:rsid w:val="00135B75"/>
    <w:rsid w:val="00135BD4"/>
    <w:rsid w:val="00135DE2"/>
    <w:rsid w:val="001364AC"/>
    <w:rsid w:val="00136F83"/>
    <w:rsid w:val="00137591"/>
    <w:rsid w:val="00141615"/>
    <w:rsid w:val="00141842"/>
    <w:rsid w:val="00142B01"/>
    <w:rsid w:val="00142EF3"/>
    <w:rsid w:val="00143F40"/>
    <w:rsid w:val="00144D95"/>
    <w:rsid w:val="001451BC"/>
    <w:rsid w:val="001464F3"/>
    <w:rsid w:val="00146C8B"/>
    <w:rsid w:val="0015021A"/>
    <w:rsid w:val="0015041F"/>
    <w:rsid w:val="00150C5B"/>
    <w:rsid w:val="0015169C"/>
    <w:rsid w:val="00151837"/>
    <w:rsid w:val="00151A2A"/>
    <w:rsid w:val="00151F71"/>
    <w:rsid w:val="00152423"/>
    <w:rsid w:val="00153210"/>
    <w:rsid w:val="001533F3"/>
    <w:rsid w:val="00155204"/>
    <w:rsid w:val="001552D3"/>
    <w:rsid w:val="0015738A"/>
    <w:rsid w:val="00157F37"/>
    <w:rsid w:val="00160B53"/>
    <w:rsid w:val="001620C8"/>
    <w:rsid w:val="00162798"/>
    <w:rsid w:val="0016369C"/>
    <w:rsid w:val="00164D13"/>
    <w:rsid w:val="00165DB1"/>
    <w:rsid w:val="00166548"/>
    <w:rsid w:val="00166ACF"/>
    <w:rsid w:val="00171290"/>
    <w:rsid w:val="001713E2"/>
    <w:rsid w:val="00171911"/>
    <w:rsid w:val="001721E8"/>
    <w:rsid w:val="00172314"/>
    <w:rsid w:val="001724E7"/>
    <w:rsid w:val="00172586"/>
    <w:rsid w:val="00172B61"/>
    <w:rsid w:val="0017441D"/>
    <w:rsid w:val="00174816"/>
    <w:rsid w:val="00176C18"/>
    <w:rsid w:val="00177858"/>
    <w:rsid w:val="0018037A"/>
    <w:rsid w:val="001805BE"/>
    <w:rsid w:val="001807BF"/>
    <w:rsid w:val="00180D76"/>
    <w:rsid w:val="0018131B"/>
    <w:rsid w:val="00181360"/>
    <w:rsid w:val="00181994"/>
    <w:rsid w:val="00182783"/>
    <w:rsid w:val="00182996"/>
    <w:rsid w:val="00182E0D"/>
    <w:rsid w:val="0018380E"/>
    <w:rsid w:val="001845F2"/>
    <w:rsid w:val="00184A43"/>
    <w:rsid w:val="00184D9F"/>
    <w:rsid w:val="001851CC"/>
    <w:rsid w:val="00185A81"/>
    <w:rsid w:val="00185F6B"/>
    <w:rsid w:val="00186981"/>
    <w:rsid w:val="0018743C"/>
    <w:rsid w:val="00187A36"/>
    <w:rsid w:val="001918C2"/>
    <w:rsid w:val="00191E47"/>
    <w:rsid w:val="001924E4"/>
    <w:rsid w:val="00192C0A"/>
    <w:rsid w:val="00192EA6"/>
    <w:rsid w:val="00193B0E"/>
    <w:rsid w:val="0019446E"/>
    <w:rsid w:val="00195BB2"/>
    <w:rsid w:val="0019630E"/>
    <w:rsid w:val="00196446"/>
    <w:rsid w:val="00196827"/>
    <w:rsid w:val="0019683C"/>
    <w:rsid w:val="00196E5D"/>
    <w:rsid w:val="001977E2"/>
    <w:rsid w:val="0019799A"/>
    <w:rsid w:val="00197B01"/>
    <w:rsid w:val="001A0434"/>
    <w:rsid w:val="001A0A1D"/>
    <w:rsid w:val="001A0F52"/>
    <w:rsid w:val="001A2CED"/>
    <w:rsid w:val="001A33AF"/>
    <w:rsid w:val="001A34F1"/>
    <w:rsid w:val="001A3911"/>
    <w:rsid w:val="001A392A"/>
    <w:rsid w:val="001A3E07"/>
    <w:rsid w:val="001A4533"/>
    <w:rsid w:val="001A55AC"/>
    <w:rsid w:val="001A586B"/>
    <w:rsid w:val="001A6A2D"/>
    <w:rsid w:val="001A70D5"/>
    <w:rsid w:val="001B04A4"/>
    <w:rsid w:val="001B08A8"/>
    <w:rsid w:val="001B17EE"/>
    <w:rsid w:val="001B1823"/>
    <w:rsid w:val="001B3461"/>
    <w:rsid w:val="001B3F2B"/>
    <w:rsid w:val="001B4116"/>
    <w:rsid w:val="001B4EA5"/>
    <w:rsid w:val="001B67D5"/>
    <w:rsid w:val="001B6A43"/>
    <w:rsid w:val="001B6FB4"/>
    <w:rsid w:val="001B7235"/>
    <w:rsid w:val="001C0BF3"/>
    <w:rsid w:val="001C1AC2"/>
    <w:rsid w:val="001C291E"/>
    <w:rsid w:val="001C4597"/>
    <w:rsid w:val="001C46EB"/>
    <w:rsid w:val="001C4AC4"/>
    <w:rsid w:val="001C4AD5"/>
    <w:rsid w:val="001C517B"/>
    <w:rsid w:val="001C55E7"/>
    <w:rsid w:val="001C64FA"/>
    <w:rsid w:val="001C652A"/>
    <w:rsid w:val="001C7D4E"/>
    <w:rsid w:val="001D0DDF"/>
    <w:rsid w:val="001D192C"/>
    <w:rsid w:val="001D2529"/>
    <w:rsid w:val="001D269F"/>
    <w:rsid w:val="001D2BB5"/>
    <w:rsid w:val="001D30F9"/>
    <w:rsid w:val="001D3DA0"/>
    <w:rsid w:val="001D4A5A"/>
    <w:rsid w:val="001D5391"/>
    <w:rsid w:val="001D5514"/>
    <w:rsid w:val="001D6131"/>
    <w:rsid w:val="001D6361"/>
    <w:rsid w:val="001D6766"/>
    <w:rsid w:val="001D683A"/>
    <w:rsid w:val="001D6F75"/>
    <w:rsid w:val="001D6FC3"/>
    <w:rsid w:val="001D7B4B"/>
    <w:rsid w:val="001E0345"/>
    <w:rsid w:val="001E08C1"/>
    <w:rsid w:val="001E0B03"/>
    <w:rsid w:val="001E0B1D"/>
    <w:rsid w:val="001E0CF2"/>
    <w:rsid w:val="001E32A9"/>
    <w:rsid w:val="001E4561"/>
    <w:rsid w:val="001E4C9E"/>
    <w:rsid w:val="001E4D8C"/>
    <w:rsid w:val="001E527C"/>
    <w:rsid w:val="001E5449"/>
    <w:rsid w:val="001E5C4A"/>
    <w:rsid w:val="001E6D35"/>
    <w:rsid w:val="001F0356"/>
    <w:rsid w:val="001F07F4"/>
    <w:rsid w:val="001F090A"/>
    <w:rsid w:val="001F1A84"/>
    <w:rsid w:val="001F1C97"/>
    <w:rsid w:val="001F2058"/>
    <w:rsid w:val="001F21C8"/>
    <w:rsid w:val="001F2D6C"/>
    <w:rsid w:val="001F2DBA"/>
    <w:rsid w:val="001F3C90"/>
    <w:rsid w:val="001F3FC4"/>
    <w:rsid w:val="001F44F3"/>
    <w:rsid w:val="001F4C4A"/>
    <w:rsid w:val="001F4F5E"/>
    <w:rsid w:val="001F5CB7"/>
    <w:rsid w:val="001F5D88"/>
    <w:rsid w:val="001F63B5"/>
    <w:rsid w:val="001F69CD"/>
    <w:rsid w:val="001F780C"/>
    <w:rsid w:val="001F78EB"/>
    <w:rsid w:val="001F79D2"/>
    <w:rsid w:val="00200CC0"/>
    <w:rsid w:val="0020160E"/>
    <w:rsid w:val="002019D4"/>
    <w:rsid w:val="00202455"/>
    <w:rsid w:val="0020321B"/>
    <w:rsid w:val="0020324A"/>
    <w:rsid w:val="00204019"/>
    <w:rsid w:val="002049F3"/>
    <w:rsid w:val="00204D85"/>
    <w:rsid w:val="00205163"/>
    <w:rsid w:val="00205177"/>
    <w:rsid w:val="002055C9"/>
    <w:rsid w:val="0020662C"/>
    <w:rsid w:val="002075D9"/>
    <w:rsid w:val="002109C2"/>
    <w:rsid w:val="002114E5"/>
    <w:rsid w:val="002124C5"/>
    <w:rsid w:val="002129CC"/>
    <w:rsid w:val="00215EE3"/>
    <w:rsid w:val="002167B4"/>
    <w:rsid w:val="002169B2"/>
    <w:rsid w:val="00216CF6"/>
    <w:rsid w:val="00216D27"/>
    <w:rsid w:val="0021767A"/>
    <w:rsid w:val="00217B1F"/>
    <w:rsid w:val="002202F5"/>
    <w:rsid w:val="00221503"/>
    <w:rsid w:val="0022171E"/>
    <w:rsid w:val="00222033"/>
    <w:rsid w:val="002231C2"/>
    <w:rsid w:val="00223769"/>
    <w:rsid w:val="002240CE"/>
    <w:rsid w:val="00224843"/>
    <w:rsid w:val="00224D72"/>
    <w:rsid w:val="002250E6"/>
    <w:rsid w:val="00225A1C"/>
    <w:rsid w:val="00226D3C"/>
    <w:rsid w:val="00226FC9"/>
    <w:rsid w:val="00227164"/>
    <w:rsid w:val="002275DC"/>
    <w:rsid w:val="0022787E"/>
    <w:rsid w:val="002304EF"/>
    <w:rsid w:val="00231135"/>
    <w:rsid w:val="002314A2"/>
    <w:rsid w:val="0023152E"/>
    <w:rsid w:val="00231C06"/>
    <w:rsid w:val="00232672"/>
    <w:rsid w:val="00234084"/>
    <w:rsid w:val="00234116"/>
    <w:rsid w:val="00235D8F"/>
    <w:rsid w:val="00240624"/>
    <w:rsid w:val="0024083E"/>
    <w:rsid w:val="00240C15"/>
    <w:rsid w:val="00240C49"/>
    <w:rsid w:val="00240F9A"/>
    <w:rsid w:val="0024168D"/>
    <w:rsid w:val="00241CB9"/>
    <w:rsid w:val="002420DC"/>
    <w:rsid w:val="00242637"/>
    <w:rsid w:val="00242A6D"/>
    <w:rsid w:val="00242B4E"/>
    <w:rsid w:val="00243425"/>
    <w:rsid w:val="002450EE"/>
    <w:rsid w:val="00245534"/>
    <w:rsid w:val="0025069A"/>
    <w:rsid w:val="00250764"/>
    <w:rsid w:val="002523BC"/>
    <w:rsid w:val="00252C1B"/>
    <w:rsid w:val="00253378"/>
    <w:rsid w:val="002537FF"/>
    <w:rsid w:val="00255058"/>
    <w:rsid w:val="002552B2"/>
    <w:rsid w:val="0025549F"/>
    <w:rsid w:val="00255AC3"/>
    <w:rsid w:val="00257560"/>
    <w:rsid w:val="002578A1"/>
    <w:rsid w:val="002607C8"/>
    <w:rsid w:val="00262457"/>
    <w:rsid w:val="00262607"/>
    <w:rsid w:val="00262737"/>
    <w:rsid w:val="00262F42"/>
    <w:rsid w:val="00263DAC"/>
    <w:rsid w:val="00264BCA"/>
    <w:rsid w:val="0026604C"/>
    <w:rsid w:val="00266597"/>
    <w:rsid w:val="0026680E"/>
    <w:rsid w:val="00266E60"/>
    <w:rsid w:val="00267385"/>
    <w:rsid w:val="00267551"/>
    <w:rsid w:val="002709D5"/>
    <w:rsid w:val="00270D60"/>
    <w:rsid w:val="0027108A"/>
    <w:rsid w:val="002713E4"/>
    <w:rsid w:val="00271A91"/>
    <w:rsid w:val="002729EB"/>
    <w:rsid w:val="00272DAD"/>
    <w:rsid w:val="00272FBD"/>
    <w:rsid w:val="00273483"/>
    <w:rsid w:val="00273586"/>
    <w:rsid w:val="00273F00"/>
    <w:rsid w:val="00275136"/>
    <w:rsid w:val="00275168"/>
    <w:rsid w:val="002757E2"/>
    <w:rsid w:val="00276605"/>
    <w:rsid w:val="00276B31"/>
    <w:rsid w:val="00276E33"/>
    <w:rsid w:val="00276F7D"/>
    <w:rsid w:val="00277D62"/>
    <w:rsid w:val="002801A3"/>
    <w:rsid w:val="00280B87"/>
    <w:rsid w:val="00281B94"/>
    <w:rsid w:val="002832E5"/>
    <w:rsid w:val="0028357E"/>
    <w:rsid w:val="00284351"/>
    <w:rsid w:val="0028570D"/>
    <w:rsid w:val="0028658D"/>
    <w:rsid w:val="00286F67"/>
    <w:rsid w:val="00290279"/>
    <w:rsid w:val="002918E7"/>
    <w:rsid w:val="00291D1A"/>
    <w:rsid w:val="00292059"/>
    <w:rsid w:val="002929D6"/>
    <w:rsid w:val="0029449B"/>
    <w:rsid w:val="00294816"/>
    <w:rsid w:val="00295665"/>
    <w:rsid w:val="00295E59"/>
    <w:rsid w:val="0029608C"/>
    <w:rsid w:val="002961C0"/>
    <w:rsid w:val="00296F9E"/>
    <w:rsid w:val="002972ED"/>
    <w:rsid w:val="00297B5F"/>
    <w:rsid w:val="002A0A01"/>
    <w:rsid w:val="002A243C"/>
    <w:rsid w:val="002A3A43"/>
    <w:rsid w:val="002A4D18"/>
    <w:rsid w:val="002A504D"/>
    <w:rsid w:val="002A5E78"/>
    <w:rsid w:val="002A7B57"/>
    <w:rsid w:val="002B0831"/>
    <w:rsid w:val="002B0A43"/>
    <w:rsid w:val="002B209F"/>
    <w:rsid w:val="002B2184"/>
    <w:rsid w:val="002B241E"/>
    <w:rsid w:val="002B2833"/>
    <w:rsid w:val="002B37FB"/>
    <w:rsid w:val="002B3960"/>
    <w:rsid w:val="002B3DEB"/>
    <w:rsid w:val="002B3EA9"/>
    <w:rsid w:val="002B444D"/>
    <w:rsid w:val="002B4543"/>
    <w:rsid w:val="002B489D"/>
    <w:rsid w:val="002B4F54"/>
    <w:rsid w:val="002B5159"/>
    <w:rsid w:val="002B5526"/>
    <w:rsid w:val="002B58DC"/>
    <w:rsid w:val="002B5E39"/>
    <w:rsid w:val="002B62A0"/>
    <w:rsid w:val="002B650F"/>
    <w:rsid w:val="002B68AC"/>
    <w:rsid w:val="002B77C7"/>
    <w:rsid w:val="002B79AC"/>
    <w:rsid w:val="002C080A"/>
    <w:rsid w:val="002C1210"/>
    <w:rsid w:val="002C1BE9"/>
    <w:rsid w:val="002C29AB"/>
    <w:rsid w:val="002C33C1"/>
    <w:rsid w:val="002C34F1"/>
    <w:rsid w:val="002C3AC9"/>
    <w:rsid w:val="002C3CB4"/>
    <w:rsid w:val="002C4355"/>
    <w:rsid w:val="002C4590"/>
    <w:rsid w:val="002C499C"/>
    <w:rsid w:val="002C6870"/>
    <w:rsid w:val="002C6B86"/>
    <w:rsid w:val="002C6EEB"/>
    <w:rsid w:val="002C76BD"/>
    <w:rsid w:val="002C7B82"/>
    <w:rsid w:val="002D0DBC"/>
    <w:rsid w:val="002D0F79"/>
    <w:rsid w:val="002D0FAA"/>
    <w:rsid w:val="002D114F"/>
    <w:rsid w:val="002D1DB9"/>
    <w:rsid w:val="002D27A8"/>
    <w:rsid w:val="002D2A8D"/>
    <w:rsid w:val="002D2BC3"/>
    <w:rsid w:val="002D2C98"/>
    <w:rsid w:val="002D307C"/>
    <w:rsid w:val="002D34F2"/>
    <w:rsid w:val="002D3CA4"/>
    <w:rsid w:val="002D43DD"/>
    <w:rsid w:val="002D6449"/>
    <w:rsid w:val="002D6695"/>
    <w:rsid w:val="002D6A11"/>
    <w:rsid w:val="002D7A68"/>
    <w:rsid w:val="002E0773"/>
    <w:rsid w:val="002E0F4D"/>
    <w:rsid w:val="002E1C3E"/>
    <w:rsid w:val="002E2589"/>
    <w:rsid w:val="002E2766"/>
    <w:rsid w:val="002E2943"/>
    <w:rsid w:val="002E32F0"/>
    <w:rsid w:val="002E3C89"/>
    <w:rsid w:val="002E3EF8"/>
    <w:rsid w:val="002E417C"/>
    <w:rsid w:val="002E445F"/>
    <w:rsid w:val="002E4DED"/>
    <w:rsid w:val="002E5032"/>
    <w:rsid w:val="002E54F8"/>
    <w:rsid w:val="002E567E"/>
    <w:rsid w:val="002E5AE5"/>
    <w:rsid w:val="002E626F"/>
    <w:rsid w:val="002E69C0"/>
    <w:rsid w:val="002E72F4"/>
    <w:rsid w:val="002E7B44"/>
    <w:rsid w:val="002F0397"/>
    <w:rsid w:val="002F0A52"/>
    <w:rsid w:val="002F11BA"/>
    <w:rsid w:val="002F1AC5"/>
    <w:rsid w:val="002F1EAF"/>
    <w:rsid w:val="002F2221"/>
    <w:rsid w:val="002F236A"/>
    <w:rsid w:val="002F2E33"/>
    <w:rsid w:val="002F2F63"/>
    <w:rsid w:val="002F3984"/>
    <w:rsid w:val="002F3F15"/>
    <w:rsid w:val="002F54B8"/>
    <w:rsid w:val="002F5FCC"/>
    <w:rsid w:val="002F6659"/>
    <w:rsid w:val="002F73DE"/>
    <w:rsid w:val="002F7F22"/>
    <w:rsid w:val="003005F1"/>
    <w:rsid w:val="0030068E"/>
    <w:rsid w:val="00300921"/>
    <w:rsid w:val="003009DC"/>
    <w:rsid w:val="00300BDF"/>
    <w:rsid w:val="00301714"/>
    <w:rsid w:val="0030255B"/>
    <w:rsid w:val="00302E15"/>
    <w:rsid w:val="003033C3"/>
    <w:rsid w:val="00304CD4"/>
    <w:rsid w:val="00304DAC"/>
    <w:rsid w:val="003056BB"/>
    <w:rsid w:val="00305763"/>
    <w:rsid w:val="003058FD"/>
    <w:rsid w:val="00306067"/>
    <w:rsid w:val="00306CAC"/>
    <w:rsid w:val="00307C05"/>
    <w:rsid w:val="003106BE"/>
    <w:rsid w:val="0031074B"/>
    <w:rsid w:val="003113B0"/>
    <w:rsid w:val="003115AE"/>
    <w:rsid w:val="0031179D"/>
    <w:rsid w:val="00311954"/>
    <w:rsid w:val="00311D4B"/>
    <w:rsid w:val="003124EB"/>
    <w:rsid w:val="00312D68"/>
    <w:rsid w:val="00312E65"/>
    <w:rsid w:val="003131F1"/>
    <w:rsid w:val="00313DA1"/>
    <w:rsid w:val="003153A6"/>
    <w:rsid w:val="00315628"/>
    <w:rsid w:val="0031579F"/>
    <w:rsid w:val="00315A6B"/>
    <w:rsid w:val="00315E85"/>
    <w:rsid w:val="00316205"/>
    <w:rsid w:val="0031676C"/>
    <w:rsid w:val="0031787D"/>
    <w:rsid w:val="0032026D"/>
    <w:rsid w:val="0032068A"/>
    <w:rsid w:val="00320CB8"/>
    <w:rsid w:val="00321146"/>
    <w:rsid w:val="00321800"/>
    <w:rsid w:val="00321BA6"/>
    <w:rsid w:val="00321ECE"/>
    <w:rsid w:val="003222F8"/>
    <w:rsid w:val="00322806"/>
    <w:rsid w:val="00322848"/>
    <w:rsid w:val="00322E26"/>
    <w:rsid w:val="003232FC"/>
    <w:rsid w:val="003237F6"/>
    <w:rsid w:val="003243B3"/>
    <w:rsid w:val="00324FCE"/>
    <w:rsid w:val="003252D8"/>
    <w:rsid w:val="00325AFB"/>
    <w:rsid w:val="00325C1C"/>
    <w:rsid w:val="003275C8"/>
    <w:rsid w:val="00330171"/>
    <w:rsid w:val="0033044D"/>
    <w:rsid w:val="003308EB"/>
    <w:rsid w:val="0033140F"/>
    <w:rsid w:val="00331479"/>
    <w:rsid w:val="00332966"/>
    <w:rsid w:val="00333100"/>
    <w:rsid w:val="00333923"/>
    <w:rsid w:val="003339B3"/>
    <w:rsid w:val="003339CE"/>
    <w:rsid w:val="00333BDC"/>
    <w:rsid w:val="003341D0"/>
    <w:rsid w:val="00335D22"/>
    <w:rsid w:val="00335D25"/>
    <w:rsid w:val="00337CA4"/>
    <w:rsid w:val="0034035B"/>
    <w:rsid w:val="00340C32"/>
    <w:rsid w:val="00340D8B"/>
    <w:rsid w:val="00341131"/>
    <w:rsid w:val="00341181"/>
    <w:rsid w:val="003425A5"/>
    <w:rsid w:val="00342689"/>
    <w:rsid w:val="0034275A"/>
    <w:rsid w:val="00342F2A"/>
    <w:rsid w:val="003431E2"/>
    <w:rsid w:val="00343813"/>
    <w:rsid w:val="003440C7"/>
    <w:rsid w:val="00344110"/>
    <w:rsid w:val="0034612B"/>
    <w:rsid w:val="0034627F"/>
    <w:rsid w:val="00347523"/>
    <w:rsid w:val="00347C1C"/>
    <w:rsid w:val="00347EF5"/>
    <w:rsid w:val="00347F47"/>
    <w:rsid w:val="00350D1C"/>
    <w:rsid w:val="00352633"/>
    <w:rsid w:val="0035398A"/>
    <w:rsid w:val="003539D2"/>
    <w:rsid w:val="00354199"/>
    <w:rsid w:val="00354863"/>
    <w:rsid w:val="00354C11"/>
    <w:rsid w:val="00355289"/>
    <w:rsid w:val="00355986"/>
    <w:rsid w:val="00355E93"/>
    <w:rsid w:val="00356D50"/>
    <w:rsid w:val="00357986"/>
    <w:rsid w:val="00357F3C"/>
    <w:rsid w:val="003617E5"/>
    <w:rsid w:val="003617F7"/>
    <w:rsid w:val="003618DF"/>
    <w:rsid w:val="0036223B"/>
    <w:rsid w:val="00362321"/>
    <w:rsid w:val="00362704"/>
    <w:rsid w:val="00362AEB"/>
    <w:rsid w:val="003636C5"/>
    <w:rsid w:val="003637CB"/>
    <w:rsid w:val="0036401F"/>
    <w:rsid w:val="00364422"/>
    <w:rsid w:val="00365783"/>
    <w:rsid w:val="00366411"/>
    <w:rsid w:val="00366C9F"/>
    <w:rsid w:val="00367913"/>
    <w:rsid w:val="00367ADD"/>
    <w:rsid w:val="00370D3A"/>
    <w:rsid w:val="00371390"/>
    <w:rsid w:val="00371595"/>
    <w:rsid w:val="003717D7"/>
    <w:rsid w:val="003717DB"/>
    <w:rsid w:val="003736A7"/>
    <w:rsid w:val="003737B4"/>
    <w:rsid w:val="003740B2"/>
    <w:rsid w:val="00374AD3"/>
    <w:rsid w:val="00374CC8"/>
    <w:rsid w:val="00374E4F"/>
    <w:rsid w:val="00380828"/>
    <w:rsid w:val="00381A73"/>
    <w:rsid w:val="00382086"/>
    <w:rsid w:val="00382F10"/>
    <w:rsid w:val="003835A1"/>
    <w:rsid w:val="003838C6"/>
    <w:rsid w:val="00384283"/>
    <w:rsid w:val="003850E5"/>
    <w:rsid w:val="00385F74"/>
    <w:rsid w:val="003867DF"/>
    <w:rsid w:val="003879D9"/>
    <w:rsid w:val="00387BEE"/>
    <w:rsid w:val="00387CC5"/>
    <w:rsid w:val="003910A8"/>
    <w:rsid w:val="0039122B"/>
    <w:rsid w:val="00391B11"/>
    <w:rsid w:val="003930DB"/>
    <w:rsid w:val="00394D72"/>
    <w:rsid w:val="00395199"/>
    <w:rsid w:val="003962B5"/>
    <w:rsid w:val="00396608"/>
    <w:rsid w:val="0039672A"/>
    <w:rsid w:val="003976DD"/>
    <w:rsid w:val="0039792C"/>
    <w:rsid w:val="00397FB9"/>
    <w:rsid w:val="003A009D"/>
    <w:rsid w:val="003A195D"/>
    <w:rsid w:val="003A1EE8"/>
    <w:rsid w:val="003A2FD1"/>
    <w:rsid w:val="003A30A8"/>
    <w:rsid w:val="003A3F89"/>
    <w:rsid w:val="003A50B1"/>
    <w:rsid w:val="003A5394"/>
    <w:rsid w:val="003A5532"/>
    <w:rsid w:val="003A5922"/>
    <w:rsid w:val="003A5AE0"/>
    <w:rsid w:val="003A5E57"/>
    <w:rsid w:val="003A5FF5"/>
    <w:rsid w:val="003A62AE"/>
    <w:rsid w:val="003A63E2"/>
    <w:rsid w:val="003A67B3"/>
    <w:rsid w:val="003A69CC"/>
    <w:rsid w:val="003A6C66"/>
    <w:rsid w:val="003A6F21"/>
    <w:rsid w:val="003A7225"/>
    <w:rsid w:val="003B0347"/>
    <w:rsid w:val="003B17F3"/>
    <w:rsid w:val="003B18C7"/>
    <w:rsid w:val="003B1FA4"/>
    <w:rsid w:val="003B28B8"/>
    <w:rsid w:val="003B2C24"/>
    <w:rsid w:val="003B33B5"/>
    <w:rsid w:val="003B432F"/>
    <w:rsid w:val="003B51F0"/>
    <w:rsid w:val="003B597A"/>
    <w:rsid w:val="003B5A13"/>
    <w:rsid w:val="003B5A60"/>
    <w:rsid w:val="003B5D81"/>
    <w:rsid w:val="003B6B5B"/>
    <w:rsid w:val="003B72CC"/>
    <w:rsid w:val="003C0821"/>
    <w:rsid w:val="003C0FBD"/>
    <w:rsid w:val="003C145B"/>
    <w:rsid w:val="003C1CA3"/>
    <w:rsid w:val="003C352A"/>
    <w:rsid w:val="003C398B"/>
    <w:rsid w:val="003C4172"/>
    <w:rsid w:val="003C56C8"/>
    <w:rsid w:val="003C5718"/>
    <w:rsid w:val="003C660A"/>
    <w:rsid w:val="003C6685"/>
    <w:rsid w:val="003C6D04"/>
    <w:rsid w:val="003C70F6"/>
    <w:rsid w:val="003C7675"/>
    <w:rsid w:val="003C7842"/>
    <w:rsid w:val="003C7960"/>
    <w:rsid w:val="003D0C46"/>
    <w:rsid w:val="003D0DA3"/>
    <w:rsid w:val="003D207A"/>
    <w:rsid w:val="003D3C0E"/>
    <w:rsid w:val="003D4191"/>
    <w:rsid w:val="003D457C"/>
    <w:rsid w:val="003D5483"/>
    <w:rsid w:val="003D5B03"/>
    <w:rsid w:val="003D793B"/>
    <w:rsid w:val="003E004A"/>
    <w:rsid w:val="003E055E"/>
    <w:rsid w:val="003E0915"/>
    <w:rsid w:val="003E1DF1"/>
    <w:rsid w:val="003E230D"/>
    <w:rsid w:val="003E2475"/>
    <w:rsid w:val="003E24B3"/>
    <w:rsid w:val="003E2A61"/>
    <w:rsid w:val="003E2F75"/>
    <w:rsid w:val="003E3714"/>
    <w:rsid w:val="003E4252"/>
    <w:rsid w:val="003E4856"/>
    <w:rsid w:val="003E4A98"/>
    <w:rsid w:val="003E50C4"/>
    <w:rsid w:val="003E59EB"/>
    <w:rsid w:val="003E682D"/>
    <w:rsid w:val="003F0651"/>
    <w:rsid w:val="003F0772"/>
    <w:rsid w:val="003F16BD"/>
    <w:rsid w:val="003F24D6"/>
    <w:rsid w:val="003F2DF9"/>
    <w:rsid w:val="003F2E2E"/>
    <w:rsid w:val="003F3836"/>
    <w:rsid w:val="003F45CD"/>
    <w:rsid w:val="003F4B0B"/>
    <w:rsid w:val="003F4B5E"/>
    <w:rsid w:val="003F5177"/>
    <w:rsid w:val="003F5449"/>
    <w:rsid w:val="003F56E6"/>
    <w:rsid w:val="003F62F7"/>
    <w:rsid w:val="003F6CD3"/>
    <w:rsid w:val="003F7590"/>
    <w:rsid w:val="003F7D51"/>
    <w:rsid w:val="003F7ED7"/>
    <w:rsid w:val="00400FCD"/>
    <w:rsid w:val="004010C4"/>
    <w:rsid w:val="00401838"/>
    <w:rsid w:val="00401A03"/>
    <w:rsid w:val="00401AC6"/>
    <w:rsid w:val="00401FDE"/>
    <w:rsid w:val="00402E1D"/>
    <w:rsid w:val="00403959"/>
    <w:rsid w:val="004048B1"/>
    <w:rsid w:val="00404A29"/>
    <w:rsid w:val="00406149"/>
    <w:rsid w:val="004070B0"/>
    <w:rsid w:val="004074D5"/>
    <w:rsid w:val="004101B6"/>
    <w:rsid w:val="00410413"/>
    <w:rsid w:val="00410426"/>
    <w:rsid w:val="004109CC"/>
    <w:rsid w:val="00411251"/>
    <w:rsid w:val="00411493"/>
    <w:rsid w:val="00411594"/>
    <w:rsid w:val="004128F7"/>
    <w:rsid w:val="00412FBA"/>
    <w:rsid w:val="004149A1"/>
    <w:rsid w:val="00414D78"/>
    <w:rsid w:val="0041507C"/>
    <w:rsid w:val="00415231"/>
    <w:rsid w:val="004158AB"/>
    <w:rsid w:val="00417100"/>
    <w:rsid w:val="004172A5"/>
    <w:rsid w:val="00417326"/>
    <w:rsid w:val="00417330"/>
    <w:rsid w:val="00417E12"/>
    <w:rsid w:val="00420363"/>
    <w:rsid w:val="0042048F"/>
    <w:rsid w:val="004208E0"/>
    <w:rsid w:val="004211BA"/>
    <w:rsid w:val="0042145C"/>
    <w:rsid w:val="00421507"/>
    <w:rsid w:val="004216B0"/>
    <w:rsid w:val="004217F0"/>
    <w:rsid w:val="004218E1"/>
    <w:rsid w:val="00422663"/>
    <w:rsid w:val="0042271D"/>
    <w:rsid w:val="004228D9"/>
    <w:rsid w:val="00422D3F"/>
    <w:rsid w:val="00423264"/>
    <w:rsid w:val="00423C1D"/>
    <w:rsid w:val="00423F10"/>
    <w:rsid w:val="00424979"/>
    <w:rsid w:val="004264ED"/>
    <w:rsid w:val="00427386"/>
    <w:rsid w:val="00427604"/>
    <w:rsid w:val="00427E05"/>
    <w:rsid w:val="00430DDE"/>
    <w:rsid w:val="00431338"/>
    <w:rsid w:val="00431552"/>
    <w:rsid w:val="00431F7C"/>
    <w:rsid w:val="004321BA"/>
    <w:rsid w:val="004323C0"/>
    <w:rsid w:val="00433333"/>
    <w:rsid w:val="0043387F"/>
    <w:rsid w:val="0043452E"/>
    <w:rsid w:val="00434610"/>
    <w:rsid w:val="004351FA"/>
    <w:rsid w:val="004352E5"/>
    <w:rsid w:val="00435D88"/>
    <w:rsid w:val="0043611A"/>
    <w:rsid w:val="00437060"/>
    <w:rsid w:val="004407BF"/>
    <w:rsid w:val="0044094D"/>
    <w:rsid w:val="004409F7"/>
    <w:rsid w:val="00441ADC"/>
    <w:rsid w:val="00441B25"/>
    <w:rsid w:val="00441BF1"/>
    <w:rsid w:val="0044205F"/>
    <w:rsid w:val="00442A2D"/>
    <w:rsid w:val="00442E66"/>
    <w:rsid w:val="00443495"/>
    <w:rsid w:val="00443D4F"/>
    <w:rsid w:val="00443D87"/>
    <w:rsid w:val="00444455"/>
    <w:rsid w:val="0044445A"/>
    <w:rsid w:val="004451E3"/>
    <w:rsid w:val="004457CE"/>
    <w:rsid w:val="00446CF7"/>
    <w:rsid w:val="00446E23"/>
    <w:rsid w:val="004510E1"/>
    <w:rsid w:val="00451688"/>
    <w:rsid w:val="00451B81"/>
    <w:rsid w:val="00451EC7"/>
    <w:rsid w:val="004525A2"/>
    <w:rsid w:val="0045295E"/>
    <w:rsid w:val="0045316E"/>
    <w:rsid w:val="004537B5"/>
    <w:rsid w:val="00455341"/>
    <w:rsid w:val="004555FE"/>
    <w:rsid w:val="00456615"/>
    <w:rsid w:val="004576AC"/>
    <w:rsid w:val="00460E37"/>
    <w:rsid w:val="004615E1"/>
    <w:rsid w:val="0046178B"/>
    <w:rsid w:val="004620AD"/>
    <w:rsid w:val="00462118"/>
    <w:rsid w:val="00462607"/>
    <w:rsid w:val="00462BE1"/>
    <w:rsid w:val="00463363"/>
    <w:rsid w:val="0046372F"/>
    <w:rsid w:val="00463ABF"/>
    <w:rsid w:val="00463C9F"/>
    <w:rsid w:val="0046402A"/>
    <w:rsid w:val="0046479C"/>
    <w:rsid w:val="00465031"/>
    <w:rsid w:val="00465399"/>
    <w:rsid w:val="004661C7"/>
    <w:rsid w:val="00466BA1"/>
    <w:rsid w:val="004717F9"/>
    <w:rsid w:val="00471AD5"/>
    <w:rsid w:val="00471BCC"/>
    <w:rsid w:val="00471E92"/>
    <w:rsid w:val="00471ECA"/>
    <w:rsid w:val="0047248E"/>
    <w:rsid w:val="00472775"/>
    <w:rsid w:val="00473770"/>
    <w:rsid w:val="00474974"/>
    <w:rsid w:val="00475B03"/>
    <w:rsid w:val="00475DF5"/>
    <w:rsid w:val="00476508"/>
    <w:rsid w:val="00480151"/>
    <w:rsid w:val="00480387"/>
    <w:rsid w:val="00482CDF"/>
    <w:rsid w:val="004830A0"/>
    <w:rsid w:val="0048433C"/>
    <w:rsid w:val="00484FB9"/>
    <w:rsid w:val="00485075"/>
    <w:rsid w:val="00485287"/>
    <w:rsid w:val="00486433"/>
    <w:rsid w:val="00486764"/>
    <w:rsid w:val="00486862"/>
    <w:rsid w:val="00486982"/>
    <w:rsid w:val="00487F92"/>
    <w:rsid w:val="0049002E"/>
    <w:rsid w:val="00490AF4"/>
    <w:rsid w:val="00490E9C"/>
    <w:rsid w:val="00490FFB"/>
    <w:rsid w:val="00491A2F"/>
    <w:rsid w:val="00491CDA"/>
    <w:rsid w:val="004926AD"/>
    <w:rsid w:val="0049304B"/>
    <w:rsid w:val="0049340B"/>
    <w:rsid w:val="0049376B"/>
    <w:rsid w:val="00493D3E"/>
    <w:rsid w:val="00494995"/>
    <w:rsid w:val="004952BC"/>
    <w:rsid w:val="0049553F"/>
    <w:rsid w:val="00497E37"/>
    <w:rsid w:val="004A041C"/>
    <w:rsid w:val="004A19CE"/>
    <w:rsid w:val="004A2184"/>
    <w:rsid w:val="004A243B"/>
    <w:rsid w:val="004A3F7A"/>
    <w:rsid w:val="004A42A1"/>
    <w:rsid w:val="004A686E"/>
    <w:rsid w:val="004A7251"/>
    <w:rsid w:val="004A7A34"/>
    <w:rsid w:val="004B000D"/>
    <w:rsid w:val="004B0596"/>
    <w:rsid w:val="004B0EE3"/>
    <w:rsid w:val="004B0FCC"/>
    <w:rsid w:val="004B1D6B"/>
    <w:rsid w:val="004B22B4"/>
    <w:rsid w:val="004B28E6"/>
    <w:rsid w:val="004B36F4"/>
    <w:rsid w:val="004B3D77"/>
    <w:rsid w:val="004B46CC"/>
    <w:rsid w:val="004B4BD4"/>
    <w:rsid w:val="004B4D75"/>
    <w:rsid w:val="004B5382"/>
    <w:rsid w:val="004B5CEB"/>
    <w:rsid w:val="004B691E"/>
    <w:rsid w:val="004C05E1"/>
    <w:rsid w:val="004C0EC1"/>
    <w:rsid w:val="004C1C77"/>
    <w:rsid w:val="004C1F29"/>
    <w:rsid w:val="004C2CDF"/>
    <w:rsid w:val="004C553A"/>
    <w:rsid w:val="004C5C4B"/>
    <w:rsid w:val="004C6206"/>
    <w:rsid w:val="004C6AB7"/>
    <w:rsid w:val="004C76DC"/>
    <w:rsid w:val="004C7DAF"/>
    <w:rsid w:val="004D0951"/>
    <w:rsid w:val="004D0E1F"/>
    <w:rsid w:val="004D10D6"/>
    <w:rsid w:val="004D1B51"/>
    <w:rsid w:val="004D1EE0"/>
    <w:rsid w:val="004D2063"/>
    <w:rsid w:val="004D2748"/>
    <w:rsid w:val="004D3394"/>
    <w:rsid w:val="004D36F7"/>
    <w:rsid w:val="004D3794"/>
    <w:rsid w:val="004D3AEE"/>
    <w:rsid w:val="004D3BC2"/>
    <w:rsid w:val="004D3FAA"/>
    <w:rsid w:val="004D5B32"/>
    <w:rsid w:val="004D6448"/>
    <w:rsid w:val="004D6CAB"/>
    <w:rsid w:val="004D7122"/>
    <w:rsid w:val="004D720E"/>
    <w:rsid w:val="004D7EF3"/>
    <w:rsid w:val="004E020D"/>
    <w:rsid w:val="004E02F1"/>
    <w:rsid w:val="004E0427"/>
    <w:rsid w:val="004E085C"/>
    <w:rsid w:val="004E12DF"/>
    <w:rsid w:val="004E2220"/>
    <w:rsid w:val="004E274A"/>
    <w:rsid w:val="004E34EF"/>
    <w:rsid w:val="004E395C"/>
    <w:rsid w:val="004E5856"/>
    <w:rsid w:val="004E5D14"/>
    <w:rsid w:val="004E605E"/>
    <w:rsid w:val="004E623C"/>
    <w:rsid w:val="004E6E1C"/>
    <w:rsid w:val="004E6F9C"/>
    <w:rsid w:val="004F0072"/>
    <w:rsid w:val="004F02D9"/>
    <w:rsid w:val="004F0599"/>
    <w:rsid w:val="004F0A8D"/>
    <w:rsid w:val="004F1380"/>
    <w:rsid w:val="004F1C43"/>
    <w:rsid w:val="004F1FD0"/>
    <w:rsid w:val="004F251C"/>
    <w:rsid w:val="004F2D58"/>
    <w:rsid w:val="004F2EF7"/>
    <w:rsid w:val="004F34AD"/>
    <w:rsid w:val="004F48F2"/>
    <w:rsid w:val="004F494F"/>
    <w:rsid w:val="004F501D"/>
    <w:rsid w:val="004F52E7"/>
    <w:rsid w:val="004F6728"/>
    <w:rsid w:val="004F6811"/>
    <w:rsid w:val="004F6B52"/>
    <w:rsid w:val="004F7BD0"/>
    <w:rsid w:val="00500823"/>
    <w:rsid w:val="00501029"/>
    <w:rsid w:val="0050159F"/>
    <w:rsid w:val="0050293A"/>
    <w:rsid w:val="005035FE"/>
    <w:rsid w:val="005044F0"/>
    <w:rsid w:val="00504698"/>
    <w:rsid w:val="005046B2"/>
    <w:rsid w:val="00504C9F"/>
    <w:rsid w:val="00507DEF"/>
    <w:rsid w:val="00510B73"/>
    <w:rsid w:val="00511309"/>
    <w:rsid w:val="0051172F"/>
    <w:rsid w:val="00512234"/>
    <w:rsid w:val="005126D5"/>
    <w:rsid w:val="005133ED"/>
    <w:rsid w:val="005136F0"/>
    <w:rsid w:val="0051409B"/>
    <w:rsid w:val="005146D5"/>
    <w:rsid w:val="00514E88"/>
    <w:rsid w:val="005152AC"/>
    <w:rsid w:val="005158CC"/>
    <w:rsid w:val="005159DC"/>
    <w:rsid w:val="00515A48"/>
    <w:rsid w:val="00515D04"/>
    <w:rsid w:val="00515D09"/>
    <w:rsid w:val="00516725"/>
    <w:rsid w:val="00517145"/>
    <w:rsid w:val="005179EC"/>
    <w:rsid w:val="00520392"/>
    <w:rsid w:val="005204C4"/>
    <w:rsid w:val="005205F6"/>
    <w:rsid w:val="0052117A"/>
    <w:rsid w:val="00521595"/>
    <w:rsid w:val="005222E3"/>
    <w:rsid w:val="005225B9"/>
    <w:rsid w:val="00522F27"/>
    <w:rsid w:val="00523CD1"/>
    <w:rsid w:val="00524110"/>
    <w:rsid w:val="005253E7"/>
    <w:rsid w:val="005259A2"/>
    <w:rsid w:val="00525BCE"/>
    <w:rsid w:val="00525F4B"/>
    <w:rsid w:val="0052640F"/>
    <w:rsid w:val="0053058A"/>
    <w:rsid w:val="00530948"/>
    <w:rsid w:val="005310E5"/>
    <w:rsid w:val="005318A5"/>
    <w:rsid w:val="00531B1E"/>
    <w:rsid w:val="00532A98"/>
    <w:rsid w:val="00533026"/>
    <w:rsid w:val="00533ECB"/>
    <w:rsid w:val="00535539"/>
    <w:rsid w:val="00535E4A"/>
    <w:rsid w:val="0053692E"/>
    <w:rsid w:val="00536F3B"/>
    <w:rsid w:val="00536F43"/>
    <w:rsid w:val="00537E11"/>
    <w:rsid w:val="00540E48"/>
    <w:rsid w:val="00540F86"/>
    <w:rsid w:val="00542424"/>
    <w:rsid w:val="00542F63"/>
    <w:rsid w:val="0054364A"/>
    <w:rsid w:val="00543B35"/>
    <w:rsid w:val="00543FF1"/>
    <w:rsid w:val="00546952"/>
    <w:rsid w:val="00546A53"/>
    <w:rsid w:val="0054757B"/>
    <w:rsid w:val="0055096E"/>
    <w:rsid w:val="00550C91"/>
    <w:rsid w:val="00552075"/>
    <w:rsid w:val="00552C82"/>
    <w:rsid w:val="00553486"/>
    <w:rsid w:val="005539B0"/>
    <w:rsid w:val="005546C8"/>
    <w:rsid w:val="00556957"/>
    <w:rsid w:val="00557CEE"/>
    <w:rsid w:val="00560AAC"/>
    <w:rsid w:val="00560E4F"/>
    <w:rsid w:val="005612AB"/>
    <w:rsid w:val="00562209"/>
    <w:rsid w:val="005622A7"/>
    <w:rsid w:val="00562DC9"/>
    <w:rsid w:val="00563CB8"/>
    <w:rsid w:val="0056431A"/>
    <w:rsid w:val="00564413"/>
    <w:rsid w:val="00565D97"/>
    <w:rsid w:val="00566958"/>
    <w:rsid w:val="00567A51"/>
    <w:rsid w:val="00567F58"/>
    <w:rsid w:val="005700DE"/>
    <w:rsid w:val="005700E8"/>
    <w:rsid w:val="00570C88"/>
    <w:rsid w:val="00570EBA"/>
    <w:rsid w:val="00571328"/>
    <w:rsid w:val="0057239B"/>
    <w:rsid w:val="0057251A"/>
    <w:rsid w:val="00574654"/>
    <w:rsid w:val="00574926"/>
    <w:rsid w:val="0057562B"/>
    <w:rsid w:val="00575642"/>
    <w:rsid w:val="005758FD"/>
    <w:rsid w:val="00576038"/>
    <w:rsid w:val="00576518"/>
    <w:rsid w:val="00576E2D"/>
    <w:rsid w:val="00576F2C"/>
    <w:rsid w:val="00580821"/>
    <w:rsid w:val="005808C7"/>
    <w:rsid w:val="00581AC0"/>
    <w:rsid w:val="00582409"/>
    <w:rsid w:val="00582819"/>
    <w:rsid w:val="00582B49"/>
    <w:rsid w:val="00583CC7"/>
    <w:rsid w:val="00584985"/>
    <w:rsid w:val="00584DEB"/>
    <w:rsid w:val="0058608E"/>
    <w:rsid w:val="005908D4"/>
    <w:rsid w:val="00591127"/>
    <w:rsid w:val="005919E5"/>
    <w:rsid w:val="00591D98"/>
    <w:rsid w:val="00592762"/>
    <w:rsid w:val="005930D6"/>
    <w:rsid w:val="005931CA"/>
    <w:rsid w:val="00593AED"/>
    <w:rsid w:val="00594196"/>
    <w:rsid w:val="0059471B"/>
    <w:rsid w:val="00594948"/>
    <w:rsid w:val="00595738"/>
    <w:rsid w:val="00595E91"/>
    <w:rsid w:val="00597AA9"/>
    <w:rsid w:val="005A103B"/>
    <w:rsid w:val="005A1210"/>
    <w:rsid w:val="005A1C34"/>
    <w:rsid w:val="005A1C82"/>
    <w:rsid w:val="005A365C"/>
    <w:rsid w:val="005A3EB6"/>
    <w:rsid w:val="005A43D4"/>
    <w:rsid w:val="005A503C"/>
    <w:rsid w:val="005A6126"/>
    <w:rsid w:val="005A787E"/>
    <w:rsid w:val="005B1077"/>
    <w:rsid w:val="005B1B2F"/>
    <w:rsid w:val="005B2758"/>
    <w:rsid w:val="005B2789"/>
    <w:rsid w:val="005B3620"/>
    <w:rsid w:val="005B37AD"/>
    <w:rsid w:val="005B402E"/>
    <w:rsid w:val="005B46E5"/>
    <w:rsid w:val="005B57B7"/>
    <w:rsid w:val="005B6067"/>
    <w:rsid w:val="005B60DA"/>
    <w:rsid w:val="005B6280"/>
    <w:rsid w:val="005B675E"/>
    <w:rsid w:val="005B6E26"/>
    <w:rsid w:val="005B712C"/>
    <w:rsid w:val="005C0AC9"/>
    <w:rsid w:val="005C285D"/>
    <w:rsid w:val="005C2F51"/>
    <w:rsid w:val="005C502E"/>
    <w:rsid w:val="005C5515"/>
    <w:rsid w:val="005C5B1A"/>
    <w:rsid w:val="005C5D72"/>
    <w:rsid w:val="005C606B"/>
    <w:rsid w:val="005C60AF"/>
    <w:rsid w:val="005C6307"/>
    <w:rsid w:val="005C7032"/>
    <w:rsid w:val="005C790F"/>
    <w:rsid w:val="005C7CA0"/>
    <w:rsid w:val="005D048E"/>
    <w:rsid w:val="005D061B"/>
    <w:rsid w:val="005D088D"/>
    <w:rsid w:val="005D092A"/>
    <w:rsid w:val="005D0B44"/>
    <w:rsid w:val="005D1920"/>
    <w:rsid w:val="005D2EAE"/>
    <w:rsid w:val="005D329C"/>
    <w:rsid w:val="005D3DDF"/>
    <w:rsid w:val="005D4AFE"/>
    <w:rsid w:val="005D4C96"/>
    <w:rsid w:val="005D4E03"/>
    <w:rsid w:val="005D503E"/>
    <w:rsid w:val="005D537D"/>
    <w:rsid w:val="005D5FB7"/>
    <w:rsid w:val="005D6004"/>
    <w:rsid w:val="005D6932"/>
    <w:rsid w:val="005D7858"/>
    <w:rsid w:val="005E030F"/>
    <w:rsid w:val="005E03D4"/>
    <w:rsid w:val="005E1AD8"/>
    <w:rsid w:val="005E24C0"/>
    <w:rsid w:val="005E28A8"/>
    <w:rsid w:val="005E2AB6"/>
    <w:rsid w:val="005E2E89"/>
    <w:rsid w:val="005E4AAA"/>
    <w:rsid w:val="005E54C0"/>
    <w:rsid w:val="005E62B9"/>
    <w:rsid w:val="005E67F2"/>
    <w:rsid w:val="005E6B91"/>
    <w:rsid w:val="005E738A"/>
    <w:rsid w:val="005E76DE"/>
    <w:rsid w:val="005E7848"/>
    <w:rsid w:val="005F024C"/>
    <w:rsid w:val="005F0619"/>
    <w:rsid w:val="005F0A4D"/>
    <w:rsid w:val="005F1BCB"/>
    <w:rsid w:val="005F1F31"/>
    <w:rsid w:val="005F2715"/>
    <w:rsid w:val="005F2A1B"/>
    <w:rsid w:val="005F2D64"/>
    <w:rsid w:val="005F35CD"/>
    <w:rsid w:val="005F4420"/>
    <w:rsid w:val="005F62C4"/>
    <w:rsid w:val="005F7240"/>
    <w:rsid w:val="005F7555"/>
    <w:rsid w:val="006000B5"/>
    <w:rsid w:val="00600AAA"/>
    <w:rsid w:val="006010B3"/>
    <w:rsid w:val="006018C7"/>
    <w:rsid w:val="00602F33"/>
    <w:rsid w:val="00603A0A"/>
    <w:rsid w:val="00603B7F"/>
    <w:rsid w:val="0060409F"/>
    <w:rsid w:val="00604FA3"/>
    <w:rsid w:val="0060514F"/>
    <w:rsid w:val="006051F1"/>
    <w:rsid w:val="00605444"/>
    <w:rsid w:val="00605529"/>
    <w:rsid w:val="00606760"/>
    <w:rsid w:val="00606FB4"/>
    <w:rsid w:val="00607160"/>
    <w:rsid w:val="0060753F"/>
    <w:rsid w:val="00607574"/>
    <w:rsid w:val="00610592"/>
    <w:rsid w:val="00610F13"/>
    <w:rsid w:val="00611DB1"/>
    <w:rsid w:val="00612ADB"/>
    <w:rsid w:val="00612EFB"/>
    <w:rsid w:val="0061314C"/>
    <w:rsid w:val="00615D32"/>
    <w:rsid w:val="00617CAC"/>
    <w:rsid w:val="00620DE1"/>
    <w:rsid w:val="00620FA3"/>
    <w:rsid w:val="00621938"/>
    <w:rsid w:val="0062196F"/>
    <w:rsid w:val="00621E69"/>
    <w:rsid w:val="0062235C"/>
    <w:rsid w:val="006223BC"/>
    <w:rsid w:val="006224A5"/>
    <w:rsid w:val="0062282C"/>
    <w:rsid w:val="0062285F"/>
    <w:rsid w:val="00623077"/>
    <w:rsid w:val="00624C31"/>
    <w:rsid w:val="00624EFB"/>
    <w:rsid w:val="00625D2A"/>
    <w:rsid w:val="006265E2"/>
    <w:rsid w:val="0062692C"/>
    <w:rsid w:val="006270DB"/>
    <w:rsid w:val="00627896"/>
    <w:rsid w:val="006303C3"/>
    <w:rsid w:val="0063120A"/>
    <w:rsid w:val="00631BEA"/>
    <w:rsid w:val="00633278"/>
    <w:rsid w:val="006338D7"/>
    <w:rsid w:val="00633DD5"/>
    <w:rsid w:val="00633F92"/>
    <w:rsid w:val="00633FC5"/>
    <w:rsid w:val="0063414C"/>
    <w:rsid w:val="00634FB6"/>
    <w:rsid w:val="0063515C"/>
    <w:rsid w:val="006358EB"/>
    <w:rsid w:val="00635FDE"/>
    <w:rsid w:val="0063644B"/>
    <w:rsid w:val="006375A3"/>
    <w:rsid w:val="006400AE"/>
    <w:rsid w:val="00640199"/>
    <w:rsid w:val="006411C5"/>
    <w:rsid w:val="00641D9D"/>
    <w:rsid w:val="006434D6"/>
    <w:rsid w:val="006437DD"/>
    <w:rsid w:val="00643D2D"/>
    <w:rsid w:val="006447B7"/>
    <w:rsid w:val="00644A32"/>
    <w:rsid w:val="00644C2C"/>
    <w:rsid w:val="00645630"/>
    <w:rsid w:val="00645A39"/>
    <w:rsid w:val="00645CD1"/>
    <w:rsid w:val="00646487"/>
    <w:rsid w:val="00646615"/>
    <w:rsid w:val="006468E2"/>
    <w:rsid w:val="00646AC3"/>
    <w:rsid w:val="00647DC7"/>
    <w:rsid w:val="0065042B"/>
    <w:rsid w:val="0065131E"/>
    <w:rsid w:val="006513EE"/>
    <w:rsid w:val="00651591"/>
    <w:rsid w:val="00652125"/>
    <w:rsid w:val="00653024"/>
    <w:rsid w:val="006535D8"/>
    <w:rsid w:val="00653857"/>
    <w:rsid w:val="00654727"/>
    <w:rsid w:val="006554E4"/>
    <w:rsid w:val="00655DFE"/>
    <w:rsid w:val="006563AD"/>
    <w:rsid w:val="006574F8"/>
    <w:rsid w:val="00660394"/>
    <w:rsid w:val="00661664"/>
    <w:rsid w:val="00661A4F"/>
    <w:rsid w:val="00661DC2"/>
    <w:rsid w:val="00661DE8"/>
    <w:rsid w:val="00662D97"/>
    <w:rsid w:val="00663F5E"/>
    <w:rsid w:val="00666033"/>
    <w:rsid w:val="006660A6"/>
    <w:rsid w:val="0066639F"/>
    <w:rsid w:val="006667CF"/>
    <w:rsid w:val="00667019"/>
    <w:rsid w:val="0067040F"/>
    <w:rsid w:val="00670903"/>
    <w:rsid w:val="00671651"/>
    <w:rsid w:val="00671CDB"/>
    <w:rsid w:val="00672AFF"/>
    <w:rsid w:val="00672C1C"/>
    <w:rsid w:val="00673518"/>
    <w:rsid w:val="006750B0"/>
    <w:rsid w:val="00676489"/>
    <w:rsid w:val="006764F3"/>
    <w:rsid w:val="006777BD"/>
    <w:rsid w:val="00677849"/>
    <w:rsid w:val="00677C00"/>
    <w:rsid w:val="00680499"/>
    <w:rsid w:val="00680585"/>
    <w:rsid w:val="0068082A"/>
    <w:rsid w:val="006814C6"/>
    <w:rsid w:val="00681517"/>
    <w:rsid w:val="006826A3"/>
    <w:rsid w:val="006826C1"/>
    <w:rsid w:val="006841A7"/>
    <w:rsid w:val="00685CB5"/>
    <w:rsid w:val="0068611C"/>
    <w:rsid w:val="006867D0"/>
    <w:rsid w:val="00686DF7"/>
    <w:rsid w:val="00687FE0"/>
    <w:rsid w:val="00690CB4"/>
    <w:rsid w:val="006910DB"/>
    <w:rsid w:val="00691133"/>
    <w:rsid w:val="006916FD"/>
    <w:rsid w:val="0069299D"/>
    <w:rsid w:val="00694146"/>
    <w:rsid w:val="00694956"/>
    <w:rsid w:val="006956BA"/>
    <w:rsid w:val="0069593A"/>
    <w:rsid w:val="00695963"/>
    <w:rsid w:val="00695D9E"/>
    <w:rsid w:val="00696045"/>
    <w:rsid w:val="006962B3"/>
    <w:rsid w:val="0069714B"/>
    <w:rsid w:val="006A0154"/>
    <w:rsid w:val="006A1E55"/>
    <w:rsid w:val="006A3AC3"/>
    <w:rsid w:val="006A47F0"/>
    <w:rsid w:val="006A4DD9"/>
    <w:rsid w:val="006A5525"/>
    <w:rsid w:val="006A5C88"/>
    <w:rsid w:val="006A6984"/>
    <w:rsid w:val="006A713C"/>
    <w:rsid w:val="006A7B99"/>
    <w:rsid w:val="006B22F8"/>
    <w:rsid w:val="006B2956"/>
    <w:rsid w:val="006B29D1"/>
    <w:rsid w:val="006B33F1"/>
    <w:rsid w:val="006B4182"/>
    <w:rsid w:val="006B439F"/>
    <w:rsid w:val="006B46CE"/>
    <w:rsid w:val="006B46DA"/>
    <w:rsid w:val="006B4B32"/>
    <w:rsid w:val="006B4CA1"/>
    <w:rsid w:val="006B4EFA"/>
    <w:rsid w:val="006B582B"/>
    <w:rsid w:val="006B6336"/>
    <w:rsid w:val="006B6DDF"/>
    <w:rsid w:val="006B7A96"/>
    <w:rsid w:val="006C0E99"/>
    <w:rsid w:val="006C0EE0"/>
    <w:rsid w:val="006C1AA1"/>
    <w:rsid w:val="006C1C97"/>
    <w:rsid w:val="006C1FA4"/>
    <w:rsid w:val="006C4178"/>
    <w:rsid w:val="006C4DD8"/>
    <w:rsid w:val="006C4F76"/>
    <w:rsid w:val="006C5221"/>
    <w:rsid w:val="006C52AF"/>
    <w:rsid w:val="006C6932"/>
    <w:rsid w:val="006C734D"/>
    <w:rsid w:val="006C7B25"/>
    <w:rsid w:val="006C7DA3"/>
    <w:rsid w:val="006C7F00"/>
    <w:rsid w:val="006C7F54"/>
    <w:rsid w:val="006D00C2"/>
    <w:rsid w:val="006D1E57"/>
    <w:rsid w:val="006D2728"/>
    <w:rsid w:val="006D2811"/>
    <w:rsid w:val="006D2A63"/>
    <w:rsid w:val="006D3468"/>
    <w:rsid w:val="006D34D5"/>
    <w:rsid w:val="006D36BC"/>
    <w:rsid w:val="006D3B6D"/>
    <w:rsid w:val="006D3C62"/>
    <w:rsid w:val="006D4073"/>
    <w:rsid w:val="006D4332"/>
    <w:rsid w:val="006D5036"/>
    <w:rsid w:val="006D59EA"/>
    <w:rsid w:val="006D794F"/>
    <w:rsid w:val="006E072E"/>
    <w:rsid w:val="006E1541"/>
    <w:rsid w:val="006E1FA4"/>
    <w:rsid w:val="006E369E"/>
    <w:rsid w:val="006E3831"/>
    <w:rsid w:val="006E464E"/>
    <w:rsid w:val="006E51A7"/>
    <w:rsid w:val="006E5280"/>
    <w:rsid w:val="006E6068"/>
    <w:rsid w:val="006E6152"/>
    <w:rsid w:val="006E641E"/>
    <w:rsid w:val="006E7310"/>
    <w:rsid w:val="006E77F6"/>
    <w:rsid w:val="006E7D5A"/>
    <w:rsid w:val="006F03B6"/>
    <w:rsid w:val="006F03BA"/>
    <w:rsid w:val="006F0FC2"/>
    <w:rsid w:val="006F10CA"/>
    <w:rsid w:val="006F1C51"/>
    <w:rsid w:val="006F1D57"/>
    <w:rsid w:val="006F224E"/>
    <w:rsid w:val="006F240A"/>
    <w:rsid w:val="006F28C4"/>
    <w:rsid w:val="006F2D6A"/>
    <w:rsid w:val="006F307D"/>
    <w:rsid w:val="006F30F1"/>
    <w:rsid w:val="006F3248"/>
    <w:rsid w:val="006F550B"/>
    <w:rsid w:val="006F64A8"/>
    <w:rsid w:val="006F6C5A"/>
    <w:rsid w:val="006F7121"/>
    <w:rsid w:val="00700F10"/>
    <w:rsid w:val="007022A0"/>
    <w:rsid w:val="0070376C"/>
    <w:rsid w:val="007037FF"/>
    <w:rsid w:val="00704706"/>
    <w:rsid w:val="007064F8"/>
    <w:rsid w:val="0070655A"/>
    <w:rsid w:val="00707210"/>
    <w:rsid w:val="00707A2F"/>
    <w:rsid w:val="00707CA5"/>
    <w:rsid w:val="0071071D"/>
    <w:rsid w:val="007107AA"/>
    <w:rsid w:val="007110C7"/>
    <w:rsid w:val="007114A1"/>
    <w:rsid w:val="00711B0A"/>
    <w:rsid w:val="007120E0"/>
    <w:rsid w:val="007124E5"/>
    <w:rsid w:val="0071305E"/>
    <w:rsid w:val="007131C1"/>
    <w:rsid w:val="00713510"/>
    <w:rsid w:val="00713E2B"/>
    <w:rsid w:val="0071440A"/>
    <w:rsid w:val="007148D9"/>
    <w:rsid w:val="00714F3A"/>
    <w:rsid w:val="007150C1"/>
    <w:rsid w:val="007150CE"/>
    <w:rsid w:val="0071676A"/>
    <w:rsid w:val="00716775"/>
    <w:rsid w:val="00717457"/>
    <w:rsid w:val="00717817"/>
    <w:rsid w:val="007201F2"/>
    <w:rsid w:val="007205F2"/>
    <w:rsid w:val="00720B2F"/>
    <w:rsid w:val="00720D7B"/>
    <w:rsid w:val="007213C1"/>
    <w:rsid w:val="00721499"/>
    <w:rsid w:val="00722B94"/>
    <w:rsid w:val="00723230"/>
    <w:rsid w:val="00723384"/>
    <w:rsid w:val="007234D1"/>
    <w:rsid w:val="00723EE3"/>
    <w:rsid w:val="00725923"/>
    <w:rsid w:val="007262B1"/>
    <w:rsid w:val="0072711F"/>
    <w:rsid w:val="00727911"/>
    <w:rsid w:val="0073037B"/>
    <w:rsid w:val="00730C10"/>
    <w:rsid w:val="00730D95"/>
    <w:rsid w:val="00732311"/>
    <w:rsid w:val="007326BC"/>
    <w:rsid w:val="0073274B"/>
    <w:rsid w:val="00733DE4"/>
    <w:rsid w:val="0073505E"/>
    <w:rsid w:val="007355D8"/>
    <w:rsid w:val="007379A3"/>
    <w:rsid w:val="00737C39"/>
    <w:rsid w:val="00737F7D"/>
    <w:rsid w:val="007411C0"/>
    <w:rsid w:val="00741243"/>
    <w:rsid w:val="00741410"/>
    <w:rsid w:val="007419F4"/>
    <w:rsid w:val="0074288E"/>
    <w:rsid w:val="007436AB"/>
    <w:rsid w:val="00744A3B"/>
    <w:rsid w:val="00745787"/>
    <w:rsid w:val="00745F0A"/>
    <w:rsid w:val="00746126"/>
    <w:rsid w:val="007462AB"/>
    <w:rsid w:val="007464A9"/>
    <w:rsid w:val="00746AD3"/>
    <w:rsid w:val="00747953"/>
    <w:rsid w:val="00747B97"/>
    <w:rsid w:val="007502E6"/>
    <w:rsid w:val="007505E2"/>
    <w:rsid w:val="00750F0B"/>
    <w:rsid w:val="00751CD0"/>
    <w:rsid w:val="00752472"/>
    <w:rsid w:val="007527DF"/>
    <w:rsid w:val="0075305A"/>
    <w:rsid w:val="0075349A"/>
    <w:rsid w:val="0075445A"/>
    <w:rsid w:val="00755889"/>
    <w:rsid w:val="0075600A"/>
    <w:rsid w:val="00756561"/>
    <w:rsid w:val="0075738E"/>
    <w:rsid w:val="00757766"/>
    <w:rsid w:val="00760122"/>
    <w:rsid w:val="007602CC"/>
    <w:rsid w:val="0076149F"/>
    <w:rsid w:val="00761622"/>
    <w:rsid w:val="007625A8"/>
    <w:rsid w:val="00762B1B"/>
    <w:rsid w:val="00762EE1"/>
    <w:rsid w:val="00763A9F"/>
    <w:rsid w:val="007646A8"/>
    <w:rsid w:val="00764B1E"/>
    <w:rsid w:val="00764CF5"/>
    <w:rsid w:val="007661D9"/>
    <w:rsid w:val="00766EC1"/>
    <w:rsid w:val="007703ED"/>
    <w:rsid w:val="007706C4"/>
    <w:rsid w:val="007709C4"/>
    <w:rsid w:val="007718B5"/>
    <w:rsid w:val="00771FF6"/>
    <w:rsid w:val="00773E64"/>
    <w:rsid w:val="00774C5A"/>
    <w:rsid w:val="00775FFD"/>
    <w:rsid w:val="007760CE"/>
    <w:rsid w:val="00776D30"/>
    <w:rsid w:val="00776E95"/>
    <w:rsid w:val="0077730F"/>
    <w:rsid w:val="007776C3"/>
    <w:rsid w:val="007800FC"/>
    <w:rsid w:val="00781391"/>
    <w:rsid w:val="0078154E"/>
    <w:rsid w:val="007815E2"/>
    <w:rsid w:val="0078177F"/>
    <w:rsid w:val="00781D42"/>
    <w:rsid w:val="007827FA"/>
    <w:rsid w:val="007828A5"/>
    <w:rsid w:val="00782DC7"/>
    <w:rsid w:val="00783308"/>
    <w:rsid w:val="0078556F"/>
    <w:rsid w:val="0078602E"/>
    <w:rsid w:val="0078602F"/>
    <w:rsid w:val="007863E3"/>
    <w:rsid w:val="00790062"/>
    <w:rsid w:val="00790553"/>
    <w:rsid w:val="007905CD"/>
    <w:rsid w:val="00790C4F"/>
    <w:rsid w:val="00790D18"/>
    <w:rsid w:val="0079151C"/>
    <w:rsid w:val="00791601"/>
    <w:rsid w:val="007926F9"/>
    <w:rsid w:val="00793290"/>
    <w:rsid w:val="007936FA"/>
    <w:rsid w:val="0079421F"/>
    <w:rsid w:val="007945EA"/>
    <w:rsid w:val="007948B6"/>
    <w:rsid w:val="00794A9A"/>
    <w:rsid w:val="00794DBA"/>
    <w:rsid w:val="00795D58"/>
    <w:rsid w:val="007966F2"/>
    <w:rsid w:val="00796FC4"/>
    <w:rsid w:val="00797569"/>
    <w:rsid w:val="00797715"/>
    <w:rsid w:val="007A0A27"/>
    <w:rsid w:val="007A0D2E"/>
    <w:rsid w:val="007A0F2D"/>
    <w:rsid w:val="007A11B3"/>
    <w:rsid w:val="007A183D"/>
    <w:rsid w:val="007A1C6E"/>
    <w:rsid w:val="007A1F6F"/>
    <w:rsid w:val="007A24B6"/>
    <w:rsid w:val="007A3975"/>
    <w:rsid w:val="007A3E99"/>
    <w:rsid w:val="007A4E26"/>
    <w:rsid w:val="007A5686"/>
    <w:rsid w:val="007A7ED1"/>
    <w:rsid w:val="007B0DE7"/>
    <w:rsid w:val="007B13E1"/>
    <w:rsid w:val="007B153B"/>
    <w:rsid w:val="007B1941"/>
    <w:rsid w:val="007B1C52"/>
    <w:rsid w:val="007B24DE"/>
    <w:rsid w:val="007B2923"/>
    <w:rsid w:val="007B3837"/>
    <w:rsid w:val="007B3B10"/>
    <w:rsid w:val="007B5A25"/>
    <w:rsid w:val="007B5A30"/>
    <w:rsid w:val="007B63A0"/>
    <w:rsid w:val="007B662C"/>
    <w:rsid w:val="007B7A09"/>
    <w:rsid w:val="007B7BCA"/>
    <w:rsid w:val="007C0BB0"/>
    <w:rsid w:val="007C0D21"/>
    <w:rsid w:val="007C12D1"/>
    <w:rsid w:val="007C1B33"/>
    <w:rsid w:val="007C1C62"/>
    <w:rsid w:val="007C1CA7"/>
    <w:rsid w:val="007C1EAE"/>
    <w:rsid w:val="007C1EC3"/>
    <w:rsid w:val="007C3838"/>
    <w:rsid w:val="007C3889"/>
    <w:rsid w:val="007C3A6E"/>
    <w:rsid w:val="007C3B9D"/>
    <w:rsid w:val="007C3C8B"/>
    <w:rsid w:val="007C42BB"/>
    <w:rsid w:val="007C47AD"/>
    <w:rsid w:val="007C5081"/>
    <w:rsid w:val="007C68BE"/>
    <w:rsid w:val="007C7083"/>
    <w:rsid w:val="007D09F3"/>
    <w:rsid w:val="007D0C22"/>
    <w:rsid w:val="007D0C47"/>
    <w:rsid w:val="007D14D7"/>
    <w:rsid w:val="007D153C"/>
    <w:rsid w:val="007D1661"/>
    <w:rsid w:val="007D19A7"/>
    <w:rsid w:val="007D1D19"/>
    <w:rsid w:val="007D28FE"/>
    <w:rsid w:val="007D34B3"/>
    <w:rsid w:val="007D364C"/>
    <w:rsid w:val="007D3C89"/>
    <w:rsid w:val="007D3E06"/>
    <w:rsid w:val="007D42E0"/>
    <w:rsid w:val="007D5534"/>
    <w:rsid w:val="007D5CD1"/>
    <w:rsid w:val="007D64C6"/>
    <w:rsid w:val="007D6626"/>
    <w:rsid w:val="007D6E69"/>
    <w:rsid w:val="007D7288"/>
    <w:rsid w:val="007D7867"/>
    <w:rsid w:val="007E0078"/>
    <w:rsid w:val="007E010A"/>
    <w:rsid w:val="007E1479"/>
    <w:rsid w:val="007E259D"/>
    <w:rsid w:val="007E26B2"/>
    <w:rsid w:val="007E3007"/>
    <w:rsid w:val="007E4000"/>
    <w:rsid w:val="007E4394"/>
    <w:rsid w:val="007E4A1D"/>
    <w:rsid w:val="007E4A40"/>
    <w:rsid w:val="007E54AD"/>
    <w:rsid w:val="007E6393"/>
    <w:rsid w:val="007E71D7"/>
    <w:rsid w:val="007F08CC"/>
    <w:rsid w:val="007F13D5"/>
    <w:rsid w:val="007F140C"/>
    <w:rsid w:val="007F16D6"/>
    <w:rsid w:val="007F1C54"/>
    <w:rsid w:val="007F4464"/>
    <w:rsid w:val="007F45E6"/>
    <w:rsid w:val="007F4E28"/>
    <w:rsid w:val="007F5B4F"/>
    <w:rsid w:val="007F5CBB"/>
    <w:rsid w:val="007F5DD9"/>
    <w:rsid w:val="007F659B"/>
    <w:rsid w:val="007F663C"/>
    <w:rsid w:val="007F67C2"/>
    <w:rsid w:val="007F692C"/>
    <w:rsid w:val="007F69BD"/>
    <w:rsid w:val="007F6CC8"/>
    <w:rsid w:val="007F7005"/>
    <w:rsid w:val="007F730A"/>
    <w:rsid w:val="007F7DFA"/>
    <w:rsid w:val="00800544"/>
    <w:rsid w:val="00800609"/>
    <w:rsid w:val="00800FCF"/>
    <w:rsid w:val="0080121A"/>
    <w:rsid w:val="008016E5"/>
    <w:rsid w:val="008019F2"/>
    <w:rsid w:val="008026B1"/>
    <w:rsid w:val="008028B9"/>
    <w:rsid w:val="00802A23"/>
    <w:rsid w:val="00802A41"/>
    <w:rsid w:val="00803B43"/>
    <w:rsid w:val="00803F99"/>
    <w:rsid w:val="00804806"/>
    <w:rsid w:val="00804E82"/>
    <w:rsid w:val="008053F9"/>
    <w:rsid w:val="00805788"/>
    <w:rsid w:val="00805959"/>
    <w:rsid w:val="008108B4"/>
    <w:rsid w:val="00811844"/>
    <w:rsid w:val="00811FEC"/>
    <w:rsid w:val="008121B9"/>
    <w:rsid w:val="00812333"/>
    <w:rsid w:val="00812932"/>
    <w:rsid w:val="0081302C"/>
    <w:rsid w:val="008132CB"/>
    <w:rsid w:val="0081355D"/>
    <w:rsid w:val="00814D68"/>
    <w:rsid w:val="008155BC"/>
    <w:rsid w:val="00815635"/>
    <w:rsid w:val="00816632"/>
    <w:rsid w:val="00817044"/>
    <w:rsid w:val="0081769D"/>
    <w:rsid w:val="00817C49"/>
    <w:rsid w:val="00817D0B"/>
    <w:rsid w:val="00817F17"/>
    <w:rsid w:val="00821265"/>
    <w:rsid w:val="00821BB1"/>
    <w:rsid w:val="0082306C"/>
    <w:rsid w:val="00823D66"/>
    <w:rsid w:val="00823F69"/>
    <w:rsid w:val="00825642"/>
    <w:rsid w:val="0082579E"/>
    <w:rsid w:val="00830179"/>
    <w:rsid w:val="008301D7"/>
    <w:rsid w:val="0083073A"/>
    <w:rsid w:val="0083148D"/>
    <w:rsid w:val="008314EB"/>
    <w:rsid w:val="00831FFC"/>
    <w:rsid w:val="0083228B"/>
    <w:rsid w:val="008323F0"/>
    <w:rsid w:val="00832E58"/>
    <w:rsid w:val="008345FA"/>
    <w:rsid w:val="00835D37"/>
    <w:rsid w:val="008364DB"/>
    <w:rsid w:val="00836DC0"/>
    <w:rsid w:val="00837D92"/>
    <w:rsid w:val="0084225C"/>
    <w:rsid w:val="00842F38"/>
    <w:rsid w:val="00842F76"/>
    <w:rsid w:val="0084425C"/>
    <w:rsid w:val="00844387"/>
    <w:rsid w:val="00845430"/>
    <w:rsid w:val="008455C7"/>
    <w:rsid w:val="00846803"/>
    <w:rsid w:val="008469C2"/>
    <w:rsid w:val="008471D9"/>
    <w:rsid w:val="00847A98"/>
    <w:rsid w:val="00847DD7"/>
    <w:rsid w:val="00847EC2"/>
    <w:rsid w:val="00850125"/>
    <w:rsid w:val="0085089F"/>
    <w:rsid w:val="00850B5D"/>
    <w:rsid w:val="00851612"/>
    <w:rsid w:val="00851EE6"/>
    <w:rsid w:val="008527BD"/>
    <w:rsid w:val="00852D10"/>
    <w:rsid w:val="00852D75"/>
    <w:rsid w:val="0085320A"/>
    <w:rsid w:val="00853F1A"/>
    <w:rsid w:val="00854C54"/>
    <w:rsid w:val="0085549B"/>
    <w:rsid w:val="0085570C"/>
    <w:rsid w:val="00855AA4"/>
    <w:rsid w:val="00855D01"/>
    <w:rsid w:val="00855E7D"/>
    <w:rsid w:val="0085730A"/>
    <w:rsid w:val="0085753D"/>
    <w:rsid w:val="008575FD"/>
    <w:rsid w:val="0086010A"/>
    <w:rsid w:val="008607EA"/>
    <w:rsid w:val="00860C8E"/>
    <w:rsid w:val="008620AE"/>
    <w:rsid w:val="00862883"/>
    <w:rsid w:val="00863165"/>
    <w:rsid w:val="00863D5C"/>
    <w:rsid w:val="00864153"/>
    <w:rsid w:val="0086421E"/>
    <w:rsid w:val="00865BA1"/>
    <w:rsid w:val="00865BC3"/>
    <w:rsid w:val="00865CED"/>
    <w:rsid w:val="00866F3D"/>
    <w:rsid w:val="00866F7D"/>
    <w:rsid w:val="008676E3"/>
    <w:rsid w:val="00867987"/>
    <w:rsid w:val="0087318F"/>
    <w:rsid w:val="00873730"/>
    <w:rsid w:val="00873796"/>
    <w:rsid w:val="0087395A"/>
    <w:rsid w:val="008744E2"/>
    <w:rsid w:val="008761D0"/>
    <w:rsid w:val="00877856"/>
    <w:rsid w:val="00877A1B"/>
    <w:rsid w:val="00881210"/>
    <w:rsid w:val="00881D05"/>
    <w:rsid w:val="00881EB9"/>
    <w:rsid w:val="008829B4"/>
    <w:rsid w:val="008829DA"/>
    <w:rsid w:val="00883066"/>
    <w:rsid w:val="008830AE"/>
    <w:rsid w:val="00883318"/>
    <w:rsid w:val="008834BF"/>
    <w:rsid w:val="008843F1"/>
    <w:rsid w:val="008846D2"/>
    <w:rsid w:val="00885298"/>
    <w:rsid w:val="00886758"/>
    <w:rsid w:val="008873C5"/>
    <w:rsid w:val="00890019"/>
    <w:rsid w:val="00890B40"/>
    <w:rsid w:val="00890B6F"/>
    <w:rsid w:val="008928C5"/>
    <w:rsid w:val="00893C94"/>
    <w:rsid w:val="00893CBA"/>
    <w:rsid w:val="00893F7D"/>
    <w:rsid w:val="00894994"/>
    <w:rsid w:val="008960E4"/>
    <w:rsid w:val="00896485"/>
    <w:rsid w:val="008966DA"/>
    <w:rsid w:val="008967E4"/>
    <w:rsid w:val="008A1987"/>
    <w:rsid w:val="008A1A96"/>
    <w:rsid w:val="008A1EDD"/>
    <w:rsid w:val="008A25B6"/>
    <w:rsid w:val="008A2A2E"/>
    <w:rsid w:val="008A39CD"/>
    <w:rsid w:val="008A4028"/>
    <w:rsid w:val="008A45FC"/>
    <w:rsid w:val="008A4747"/>
    <w:rsid w:val="008A4A26"/>
    <w:rsid w:val="008A4DFB"/>
    <w:rsid w:val="008A5BD6"/>
    <w:rsid w:val="008A6366"/>
    <w:rsid w:val="008B0E66"/>
    <w:rsid w:val="008B1CBA"/>
    <w:rsid w:val="008B232A"/>
    <w:rsid w:val="008B379F"/>
    <w:rsid w:val="008B3CE3"/>
    <w:rsid w:val="008B6B03"/>
    <w:rsid w:val="008B7C38"/>
    <w:rsid w:val="008C1772"/>
    <w:rsid w:val="008C1F9B"/>
    <w:rsid w:val="008C1FED"/>
    <w:rsid w:val="008C29CB"/>
    <w:rsid w:val="008C2E68"/>
    <w:rsid w:val="008C52CB"/>
    <w:rsid w:val="008C5776"/>
    <w:rsid w:val="008C5A54"/>
    <w:rsid w:val="008C64B8"/>
    <w:rsid w:val="008C6983"/>
    <w:rsid w:val="008C6A30"/>
    <w:rsid w:val="008C6AA4"/>
    <w:rsid w:val="008D2063"/>
    <w:rsid w:val="008D28FC"/>
    <w:rsid w:val="008D2D6B"/>
    <w:rsid w:val="008D2F61"/>
    <w:rsid w:val="008D33C6"/>
    <w:rsid w:val="008D3BB2"/>
    <w:rsid w:val="008D3EF7"/>
    <w:rsid w:val="008D4A77"/>
    <w:rsid w:val="008D4ADA"/>
    <w:rsid w:val="008D534C"/>
    <w:rsid w:val="008D59A7"/>
    <w:rsid w:val="008D5D08"/>
    <w:rsid w:val="008D60E9"/>
    <w:rsid w:val="008D6125"/>
    <w:rsid w:val="008D67C2"/>
    <w:rsid w:val="008D6911"/>
    <w:rsid w:val="008D6C60"/>
    <w:rsid w:val="008D7E53"/>
    <w:rsid w:val="008E090B"/>
    <w:rsid w:val="008E0A3E"/>
    <w:rsid w:val="008E3327"/>
    <w:rsid w:val="008E3490"/>
    <w:rsid w:val="008E3876"/>
    <w:rsid w:val="008E3891"/>
    <w:rsid w:val="008E4195"/>
    <w:rsid w:val="008E58B8"/>
    <w:rsid w:val="008E607F"/>
    <w:rsid w:val="008E65AA"/>
    <w:rsid w:val="008E6B9A"/>
    <w:rsid w:val="008F063B"/>
    <w:rsid w:val="008F0647"/>
    <w:rsid w:val="008F0CC4"/>
    <w:rsid w:val="008F295B"/>
    <w:rsid w:val="008F2B8C"/>
    <w:rsid w:val="008F353B"/>
    <w:rsid w:val="008F3C38"/>
    <w:rsid w:val="008F4F97"/>
    <w:rsid w:val="008F52C1"/>
    <w:rsid w:val="008F5644"/>
    <w:rsid w:val="008F62CB"/>
    <w:rsid w:val="008F68FF"/>
    <w:rsid w:val="008F72FD"/>
    <w:rsid w:val="008F7CC8"/>
    <w:rsid w:val="00901A98"/>
    <w:rsid w:val="00901C8A"/>
    <w:rsid w:val="00902248"/>
    <w:rsid w:val="00902888"/>
    <w:rsid w:val="00902F34"/>
    <w:rsid w:val="00903E46"/>
    <w:rsid w:val="00903E50"/>
    <w:rsid w:val="00904CA4"/>
    <w:rsid w:val="00904CFE"/>
    <w:rsid w:val="00910074"/>
    <w:rsid w:val="00911311"/>
    <w:rsid w:val="00911AA3"/>
    <w:rsid w:val="0091271E"/>
    <w:rsid w:val="00912A62"/>
    <w:rsid w:val="009138B8"/>
    <w:rsid w:val="009138F3"/>
    <w:rsid w:val="00913F10"/>
    <w:rsid w:val="009140E9"/>
    <w:rsid w:val="009149F6"/>
    <w:rsid w:val="00914B2C"/>
    <w:rsid w:val="00914DFF"/>
    <w:rsid w:val="00915006"/>
    <w:rsid w:val="009150C0"/>
    <w:rsid w:val="00915BA3"/>
    <w:rsid w:val="00917459"/>
    <w:rsid w:val="0091747A"/>
    <w:rsid w:val="009174CC"/>
    <w:rsid w:val="009177CC"/>
    <w:rsid w:val="00917817"/>
    <w:rsid w:val="00920A02"/>
    <w:rsid w:val="00921263"/>
    <w:rsid w:val="00921773"/>
    <w:rsid w:val="0092221E"/>
    <w:rsid w:val="00923F8E"/>
    <w:rsid w:val="00924872"/>
    <w:rsid w:val="00925934"/>
    <w:rsid w:val="00925E2E"/>
    <w:rsid w:val="00926175"/>
    <w:rsid w:val="0092626F"/>
    <w:rsid w:val="0092634C"/>
    <w:rsid w:val="00926CF6"/>
    <w:rsid w:val="009271B7"/>
    <w:rsid w:val="00927FAA"/>
    <w:rsid w:val="009306EA"/>
    <w:rsid w:val="009314B9"/>
    <w:rsid w:val="00931A2C"/>
    <w:rsid w:val="009326DD"/>
    <w:rsid w:val="00933882"/>
    <w:rsid w:val="009338EA"/>
    <w:rsid w:val="00933C11"/>
    <w:rsid w:val="00934E25"/>
    <w:rsid w:val="009353B2"/>
    <w:rsid w:val="0093655A"/>
    <w:rsid w:val="009371D6"/>
    <w:rsid w:val="00937221"/>
    <w:rsid w:val="00940530"/>
    <w:rsid w:val="009406EA"/>
    <w:rsid w:val="009420FB"/>
    <w:rsid w:val="00942223"/>
    <w:rsid w:val="009423E1"/>
    <w:rsid w:val="00942E18"/>
    <w:rsid w:val="00942FD8"/>
    <w:rsid w:val="0094387F"/>
    <w:rsid w:val="00944740"/>
    <w:rsid w:val="0094474B"/>
    <w:rsid w:val="00945C5D"/>
    <w:rsid w:val="00946D81"/>
    <w:rsid w:val="00946F87"/>
    <w:rsid w:val="00947381"/>
    <w:rsid w:val="0095007C"/>
    <w:rsid w:val="009504FA"/>
    <w:rsid w:val="00950AC3"/>
    <w:rsid w:val="009519EE"/>
    <w:rsid w:val="00951BCB"/>
    <w:rsid w:val="0095209D"/>
    <w:rsid w:val="0095335B"/>
    <w:rsid w:val="0095352A"/>
    <w:rsid w:val="0095360E"/>
    <w:rsid w:val="00953801"/>
    <w:rsid w:val="00953A25"/>
    <w:rsid w:val="00954232"/>
    <w:rsid w:val="009560D7"/>
    <w:rsid w:val="00956562"/>
    <w:rsid w:val="00957785"/>
    <w:rsid w:val="009605CA"/>
    <w:rsid w:val="00960EF7"/>
    <w:rsid w:val="00962884"/>
    <w:rsid w:val="00964208"/>
    <w:rsid w:val="00964DBB"/>
    <w:rsid w:val="00965E2C"/>
    <w:rsid w:val="00970174"/>
    <w:rsid w:val="00970E0E"/>
    <w:rsid w:val="00970F0D"/>
    <w:rsid w:val="00971140"/>
    <w:rsid w:val="0097256A"/>
    <w:rsid w:val="009726BB"/>
    <w:rsid w:val="00972737"/>
    <w:rsid w:val="0097294C"/>
    <w:rsid w:val="009738D7"/>
    <w:rsid w:val="00973AA0"/>
    <w:rsid w:val="009741A6"/>
    <w:rsid w:val="00974ECF"/>
    <w:rsid w:val="009757ED"/>
    <w:rsid w:val="00975CC5"/>
    <w:rsid w:val="00975F18"/>
    <w:rsid w:val="009762AA"/>
    <w:rsid w:val="009762D2"/>
    <w:rsid w:val="00976F9A"/>
    <w:rsid w:val="009773F2"/>
    <w:rsid w:val="00977F34"/>
    <w:rsid w:val="00980108"/>
    <w:rsid w:val="00980AB1"/>
    <w:rsid w:val="00980CC9"/>
    <w:rsid w:val="00981950"/>
    <w:rsid w:val="00982A77"/>
    <w:rsid w:val="00983254"/>
    <w:rsid w:val="00984118"/>
    <w:rsid w:val="009841A9"/>
    <w:rsid w:val="009845D8"/>
    <w:rsid w:val="00984736"/>
    <w:rsid w:val="00984902"/>
    <w:rsid w:val="00985439"/>
    <w:rsid w:val="00985933"/>
    <w:rsid w:val="009901A1"/>
    <w:rsid w:val="0099064D"/>
    <w:rsid w:val="00990DE4"/>
    <w:rsid w:val="00991E60"/>
    <w:rsid w:val="00991EBD"/>
    <w:rsid w:val="009923FA"/>
    <w:rsid w:val="00992BCA"/>
    <w:rsid w:val="00992F7C"/>
    <w:rsid w:val="00993EB8"/>
    <w:rsid w:val="0099415B"/>
    <w:rsid w:val="009941EF"/>
    <w:rsid w:val="00994232"/>
    <w:rsid w:val="009943BC"/>
    <w:rsid w:val="00994409"/>
    <w:rsid w:val="0099491B"/>
    <w:rsid w:val="00994DDB"/>
    <w:rsid w:val="00995681"/>
    <w:rsid w:val="00997648"/>
    <w:rsid w:val="00997B00"/>
    <w:rsid w:val="00997D65"/>
    <w:rsid w:val="00997E83"/>
    <w:rsid w:val="009A01CC"/>
    <w:rsid w:val="009A0B0F"/>
    <w:rsid w:val="009A0F8F"/>
    <w:rsid w:val="009A22AA"/>
    <w:rsid w:val="009A5A3C"/>
    <w:rsid w:val="009A5AA7"/>
    <w:rsid w:val="009A5CC1"/>
    <w:rsid w:val="009A7155"/>
    <w:rsid w:val="009A7483"/>
    <w:rsid w:val="009B06A7"/>
    <w:rsid w:val="009B0812"/>
    <w:rsid w:val="009B09EE"/>
    <w:rsid w:val="009B0DDE"/>
    <w:rsid w:val="009B1228"/>
    <w:rsid w:val="009B2260"/>
    <w:rsid w:val="009B27FC"/>
    <w:rsid w:val="009B2B53"/>
    <w:rsid w:val="009B305C"/>
    <w:rsid w:val="009B466D"/>
    <w:rsid w:val="009B5046"/>
    <w:rsid w:val="009B6C53"/>
    <w:rsid w:val="009B7514"/>
    <w:rsid w:val="009B7604"/>
    <w:rsid w:val="009C07CE"/>
    <w:rsid w:val="009C17A9"/>
    <w:rsid w:val="009C1F5A"/>
    <w:rsid w:val="009C3394"/>
    <w:rsid w:val="009C3453"/>
    <w:rsid w:val="009C3B0D"/>
    <w:rsid w:val="009C3E43"/>
    <w:rsid w:val="009C45FA"/>
    <w:rsid w:val="009C4D2B"/>
    <w:rsid w:val="009C5D2D"/>
    <w:rsid w:val="009C5EF6"/>
    <w:rsid w:val="009C6444"/>
    <w:rsid w:val="009C6B82"/>
    <w:rsid w:val="009C74F0"/>
    <w:rsid w:val="009D18C7"/>
    <w:rsid w:val="009D1BB2"/>
    <w:rsid w:val="009D2993"/>
    <w:rsid w:val="009D2EF6"/>
    <w:rsid w:val="009D377B"/>
    <w:rsid w:val="009D4684"/>
    <w:rsid w:val="009D4FE9"/>
    <w:rsid w:val="009D5017"/>
    <w:rsid w:val="009D55A5"/>
    <w:rsid w:val="009D6523"/>
    <w:rsid w:val="009D66E8"/>
    <w:rsid w:val="009D66FE"/>
    <w:rsid w:val="009D73F7"/>
    <w:rsid w:val="009D7592"/>
    <w:rsid w:val="009E0041"/>
    <w:rsid w:val="009E0165"/>
    <w:rsid w:val="009E05D7"/>
    <w:rsid w:val="009E2548"/>
    <w:rsid w:val="009E28EA"/>
    <w:rsid w:val="009E3AA0"/>
    <w:rsid w:val="009E4351"/>
    <w:rsid w:val="009E448A"/>
    <w:rsid w:val="009E4953"/>
    <w:rsid w:val="009E5356"/>
    <w:rsid w:val="009E537E"/>
    <w:rsid w:val="009E5826"/>
    <w:rsid w:val="009E5B5A"/>
    <w:rsid w:val="009E6095"/>
    <w:rsid w:val="009E6275"/>
    <w:rsid w:val="009E6BD5"/>
    <w:rsid w:val="009E705D"/>
    <w:rsid w:val="009E72CE"/>
    <w:rsid w:val="009F081B"/>
    <w:rsid w:val="009F0C37"/>
    <w:rsid w:val="009F0FD7"/>
    <w:rsid w:val="009F28B8"/>
    <w:rsid w:val="009F2AFF"/>
    <w:rsid w:val="009F2F2F"/>
    <w:rsid w:val="009F3870"/>
    <w:rsid w:val="009F5195"/>
    <w:rsid w:val="009F51CD"/>
    <w:rsid w:val="009F5678"/>
    <w:rsid w:val="009F6006"/>
    <w:rsid w:val="009F6250"/>
    <w:rsid w:val="009F6251"/>
    <w:rsid w:val="009F7B8D"/>
    <w:rsid w:val="009F7ED9"/>
    <w:rsid w:val="00A0033B"/>
    <w:rsid w:val="00A00693"/>
    <w:rsid w:val="00A016CB"/>
    <w:rsid w:val="00A034BD"/>
    <w:rsid w:val="00A03932"/>
    <w:rsid w:val="00A039D7"/>
    <w:rsid w:val="00A03F22"/>
    <w:rsid w:val="00A04030"/>
    <w:rsid w:val="00A04E37"/>
    <w:rsid w:val="00A05591"/>
    <w:rsid w:val="00A05BE5"/>
    <w:rsid w:val="00A071C3"/>
    <w:rsid w:val="00A07CF9"/>
    <w:rsid w:val="00A07E54"/>
    <w:rsid w:val="00A1008A"/>
    <w:rsid w:val="00A104DE"/>
    <w:rsid w:val="00A12578"/>
    <w:rsid w:val="00A1261C"/>
    <w:rsid w:val="00A131D1"/>
    <w:rsid w:val="00A14436"/>
    <w:rsid w:val="00A1520B"/>
    <w:rsid w:val="00A15A58"/>
    <w:rsid w:val="00A160D1"/>
    <w:rsid w:val="00A168AA"/>
    <w:rsid w:val="00A2143C"/>
    <w:rsid w:val="00A22226"/>
    <w:rsid w:val="00A223D9"/>
    <w:rsid w:val="00A22920"/>
    <w:rsid w:val="00A22D83"/>
    <w:rsid w:val="00A22F33"/>
    <w:rsid w:val="00A23DA3"/>
    <w:rsid w:val="00A240E5"/>
    <w:rsid w:val="00A2619D"/>
    <w:rsid w:val="00A30A92"/>
    <w:rsid w:val="00A32003"/>
    <w:rsid w:val="00A3307A"/>
    <w:rsid w:val="00A33E43"/>
    <w:rsid w:val="00A341EB"/>
    <w:rsid w:val="00A349F2"/>
    <w:rsid w:val="00A350C2"/>
    <w:rsid w:val="00A3578A"/>
    <w:rsid w:val="00A36A2F"/>
    <w:rsid w:val="00A37381"/>
    <w:rsid w:val="00A37704"/>
    <w:rsid w:val="00A379A3"/>
    <w:rsid w:val="00A41303"/>
    <w:rsid w:val="00A42BCD"/>
    <w:rsid w:val="00A43E25"/>
    <w:rsid w:val="00A43FFD"/>
    <w:rsid w:val="00A440F7"/>
    <w:rsid w:val="00A46294"/>
    <w:rsid w:val="00A47B8C"/>
    <w:rsid w:val="00A50580"/>
    <w:rsid w:val="00A508FA"/>
    <w:rsid w:val="00A510DD"/>
    <w:rsid w:val="00A51C23"/>
    <w:rsid w:val="00A51D3C"/>
    <w:rsid w:val="00A531EA"/>
    <w:rsid w:val="00A5384A"/>
    <w:rsid w:val="00A5527B"/>
    <w:rsid w:val="00A55968"/>
    <w:rsid w:val="00A55BA9"/>
    <w:rsid w:val="00A563E0"/>
    <w:rsid w:val="00A56897"/>
    <w:rsid w:val="00A568D3"/>
    <w:rsid w:val="00A569D3"/>
    <w:rsid w:val="00A56C00"/>
    <w:rsid w:val="00A56E15"/>
    <w:rsid w:val="00A57391"/>
    <w:rsid w:val="00A57C35"/>
    <w:rsid w:val="00A6041E"/>
    <w:rsid w:val="00A60572"/>
    <w:rsid w:val="00A61037"/>
    <w:rsid w:val="00A613A9"/>
    <w:rsid w:val="00A617D9"/>
    <w:rsid w:val="00A61BF7"/>
    <w:rsid w:val="00A631BE"/>
    <w:rsid w:val="00A63ABF"/>
    <w:rsid w:val="00A6419C"/>
    <w:rsid w:val="00A6464C"/>
    <w:rsid w:val="00A6489D"/>
    <w:rsid w:val="00A65372"/>
    <w:rsid w:val="00A65BE6"/>
    <w:rsid w:val="00A672E8"/>
    <w:rsid w:val="00A67EC8"/>
    <w:rsid w:val="00A700AC"/>
    <w:rsid w:val="00A7097D"/>
    <w:rsid w:val="00A70BED"/>
    <w:rsid w:val="00A717D8"/>
    <w:rsid w:val="00A7236A"/>
    <w:rsid w:val="00A723E7"/>
    <w:rsid w:val="00A725C8"/>
    <w:rsid w:val="00A727AF"/>
    <w:rsid w:val="00A72BD1"/>
    <w:rsid w:val="00A72F41"/>
    <w:rsid w:val="00A73503"/>
    <w:rsid w:val="00A73B7B"/>
    <w:rsid w:val="00A7426D"/>
    <w:rsid w:val="00A74E21"/>
    <w:rsid w:val="00A77D69"/>
    <w:rsid w:val="00A8066C"/>
    <w:rsid w:val="00A815DC"/>
    <w:rsid w:val="00A81AA8"/>
    <w:rsid w:val="00A82CA7"/>
    <w:rsid w:val="00A83A3C"/>
    <w:rsid w:val="00A845AB"/>
    <w:rsid w:val="00A85A25"/>
    <w:rsid w:val="00A861CC"/>
    <w:rsid w:val="00A86AA5"/>
    <w:rsid w:val="00A86AC2"/>
    <w:rsid w:val="00A90F02"/>
    <w:rsid w:val="00A91B67"/>
    <w:rsid w:val="00A92E21"/>
    <w:rsid w:val="00A935E3"/>
    <w:rsid w:val="00A93901"/>
    <w:rsid w:val="00A94C5E"/>
    <w:rsid w:val="00A953BA"/>
    <w:rsid w:val="00A95BD7"/>
    <w:rsid w:val="00A96998"/>
    <w:rsid w:val="00A9797A"/>
    <w:rsid w:val="00A97C6A"/>
    <w:rsid w:val="00A97CCD"/>
    <w:rsid w:val="00A97E77"/>
    <w:rsid w:val="00AA1284"/>
    <w:rsid w:val="00AA1D8C"/>
    <w:rsid w:val="00AA3D42"/>
    <w:rsid w:val="00AA6386"/>
    <w:rsid w:val="00AA77BD"/>
    <w:rsid w:val="00AA7D65"/>
    <w:rsid w:val="00AA7F82"/>
    <w:rsid w:val="00AB0BEB"/>
    <w:rsid w:val="00AB0F64"/>
    <w:rsid w:val="00AB1B64"/>
    <w:rsid w:val="00AB2B60"/>
    <w:rsid w:val="00AB32EE"/>
    <w:rsid w:val="00AB3A4D"/>
    <w:rsid w:val="00AB3EDF"/>
    <w:rsid w:val="00AB42DD"/>
    <w:rsid w:val="00AB4586"/>
    <w:rsid w:val="00AB4BC0"/>
    <w:rsid w:val="00AB4E6D"/>
    <w:rsid w:val="00AB5421"/>
    <w:rsid w:val="00AB54E0"/>
    <w:rsid w:val="00AB6144"/>
    <w:rsid w:val="00AB62DF"/>
    <w:rsid w:val="00AB66AD"/>
    <w:rsid w:val="00AB7095"/>
    <w:rsid w:val="00AB757A"/>
    <w:rsid w:val="00AC072B"/>
    <w:rsid w:val="00AC07DD"/>
    <w:rsid w:val="00AC08CF"/>
    <w:rsid w:val="00AC0A00"/>
    <w:rsid w:val="00AC1557"/>
    <w:rsid w:val="00AC1615"/>
    <w:rsid w:val="00AC1756"/>
    <w:rsid w:val="00AC1E38"/>
    <w:rsid w:val="00AC2865"/>
    <w:rsid w:val="00AC3C18"/>
    <w:rsid w:val="00AC3F53"/>
    <w:rsid w:val="00AC405B"/>
    <w:rsid w:val="00AC47A5"/>
    <w:rsid w:val="00AC4B47"/>
    <w:rsid w:val="00AC4BA5"/>
    <w:rsid w:val="00AC51DF"/>
    <w:rsid w:val="00AC5610"/>
    <w:rsid w:val="00AC5A17"/>
    <w:rsid w:val="00AC6040"/>
    <w:rsid w:val="00AC64AB"/>
    <w:rsid w:val="00AC6525"/>
    <w:rsid w:val="00AC6B50"/>
    <w:rsid w:val="00AC71EF"/>
    <w:rsid w:val="00AC728C"/>
    <w:rsid w:val="00AD2C2D"/>
    <w:rsid w:val="00AD32B5"/>
    <w:rsid w:val="00AD400D"/>
    <w:rsid w:val="00AD4AA7"/>
    <w:rsid w:val="00AD5115"/>
    <w:rsid w:val="00AD6005"/>
    <w:rsid w:val="00AD6122"/>
    <w:rsid w:val="00AD6BAC"/>
    <w:rsid w:val="00AD7E8E"/>
    <w:rsid w:val="00AD7FA4"/>
    <w:rsid w:val="00AE01D4"/>
    <w:rsid w:val="00AE1189"/>
    <w:rsid w:val="00AE1615"/>
    <w:rsid w:val="00AE181E"/>
    <w:rsid w:val="00AE2574"/>
    <w:rsid w:val="00AE26F4"/>
    <w:rsid w:val="00AE278B"/>
    <w:rsid w:val="00AE3A04"/>
    <w:rsid w:val="00AE3B6A"/>
    <w:rsid w:val="00AE42D3"/>
    <w:rsid w:val="00AE4480"/>
    <w:rsid w:val="00AE4C8C"/>
    <w:rsid w:val="00AE4F3B"/>
    <w:rsid w:val="00AE56FB"/>
    <w:rsid w:val="00AE5A63"/>
    <w:rsid w:val="00AE63D4"/>
    <w:rsid w:val="00AE754D"/>
    <w:rsid w:val="00AF0336"/>
    <w:rsid w:val="00AF06A8"/>
    <w:rsid w:val="00AF0928"/>
    <w:rsid w:val="00AF0EA3"/>
    <w:rsid w:val="00AF3C05"/>
    <w:rsid w:val="00AF48B5"/>
    <w:rsid w:val="00AF5267"/>
    <w:rsid w:val="00AF5CB4"/>
    <w:rsid w:val="00AF6C13"/>
    <w:rsid w:val="00AF6E47"/>
    <w:rsid w:val="00B01B18"/>
    <w:rsid w:val="00B02161"/>
    <w:rsid w:val="00B02465"/>
    <w:rsid w:val="00B028F6"/>
    <w:rsid w:val="00B03EBF"/>
    <w:rsid w:val="00B045D7"/>
    <w:rsid w:val="00B05AAA"/>
    <w:rsid w:val="00B05E44"/>
    <w:rsid w:val="00B06355"/>
    <w:rsid w:val="00B0664C"/>
    <w:rsid w:val="00B0793C"/>
    <w:rsid w:val="00B07ADB"/>
    <w:rsid w:val="00B109C5"/>
    <w:rsid w:val="00B114F7"/>
    <w:rsid w:val="00B11E32"/>
    <w:rsid w:val="00B12069"/>
    <w:rsid w:val="00B1316C"/>
    <w:rsid w:val="00B1429D"/>
    <w:rsid w:val="00B16574"/>
    <w:rsid w:val="00B16998"/>
    <w:rsid w:val="00B16C5A"/>
    <w:rsid w:val="00B17384"/>
    <w:rsid w:val="00B174A5"/>
    <w:rsid w:val="00B17AE7"/>
    <w:rsid w:val="00B2006F"/>
    <w:rsid w:val="00B20212"/>
    <w:rsid w:val="00B2037C"/>
    <w:rsid w:val="00B21025"/>
    <w:rsid w:val="00B227FC"/>
    <w:rsid w:val="00B22A96"/>
    <w:rsid w:val="00B237A6"/>
    <w:rsid w:val="00B239E2"/>
    <w:rsid w:val="00B2429C"/>
    <w:rsid w:val="00B24377"/>
    <w:rsid w:val="00B24E8B"/>
    <w:rsid w:val="00B27070"/>
    <w:rsid w:val="00B27B75"/>
    <w:rsid w:val="00B30032"/>
    <w:rsid w:val="00B304B1"/>
    <w:rsid w:val="00B30744"/>
    <w:rsid w:val="00B31427"/>
    <w:rsid w:val="00B3188F"/>
    <w:rsid w:val="00B32196"/>
    <w:rsid w:val="00B32425"/>
    <w:rsid w:val="00B324AD"/>
    <w:rsid w:val="00B3388F"/>
    <w:rsid w:val="00B33DB4"/>
    <w:rsid w:val="00B35894"/>
    <w:rsid w:val="00B35FCD"/>
    <w:rsid w:val="00B36413"/>
    <w:rsid w:val="00B364F4"/>
    <w:rsid w:val="00B40559"/>
    <w:rsid w:val="00B41599"/>
    <w:rsid w:val="00B42F85"/>
    <w:rsid w:val="00B4341A"/>
    <w:rsid w:val="00B43814"/>
    <w:rsid w:val="00B44FAD"/>
    <w:rsid w:val="00B450EE"/>
    <w:rsid w:val="00B46F2D"/>
    <w:rsid w:val="00B5008E"/>
    <w:rsid w:val="00B50510"/>
    <w:rsid w:val="00B50C99"/>
    <w:rsid w:val="00B51BDD"/>
    <w:rsid w:val="00B51DB5"/>
    <w:rsid w:val="00B52FCE"/>
    <w:rsid w:val="00B53BE6"/>
    <w:rsid w:val="00B55103"/>
    <w:rsid w:val="00B5663B"/>
    <w:rsid w:val="00B56975"/>
    <w:rsid w:val="00B56CA2"/>
    <w:rsid w:val="00B570E4"/>
    <w:rsid w:val="00B57345"/>
    <w:rsid w:val="00B6030F"/>
    <w:rsid w:val="00B607D8"/>
    <w:rsid w:val="00B60DD0"/>
    <w:rsid w:val="00B60E6E"/>
    <w:rsid w:val="00B61438"/>
    <w:rsid w:val="00B62B5F"/>
    <w:rsid w:val="00B633D2"/>
    <w:rsid w:val="00B639CC"/>
    <w:rsid w:val="00B63B92"/>
    <w:rsid w:val="00B64077"/>
    <w:rsid w:val="00B64C2A"/>
    <w:rsid w:val="00B64CD6"/>
    <w:rsid w:val="00B64D9C"/>
    <w:rsid w:val="00B65CD5"/>
    <w:rsid w:val="00B6636C"/>
    <w:rsid w:val="00B66513"/>
    <w:rsid w:val="00B665A2"/>
    <w:rsid w:val="00B6770D"/>
    <w:rsid w:val="00B714D7"/>
    <w:rsid w:val="00B719D7"/>
    <w:rsid w:val="00B7299A"/>
    <w:rsid w:val="00B74213"/>
    <w:rsid w:val="00B74F2F"/>
    <w:rsid w:val="00B758BE"/>
    <w:rsid w:val="00B75968"/>
    <w:rsid w:val="00B75C71"/>
    <w:rsid w:val="00B80565"/>
    <w:rsid w:val="00B82232"/>
    <w:rsid w:val="00B82260"/>
    <w:rsid w:val="00B824A8"/>
    <w:rsid w:val="00B8285C"/>
    <w:rsid w:val="00B83930"/>
    <w:rsid w:val="00B83E49"/>
    <w:rsid w:val="00B84B18"/>
    <w:rsid w:val="00B85AA1"/>
    <w:rsid w:val="00B85C98"/>
    <w:rsid w:val="00B85E60"/>
    <w:rsid w:val="00B862AE"/>
    <w:rsid w:val="00B8641E"/>
    <w:rsid w:val="00B86813"/>
    <w:rsid w:val="00B903D7"/>
    <w:rsid w:val="00B90409"/>
    <w:rsid w:val="00B90739"/>
    <w:rsid w:val="00B911D8"/>
    <w:rsid w:val="00B9135E"/>
    <w:rsid w:val="00B914AF"/>
    <w:rsid w:val="00B91703"/>
    <w:rsid w:val="00B9194A"/>
    <w:rsid w:val="00B92657"/>
    <w:rsid w:val="00B92A5D"/>
    <w:rsid w:val="00B92F2D"/>
    <w:rsid w:val="00B92FA1"/>
    <w:rsid w:val="00B9311F"/>
    <w:rsid w:val="00B9325B"/>
    <w:rsid w:val="00B94156"/>
    <w:rsid w:val="00B941B0"/>
    <w:rsid w:val="00B94869"/>
    <w:rsid w:val="00B94C1C"/>
    <w:rsid w:val="00B959C0"/>
    <w:rsid w:val="00B966E7"/>
    <w:rsid w:val="00B97281"/>
    <w:rsid w:val="00B97531"/>
    <w:rsid w:val="00B9779D"/>
    <w:rsid w:val="00BA01A3"/>
    <w:rsid w:val="00BA1F97"/>
    <w:rsid w:val="00BA2D43"/>
    <w:rsid w:val="00BA2EA0"/>
    <w:rsid w:val="00BA55B8"/>
    <w:rsid w:val="00BA5E60"/>
    <w:rsid w:val="00BA6314"/>
    <w:rsid w:val="00BA6BAC"/>
    <w:rsid w:val="00BA7009"/>
    <w:rsid w:val="00BA70DD"/>
    <w:rsid w:val="00BA7C25"/>
    <w:rsid w:val="00BA7CDE"/>
    <w:rsid w:val="00BA7E89"/>
    <w:rsid w:val="00BB0119"/>
    <w:rsid w:val="00BB0647"/>
    <w:rsid w:val="00BB09E1"/>
    <w:rsid w:val="00BB0D01"/>
    <w:rsid w:val="00BB1B18"/>
    <w:rsid w:val="00BB1F8C"/>
    <w:rsid w:val="00BB2673"/>
    <w:rsid w:val="00BB29B2"/>
    <w:rsid w:val="00BB2B39"/>
    <w:rsid w:val="00BB2F32"/>
    <w:rsid w:val="00BB42F4"/>
    <w:rsid w:val="00BB4FF4"/>
    <w:rsid w:val="00BB5051"/>
    <w:rsid w:val="00BB6134"/>
    <w:rsid w:val="00BB6317"/>
    <w:rsid w:val="00BB6609"/>
    <w:rsid w:val="00BB674C"/>
    <w:rsid w:val="00BB68BA"/>
    <w:rsid w:val="00BB68F6"/>
    <w:rsid w:val="00BB706F"/>
    <w:rsid w:val="00BB70A9"/>
    <w:rsid w:val="00BB7772"/>
    <w:rsid w:val="00BB7934"/>
    <w:rsid w:val="00BB7BD3"/>
    <w:rsid w:val="00BC0593"/>
    <w:rsid w:val="00BC0D18"/>
    <w:rsid w:val="00BC22D3"/>
    <w:rsid w:val="00BC23E1"/>
    <w:rsid w:val="00BC2597"/>
    <w:rsid w:val="00BC378C"/>
    <w:rsid w:val="00BC3CB7"/>
    <w:rsid w:val="00BC5886"/>
    <w:rsid w:val="00BC589D"/>
    <w:rsid w:val="00BC60DE"/>
    <w:rsid w:val="00BC6B6B"/>
    <w:rsid w:val="00BC6C15"/>
    <w:rsid w:val="00BC6DC9"/>
    <w:rsid w:val="00BC7C21"/>
    <w:rsid w:val="00BD02E7"/>
    <w:rsid w:val="00BD0451"/>
    <w:rsid w:val="00BD08A4"/>
    <w:rsid w:val="00BD0C8B"/>
    <w:rsid w:val="00BD1180"/>
    <w:rsid w:val="00BD20B8"/>
    <w:rsid w:val="00BD27B0"/>
    <w:rsid w:val="00BD2DF3"/>
    <w:rsid w:val="00BD2EB1"/>
    <w:rsid w:val="00BD32A9"/>
    <w:rsid w:val="00BD35B9"/>
    <w:rsid w:val="00BD50E4"/>
    <w:rsid w:val="00BD517A"/>
    <w:rsid w:val="00BD5A60"/>
    <w:rsid w:val="00BD5FBE"/>
    <w:rsid w:val="00BD6138"/>
    <w:rsid w:val="00BD6CD8"/>
    <w:rsid w:val="00BD7DFC"/>
    <w:rsid w:val="00BE0140"/>
    <w:rsid w:val="00BE02E3"/>
    <w:rsid w:val="00BE03F4"/>
    <w:rsid w:val="00BE04F6"/>
    <w:rsid w:val="00BE05CC"/>
    <w:rsid w:val="00BE0C6E"/>
    <w:rsid w:val="00BE1AEA"/>
    <w:rsid w:val="00BE1C09"/>
    <w:rsid w:val="00BE2A0A"/>
    <w:rsid w:val="00BE48AA"/>
    <w:rsid w:val="00BE4C28"/>
    <w:rsid w:val="00BE4C66"/>
    <w:rsid w:val="00BE4D2B"/>
    <w:rsid w:val="00BE561B"/>
    <w:rsid w:val="00BE5C71"/>
    <w:rsid w:val="00BE5FC2"/>
    <w:rsid w:val="00BE61E0"/>
    <w:rsid w:val="00BE7AB1"/>
    <w:rsid w:val="00BE7B90"/>
    <w:rsid w:val="00BE7FC3"/>
    <w:rsid w:val="00BF0DDB"/>
    <w:rsid w:val="00BF1854"/>
    <w:rsid w:val="00BF1AFD"/>
    <w:rsid w:val="00BF2154"/>
    <w:rsid w:val="00BF22FE"/>
    <w:rsid w:val="00BF4FC9"/>
    <w:rsid w:val="00BF533C"/>
    <w:rsid w:val="00BF57B6"/>
    <w:rsid w:val="00BF5DEC"/>
    <w:rsid w:val="00BF612F"/>
    <w:rsid w:val="00BF68C9"/>
    <w:rsid w:val="00BF6A9F"/>
    <w:rsid w:val="00BF6E86"/>
    <w:rsid w:val="00C00534"/>
    <w:rsid w:val="00C018AA"/>
    <w:rsid w:val="00C01A63"/>
    <w:rsid w:val="00C0215C"/>
    <w:rsid w:val="00C02E74"/>
    <w:rsid w:val="00C04A91"/>
    <w:rsid w:val="00C05143"/>
    <w:rsid w:val="00C0597F"/>
    <w:rsid w:val="00C05DE0"/>
    <w:rsid w:val="00C0633A"/>
    <w:rsid w:val="00C06926"/>
    <w:rsid w:val="00C06A98"/>
    <w:rsid w:val="00C06FA3"/>
    <w:rsid w:val="00C116BF"/>
    <w:rsid w:val="00C11BC4"/>
    <w:rsid w:val="00C1230A"/>
    <w:rsid w:val="00C12E37"/>
    <w:rsid w:val="00C1350C"/>
    <w:rsid w:val="00C14510"/>
    <w:rsid w:val="00C14522"/>
    <w:rsid w:val="00C166BF"/>
    <w:rsid w:val="00C17B49"/>
    <w:rsid w:val="00C20633"/>
    <w:rsid w:val="00C20D30"/>
    <w:rsid w:val="00C20F91"/>
    <w:rsid w:val="00C21327"/>
    <w:rsid w:val="00C21355"/>
    <w:rsid w:val="00C2148F"/>
    <w:rsid w:val="00C21A1C"/>
    <w:rsid w:val="00C21BD0"/>
    <w:rsid w:val="00C21BF3"/>
    <w:rsid w:val="00C229A9"/>
    <w:rsid w:val="00C22A45"/>
    <w:rsid w:val="00C23120"/>
    <w:rsid w:val="00C24F6F"/>
    <w:rsid w:val="00C2536F"/>
    <w:rsid w:val="00C25E67"/>
    <w:rsid w:val="00C2600F"/>
    <w:rsid w:val="00C2642B"/>
    <w:rsid w:val="00C267F9"/>
    <w:rsid w:val="00C26E90"/>
    <w:rsid w:val="00C2726B"/>
    <w:rsid w:val="00C27550"/>
    <w:rsid w:val="00C275E7"/>
    <w:rsid w:val="00C27C6A"/>
    <w:rsid w:val="00C30636"/>
    <w:rsid w:val="00C329F5"/>
    <w:rsid w:val="00C3379C"/>
    <w:rsid w:val="00C33F7F"/>
    <w:rsid w:val="00C342F6"/>
    <w:rsid w:val="00C34AAB"/>
    <w:rsid w:val="00C3519D"/>
    <w:rsid w:val="00C35DB6"/>
    <w:rsid w:val="00C3611C"/>
    <w:rsid w:val="00C363D3"/>
    <w:rsid w:val="00C36B2E"/>
    <w:rsid w:val="00C36B5E"/>
    <w:rsid w:val="00C37940"/>
    <w:rsid w:val="00C37EB1"/>
    <w:rsid w:val="00C429BB"/>
    <w:rsid w:val="00C43B1A"/>
    <w:rsid w:val="00C43F46"/>
    <w:rsid w:val="00C448ED"/>
    <w:rsid w:val="00C456A7"/>
    <w:rsid w:val="00C466C9"/>
    <w:rsid w:val="00C46832"/>
    <w:rsid w:val="00C470DF"/>
    <w:rsid w:val="00C47484"/>
    <w:rsid w:val="00C47D59"/>
    <w:rsid w:val="00C50B47"/>
    <w:rsid w:val="00C53F15"/>
    <w:rsid w:val="00C5472E"/>
    <w:rsid w:val="00C54BCC"/>
    <w:rsid w:val="00C56A21"/>
    <w:rsid w:val="00C56B96"/>
    <w:rsid w:val="00C57DCD"/>
    <w:rsid w:val="00C60EBB"/>
    <w:rsid w:val="00C61734"/>
    <w:rsid w:val="00C61830"/>
    <w:rsid w:val="00C632C3"/>
    <w:rsid w:val="00C6368A"/>
    <w:rsid w:val="00C638E9"/>
    <w:rsid w:val="00C641DC"/>
    <w:rsid w:val="00C64432"/>
    <w:rsid w:val="00C6534E"/>
    <w:rsid w:val="00C6660B"/>
    <w:rsid w:val="00C66CB2"/>
    <w:rsid w:val="00C66D32"/>
    <w:rsid w:val="00C66F94"/>
    <w:rsid w:val="00C67F1A"/>
    <w:rsid w:val="00C7006B"/>
    <w:rsid w:val="00C70211"/>
    <w:rsid w:val="00C7292C"/>
    <w:rsid w:val="00C7435A"/>
    <w:rsid w:val="00C753E2"/>
    <w:rsid w:val="00C75C0A"/>
    <w:rsid w:val="00C76198"/>
    <w:rsid w:val="00C761AE"/>
    <w:rsid w:val="00C76C72"/>
    <w:rsid w:val="00C801F9"/>
    <w:rsid w:val="00C81E47"/>
    <w:rsid w:val="00C82D5D"/>
    <w:rsid w:val="00C8376B"/>
    <w:rsid w:val="00C840C9"/>
    <w:rsid w:val="00C84ABE"/>
    <w:rsid w:val="00C84B2C"/>
    <w:rsid w:val="00C84DA4"/>
    <w:rsid w:val="00C84F21"/>
    <w:rsid w:val="00C859FC"/>
    <w:rsid w:val="00C85C83"/>
    <w:rsid w:val="00C86371"/>
    <w:rsid w:val="00C86A95"/>
    <w:rsid w:val="00C86AAD"/>
    <w:rsid w:val="00C879D7"/>
    <w:rsid w:val="00C879E4"/>
    <w:rsid w:val="00C910F6"/>
    <w:rsid w:val="00C91257"/>
    <w:rsid w:val="00C9188F"/>
    <w:rsid w:val="00C92258"/>
    <w:rsid w:val="00C92A65"/>
    <w:rsid w:val="00C935AF"/>
    <w:rsid w:val="00C94657"/>
    <w:rsid w:val="00C94BEE"/>
    <w:rsid w:val="00C94CCD"/>
    <w:rsid w:val="00C95B77"/>
    <w:rsid w:val="00C95D96"/>
    <w:rsid w:val="00C963C8"/>
    <w:rsid w:val="00CA0A4C"/>
    <w:rsid w:val="00CA13E0"/>
    <w:rsid w:val="00CA1570"/>
    <w:rsid w:val="00CA1B71"/>
    <w:rsid w:val="00CA1F68"/>
    <w:rsid w:val="00CA21B8"/>
    <w:rsid w:val="00CA3107"/>
    <w:rsid w:val="00CA3253"/>
    <w:rsid w:val="00CA3B72"/>
    <w:rsid w:val="00CA42B3"/>
    <w:rsid w:val="00CA44C8"/>
    <w:rsid w:val="00CA5883"/>
    <w:rsid w:val="00CA62A9"/>
    <w:rsid w:val="00CA6B30"/>
    <w:rsid w:val="00CA712B"/>
    <w:rsid w:val="00CA7882"/>
    <w:rsid w:val="00CA78E2"/>
    <w:rsid w:val="00CA7EF1"/>
    <w:rsid w:val="00CB0159"/>
    <w:rsid w:val="00CB0A46"/>
    <w:rsid w:val="00CB234E"/>
    <w:rsid w:val="00CB2BA0"/>
    <w:rsid w:val="00CB317E"/>
    <w:rsid w:val="00CB37CE"/>
    <w:rsid w:val="00CB3E04"/>
    <w:rsid w:val="00CB422B"/>
    <w:rsid w:val="00CB440C"/>
    <w:rsid w:val="00CB479F"/>
    <w:rsid w:val="00CB5E6B"/>
    <w:rsid w:val="00CB70E7"/>
    <w:rsid w:val="00CB77A4"/>
    <w:rsid w:val="00CB7AA1"/>
    <w:rsid w:val="00CC177A"/>
    <w:rsid w:val="00CC17F7"/>
    <w:rsid w:val="00CC2795"/>
    <w:rsid w:val="00CC27BA"/>
    <w:rsid w:val="00CC3CD6"/>
    <w:rsid w:val="00CC3FF8"/>
    <w:rsid w:val="00CC40FD"/>
    <w:rsid w:val="00CC41C5"/>
    <w:rsid w:val="00CC4249"/>
    <w:rsid w:val="00CC5042"/>
    <w:rsid w:val="00CC534B"/>
    <w:rsid w:val="00CC5923"/>
    <w:rsid w:val="00CC61D8"/>
    <w:rsid w:val="00CC74DC"/>
    <w:rsid w:val="00CC7A52"/>
    <w:rsid w:val="00CD156E"/>
    <w:rsid w:val="00CD2AB2"/>
    <w:rsid w:val="00CD2F85"/>
    <w:rsid w:val="00CD3595"/>
    <w:rsid w:val="00CD3A4F"/>
    <w:rsid w:val="00CD44DB"/>
    <w:rsid w:val="00CD5FFF"/>
    <w:rsid w:val="00CD6817"/>
    <w:rsid w:val="00CD7056"/>
    <w:rsid w:val="00CD71CF"/>
    <w:rsid w:val="00CD7563"/>
    <w:rsid w:val="00CD79D4"/>
    <w:rsid w:val="00CD7B02"/>
    <w:rsid w:val="00CD7D91"/>
    <w:rsid w:val="00CE0591"/>
    <w:rsid w:val="00CE0C43"/>
    <w:rsid w:val="00CE17F4"/>
    <w:rsid w:val="00CE3273"/>
    <w:rsid w:val="00CE33F2"/>
    <w:rsid w:val="00CE458B"/>
    <w:rsid w:val="00CE4625"/>
    <w:rsid w:val="00CE5043"/>
    <w:rsid w:val="00CE53E8"/>
    <w:rsid w:val="00CE54D3"/>
    <w:rsid w:val="00CE5C10"/>
    <w:rsid w:val="00CE6F64"/>
    <w:rsid w:val="00CE7185"/>
    <w:rsid w:val="00CE71EE"/>
    <w:rsid w:val="00CF0F83"/>
    <w:rsid w:val="00CF18A3"/>
    <w:rsid w:val="00CF1A33"/>
    <w:rsid w:val="00CF1A57"/>
    <w:rsid w:val="00CF1CB9"/>
    <w:rsid w:val="00CF2FB5"/>
    <w:rsid w:val="00CF32FF"/>
    <w:rsid w:val="00CF33FD"/>
    <w:rsid w:val="00CF478D"/>
    <w:rsid w:val="00CF599B"/>
    <w:rsid w:val="00CF6C70"/>
    <w:rsid w:val="00CF7FBD"/>
    <w:rsid w:val="00D01BB5"/>
    <w:rsid w:val="00D01D3D"/>
    <w:rsid w:val="00D022B6"/>
    <w:rsid w:val="00D02506"/>
    <w:rsid w:val="00D026C7"/>
    <w:rsid w:val="00D02779"/>
    <w:rsid w:val="00D03EB4"/>
    <w:rsid w:val="00D0431D"/>
    <w:rsid w:val="00D04358"/>
    <w:rsid w:val="00D0699D"/>
    <w:rsid w:val="00D06FAA"/>
    <w:rsid w:val="00D071ED"/>
    <w:rsid w:val="00D07CEE"/>
    <w:rsid w:val="00D1094F"/>
    <w:rsid w:val="00D113AD"/>
    <w:rsid w:val="00D125AB"/>
    <w:rsid w:val="00D13FA1"/>
    <w:rsid w:val="00D1430E"/>
    <w:rsid w:val="00D145A1"/>
    <w:rsid w:val="00D147DA"/>
    <w:rsid w:val="00D14CEC"/>
    <w:rsid w:val="00D154FE"/>
    <w:rsid w:val="00D15537"/>
    <w:rsid w:val="00D159DC"/>
    <w:rsid w:val="00D16CA1"/>
    <w:rsid w:val="00D17198"/>
    <w:rsid w:val="00D17F17"/>
    <w:rsid w:val="00D2033A"/>
    <w:rsid w:val="00D20F51"/>
    <w:rsid w:val="00D219B0"/>
    <w:rsid w:val="00D22407"/>
    <w:rsid w:val="00D2291C"/>
    <w:rsid w:val="00D22B0D"/>
    <w:rsid w:val="00D22D0A"/>
    <w:rsid w:val="00D22F0E"/>
    <w:rsid w:val="00D241F7"/>
    <w:rsid w:val="00D24701"/>
    <w:rsid w:val="00D24A8A"/>
    <w:rsid w:val="00D24F26"/>
    <w:rsid w:val="00D24FEC"/>
    <w:rsid w:val="00D254DC"/>
    <w:rsid w:val="00D25F75"/>
    <w:rsid w:val="00D2621F"/>
    <w:rsid w:val="00D268B7"/>
    <w:rsid w:val="00D275B7"/>
    <w:rsid w:val="00D27BCA"/>
    <w:rsid w:val="00D27BD8"/>
    <w:rsid w:val="00D27FF7"/>
    <w:rsid w:val="00D30952"/>
    <w:rsid w:val="00D31592"/>
    <w:rsid w:val="00D31781"/>
    <w:rsid w:val="00D320B4"/>
    <w:rsid w:val="00D32823"/>
    <w:rsid w:val="00D328AC"/>
    <w:rsid w:val="00D33637"/>
    <w:rsid w:val="00D337B4"/>
    <w:rsid w:val="00D33812"/>
    <w:rsid w:val="00D33D17"/>
    <w:rsid w:val="00D33DA8"/>
    <w:rsid w:val="00D3476A"/>
    <w:rsid w:val="00D358AD"/>
    <w:rsid w:val="00D35F22"/>
    <w:rsid w:val="00D36181"/>
    <w:rsid w:val="00D3622A"/>
    <w:rsid w:val="00D36261"/>
    <w:rsid w:val="00D40231"/>
    <w:rsid w:val="00D4094B"/>
    <w:rsid w:val="00D41560"/>
    <w:rsid w:val="00D41F1D"/>
    <w:rsid w:val="00D4271B"/>
    <w:rsid w:val="00D42947"/>
    <w:rsid w:val="00D42989"/>
    <w:rsid w:val="00D42F0C"/>
    <w:rsid w:val="00D4311C"/>
    <w:rsid w:val="00D431B8"/>
    <w:rsid w:val="00D4480F"/>
    <w:rsid w:val="00D44CA2"/>
    <w:rsid w:val="00D450D3"/>
    <w:rsid w:val="00D45E66"/>
    <w:rsid w:val="00D467DC"/>
    <w:rsid w:val="00D50E7D"/>
    <w:rsid w:val="00D50F9D"/>
    <w:rsid w:val="00D510A8"/>
    <w:rsid w:val="00D513D4"/>
    <w:rsid w:val="00D51825"/>
    <w:rsid w:val="00D51C00"/>
    <w:rsid w:val="00D51C1D"/>
    <w:rsid w:val="00D52AD8"/>
    <w:rsid w:val="00D53071"/>
    <w:rsid w:val="00D53335"/>
    <w:rsid w:val="00D54057"/>
    <w:rsid w:val="00D5431F"/>
    <w:rsid w:val="00D54A29"/>
    <w:rsid w:val="00D54C69"/>
    <w:rsid w:val="00D54E1A"/>
    <w:rsid w:val="00D54FC0"/>
    <w:rsid w:val="00D55EFC"/>
    <w:rsid w:val="00D55F96"/>
    <w:rsid w:val="00D564C1"/>
    <w:rsid w:val="00D56784"/>
    <w:rsid w:val="00D57627"/>
    <w:rsid w:val="00D57A98"/>
    <w:rsid w:val="00D615A9"/>
    <w:rsid w:val="00D6197D"/>
    <w:rsid w:val="00D629F9"/>
    <w:rsid w:val="00D62C98"/>
    <w:rsid w:val="00D62EC7"/>
    <w:rsid w:val="00D64237"/>
    <w:rsid w:val="00D64428"/>
    <w:rsid w:val="00D64674"/>
    <w:rsid w:val="00D65797"/>
    <w:rsid w:val="00D65F94"/>
    <w:rsid w:val="00D662DD"/>
    <w:rsid w:val="00D702F3"/>
    <w:rsid w:val="00D71799"/>
    <w:rsid w:val="00D71A08"/>
    <w:rsid w:val="00D726BF"/>
    <w:rsid w:val="00D72C3A"/>
    <w:rsid w:val="00D7349C"/>
    <w:rsid w:val="00D7353A"/>
    <w:rsid w:val="00D73657"/>
    <w:rsid w:val="00D73852"/>
    <w:rsid w:val="00D744D6"/>
    <w:rsid w:val="00D74A0B"/>
    <w:rsid w:val="00D75B14"/>
    <w:rsid w:val="00D75FF0"/>
    <w:rsid w:val="00D771F9"/>
    <w:rsid w:val="00D77EF9"/>
    <w:rsid w:val="00D80793"/>
    <w:rsid w:val="00D808F9"/>
    <w:rsid w:val="00D809A3"/>
    <w:rsid w:val="00D83013"/>
    <w:rsid w:val="00D83E42"/>
    <w:rsid w:val="00D84810"/>
    <w:rsid w:val="00D85649"/>
    <w:rsid w:val="00D85D1F"/>
    <w:rsid w:val="00D85E0A"/>
    <w:rsid w:val="00D85F30"/>
    <w:rsid w:val="00D860DF"/>
    <w:rsid w:val="00D863F4"/>
    <w:rsid w:val="00D8691B"/>
    <w:rsid w:val="00D86F5B"/>
    <w:rsid w:val="00D87B19"/>
    <w:rsid w:val="00D90119"/>
    <w:rsid w:val="00D908E7"/>
    <w:rsid w:val="00D90EBA"/>
    <w:rsid w:val="00D91A5A"/>
    <w:rsid w:val="00D91C74"/>
    <w:rsid w:val="00D92D50"/>
    <w:rsid w:val="00D932AF"/>
    <w:rsid w:val="00D9389C"/>
    <w:rsid w:val="00D93C82"/>
    <w:rsid w:val="00D94C9D"/>
    <w:rsid w:val="00D94E99"/>
    <w:rsid w:val="00D953F9"/>
    <w:rsid w:val="00D95F74"/>
    <w:rsid w:val="00D964C4"/>
    <w:rsid w:val="00D96A20"/>
    <w:rsid w:val="00D970C3"/>
    <w:rsid w:val="00D979CE"/>
    <w:rsid w:val="00DA01F8"/>
    <w:rsid w:val="00DA0E10"/>
    <w:rsid w:val="00DA117B"/>
    <w:rsid w:val="00DA2467"/>
    <w:rsid w:val="00DA2E8E"/>
    <w:rsid w:val="00DA54AD"/>
    <w:rsid w:val="00DA63BB"/>
    <w:rsid w:val="00DA722B"/>
    <w:rsid w:val="00DA7C3A"/>
    <w:rsid w:val="00DA7E99"/>
    <w:rsid w:val="00DB14D2"/>
    <w:rsid w:val="00DB18AB"/>
    <w:rsid w:val="00DB254E"/>
    <w:rsid w:val="00DB2F56"/>
    <w:rsid w:val="00DB478E"/>
    <w:rsid w:val="00DB4B00"/>
    <w:rsid w:val="00DB5120"/>
    <w:rsid w:val="00DB5154"/>
    <w:rsid w:val="00DB51A0"/>
    <w:rsid w:val="00DC00A7"/>
    <w:rsid w:val="00DC264F"/>
    <w:rsid w:val="00DC3158"/>
    <w:rsid w:val="00DC3A21"/>
    <w:rsid w:val="00DC4334"/>
    <w:rsid w:val="00DC48DB"/>
    <w:rsid w:val="00DC5408"/>
    <w:rsid w:val="00DD2866"/>
    <w:rsid w:val="00DD3255"/>
    <w:rsid w:val="00DD448C"/>
    <w:rsid w:val="00DD4D9A"/>
    <w:rsid w:val="00DD5BEB"/>
    <w:rsid w:val="00DD6332"/>
    <w:rsid w:val="00DD63CF"/>
    <w:rsid w:val="00DD6842"/>
    <w:rsid w:val="00DD7316"/>
    <w:rsid w:val="00DD7459"/>
    <w:rsid w:val="00DD7876"/>
    <w:rsid w:val="00DE0A8B"/>
    <w:rsid w:val="00DE301C"/>
    <w:rsid w:val="00DE381D"/>
    <w:rsid w:val="00DE3E94"/>
    <w:rsid w:val="00DE41A1"/>
    <w:rsid w:val="00DE4EB2"/>
    <w:rsid w:val="00DE5AD0"/>
    <w:rsid w:val="00DE5ECC"/>
    <w:rsid w:val="00DE7601"/>
    <w:rsid w:val="00DF07F1"/>
    <w:rsid w:val="00DF0D41"/>
    <w:rsid w:val="00DF0D70"/>
    <w:rsid w:val="00DF1397"/>
    <w:rsid w:val="00DF1F7A"/>
    <w:rsid w:val="00DF212C"/>
    <w:rsid w:val="00DF2800"/>
    <w:rsid w:val="00DF294E"/>
    <w:rsid w:val="00DF36D8"/>
    <w:rsid w:val="00DF42A4"/>
    <w:rsid w:val="00DF4480"/>
    <w:rsid w:val="00DF51EC"/>
    <w:rsid w:val="00DF584C"/>
    <w:rsid w:val="00DF590D"/>
    <w:rsid w:val="00DF607F"/>
    <w:rsid w:val="00DF7304"/>
    <w:rsid w:val="00E0015A"/>
    <w:rsid w:val="00E00921"/>
    <w:rsid w:val="00E01756"/>
    <w:rsid w:val="00E02396"/>
    <w:rsid w:val="00E0278B"/>
    <w:rsid w:val="00E04392"/>
    <w:rsid w:val="00E0441A"/>
    <w:rsid w:val="00E04549"/>
    <w:rsid w:val="00E045D0"/>
    <w:rsid w:val="00E0488B"/>
    <w:rsid w:val="00E06C56"/>
    <w:rsid w:val="00E06E83"/>
    <w:rsid w:val="00E07063"/>
    <w:rsid w:val="00E07342"/>
    <w:rsid w:val="00E07B62"/>
    <w:rsid w:val="00E07BD3"/>
    <w:rsid w:val="00E104CB"/>
    <w:rsid w:val="00E111C2"/>
    <w:rsid w:val="00E1120C"/>
    <w:rsid w:val="00E11350"/>
    <w:rsid w:val="00E12248"/>
    <w:rsid w:val="00E12339"/>
    <w:rsid w:val="00E12B17"/>
    <w:rsid w:val="00E134ED"/>
    <w:rsid w:val="00E13AD1"/>
    <w:rsid w:val="00E13E6A"/>
    <w:rsid w:val="00E14138"/>
    <w:rsid w:val="00E14F75"/>
    <w:rsid w:val="00E150BE"/>
    <w:rsid w:val="00E16AC1"/>
    <w:rsid w:val="00E17D79"/>
    <w:rsid w:val="00E2068F"/>
    <w:rsid w:val="00E20E1B"/>
    <w:rsid w:val="00E223C8"/>
    <w:rsid w:val="00E2256E"/>
    <w:rsid w:val="00E22E33"/>
    <w:rsid w:val="00E237A6"/>
    <w:rsid w:val="00E257E5"/>
    <w:rsid w:val="00E25F23"/>
    <w:rsid w:val="00E264FA"/>
    <w:rsid w:val="00E2692B"/>
    <w:rsid w:val="00E26FE1"/>
    <w:rsid w:val="00E271C4"/>
    <w:rsid w:val="00E2720E"/>
    <w:rsid w:val="00E30616"/>
    <w:rsid w:val="00E30EA3"/>
    <w:rsid w:val="00E3178A"/>
    <w:rsid w:val="00E318AD"/>
    <w:rsid w:val="00E320A6"/>
    <w:rsid w:val="00E32DB9"/>
    <w:rsid w:val="00E33EC8"/>
    <w:rsid w:val="00E34238"/>
    <w:rsid w:val="00E346E5"/>
    <w:rsid w:val="00E34DE7"/>
    <w:rsid w:val="00E35412"/>
    <w:rsid w:val="00E35D02"/>
    <w:rsid w:val="00E36012"/>
    <w:rsid w:val="00E367C2"/>
    <w:rsid w:val="00E36D30"/>
    <w:rsid w:val="00E37DF1"/>
    <w:rsid w:val="00E37E03"/>
    <w:rsid w:val="00E40549"/>
    <w:rsid w:val="00E4277C"/>
    <w:rsid w:val="00E42867"/>
    <w:rsid w:val="00E4499B"/>
    <w:rsid w:val="00E44E07"/>
    <w:rsid w:val="00E458F8"/>
    <w:rsid w:val="00E459E1"/>
    <w:rsid w:val="00E45A08"/>
    <w:rsid w:val="00E46ADF"/>
    <w:rsid w:val="00E51A96"/>
    <w:rsid w:val="00E51D3F"/>
    <w:rsid w:val="00E521C2"/>
    <w:rsid w:val="00E52676"/>
    <w:rsid w:val="00E52682"/>
    <w:rsid w:val="00E531F4"/>
    <w:rsid w:val="00E537DE"/>
    <w:rsid w:val="00E5380B"/>
    <w:rsid w:val="00E5452E"/>
    <w:rsid w:val="00E55135"/>
    <w:rsid w:val="00E56AB5"/>
    <w:rsid w:val="00E57376"/>
    <w:rsid w:val="00E61009"/>
    <w:rsid w:val="00E61168"/>
    <w:rsid w:val="00E614C2"/>
    <w:rsid w:val="00E61654"/>
    <w:rsid w:val="00E6243D"/>
    <w:rsid w:val="00E62701"/>
    <w:rsid w:val="00E629D5"/>
    <w:rsid w:val="00E63337"/>
    <w:rsid w:val="00E654EC"/>
    <w:rsid w:val="00E67324"/>
    <w:rsid w:val="00E6742F"/>
    <w:rsid w:val="00E70917"/>
    <w:rsid w:val="00E709C6"/>
    <w:rsid w:val="00E715B1"/>
    <w:rsid w:val="00E71886"/>
    <w:rsid w:val="00E7202E"/>
    <w:rsid w:val="00E7234B"/>
    <w:rsid w:val="00E72861"/>
    <w:rsid w:val="00E72B5C"/>
    <w:rsid w:val="00E731EC"/>
    <w:rsid w:val="00E73B09"/>
    <w:rsid w:val="00E73C29"/>
    <w:rsid w:val="00E73E9C"/>
    <w:rsid w:val="00E74052"/>
    <w:rsid w:val="00E74876"/>
    <w:rsid w:val="00E7494D"/>
    <w:rsid w:val="00E74ED9"/>
    <w:rsid w:val="00E7594D"/>
    <w:rsid w:val="00E775E1"/>
    <w:rsid w:val="00E801D3"/>
    <w:rsid w:val="00E809AA"/>
    <w:rsid w:val="00E80FFF"/>
    <w:rsid w:val="00E82217"/>
    <w:rsid w:val="00E823BD"/>
    <w:rsid w:val="00E827D8"/>
    <w:rsid w:val="00E843AA"/>
    <w:rsid w:val="00E8473D"/>
    <w:rsid w:val="00E8477C"/>
    <w:rsid w:val="00E848AB"/>
    <w:rsid w:val="00E859BA"/>
    <w:rsid w:val="00E867B3"/>
    <w:rsid w:val="00E9041C"/>
    <w:rsid w:val="00E90A55"/>
    <w:rsid w:val="00E91611"/>
    <w:rsid w:val="00E9286D"/>
    <w:rsid w:val="00E928C0"/>
    <w:rsid w:val="00E928C6"/>
    <w:rsid w:val="00E94AB2"/>
    <w:rsid w:val="00E95120"/>
    <w:rsid w:val="00E95950"/>
    <w:rsid w:val="00E968BE"/>
    <w:rsid w:val="00E96B8F"/>
    <w:rsid w:val="00E970AD"/>
    <w:rsid w:val="00EA0B1E"/>
    <w:rsid w:val="00EA15A3"/>
    <w:rsid w:val="00EA211D"/>
    <w:rsid w:val="00EA2B1B"/>
    <w:rsid w:val="00EA3F89"/>
    <w:rsid w:val="00EA59BE"/>
    <w:rsid w:val="00EA5EEF"/>
    <w:rsid w:val="00EA7EC4"/>
    <w:rsid w:val="00EB035D"/>
    <w:rsid w:val="00EB080B"/>
    <w:rsid w:val="00EB08EF"/>
    <w:rsid w:val="00EB094C"/>
    <w:rsid w:val="00EB0BC2"/>
    <w:rsid w:val="00EB1899"/>
    <w:rsid w:val="00EB25BC"/>
    <w:rsid w:val="00EB28C6"/>
    <w:rsid w:val="00EB2BD6"/>
    <w:rsid w:val="00EB2F58"/>
    <w:rsid w:val="00EB3226"/>
    <w:rsid w:val="00EB3966"/>
    <w:rsid w:val="00EB4317"/>
    <w:rsid w:val="00EB4373"/>
    <w:rsid w:val="00EB4FDF"/>
    <w:rsid w:val="00EB53FB"/>
    <w:rsid w:val="00EB5DDC"/>
    <w:rsid w:val="00EB7993"/>
    <w:rsid w:val="00EB7C3A"/>
    <w:rsid w:val="00EB7F86"/>
    <w:rsid w:val="00EC054B"/>
    <w:rsid w:val="00EC19AF"/>
    <w:rsid w:val="00EC1B14"/>
    <w:rsid w:val="00EC1DDC"/>
    <w:rsid w:val="00EC1F92"/>
    <w:rsid w:val="00EC20BF"/>
    <w:rsid w:val="00EC269F"/>
    <w:rsid w:val="00EC3812"/>
    <w:rsid w:val="00EC41ED"/>
    <w:rsid w:val="00EC42BF"/>
    <w:rsid w:val="00EC4CCC"/>
    <w:rsid w:val="00EC510B"/>
    <w:rsid w:val="00EC6DE9"/>
    <w:rsid w:val="00EC7A3C"/>
    <w:rsid w:val="00EC7DB0"/>
    <w:rsid w:val="00ED025B"/>
    <w:rsid w:val="00ED0577"/>
    <w:rsid w:val="00ED0A1A"/>
    <w:rsid w:val="00ED0D1B"/>
    <w:rsid w:val="00ED31E3"/>
    <w:rsid w:val="00ED3379"/>
    <w:rsid w:val="00ED3D09"/>
    <w:rsid w:val="00ED4561"/>
    <w:rsid w:val="00ED4C09"/>
    <w:rsid w:val="00ED5958"/>
    <w:rsid w:val="00ED6226"/>
    <w:rsid w:val="00ED68D0"/>
    <w:rsid w:val="00ED7304"/>
    <w:rsid w:val="00ED7B5A"/>
    <w:rsid w:val="00EE0441"/>
    <w:rsid w:val="00EE14E5"/>
    <w:rsid w:val="00EE215C"/>
    <w:rsid w:val="00EE22CD"/>
    <w:rsid w:val="00EE3053"/>
    <w:rsid w:val="00EE39EB"/>
    <w:rsid w:val="00EE4664"/>
    <w:rsid w:val="00EE4688"/>
    <w:rsid w:val="00EE4BC5"/>
    <w:rsid w:val="00EE569D"/>
    <w:rsid w:val="00EE5732"/>
    <w:rsid w:val="00EE6BA5"/>
    <w:rsid w:val="00EE7322"/>
    <w:rsid w:val="00EF0BB7"/>
    <w:rsid w:val="00EF1244"/>
    <w:rsid w:val="00EF1A47"/>
    <w:rsid w:val="00EF207B"/>
    <w:rsid w:val="00EF2E30"/>
    <w:rsid w:val="00EF3801"/>
    <w:rsid w:val="00EF63CC"/>
    <w:rsid w:val="00EF683A"/>
    <w:rsid w:val="00EF6B46"/>
    <w:rsid w:val="00EF7FAA"/>
    <w:rsid w:val="00F00EE6"/>
    <w:rsid w:val="00F015C9"/>
    <w:rsid w:val="00F01819"/>
    <w:rsid w:val="00F02407"/>
    <w:rsid w:val="00F037A2"/>
    <w:rsid w:val="00F03EC3"/>
    <w:rsid w:val="00F04BAF"/>
    <w:rsid w:val="00F06C3E"/>
    <w:rsid w:val="00F07E79"/>
    <w:rsid w:val="00F10C4A"/>
    <w:rsid w:val="00F110EE"/>
    <w:rsid w:val="00F11177"/>
    <w:rsid w:val="00F13D61"/>
    <w:rsid w:val="00F14AAD"/>
    <w:rsid w:val="00F14B86"/>
    <w:rsid w:val="00F14C8E"/>
    <w:rsid w:val="00F1692B"/>
    <w:rsid w:val="00F16C05"/>
    <w:rsid w:val="00F16EB6"/>
    <w:rsid w:val="00F16F2F"/>
    <w:rsid w:val="00F174B7"/>
    <w:rsid w:val="00F17898"/>
    <w:rsid w:val="00F21EBB"/>
    <w:rsid w:val="00F22B2B"/>
    <w:rsid w:val="00F23204"/>
    <w:rsid w:val="00F23643"/>
    <w:rsid w:val="00F2364F"/>
    <w:rsid w:val="00F23C99"/>
    <w:rsid w:val="00F23EF0"/>
    <w:rsid w:val="00F24617"/>
    <w:rsid w:val="00F248C7"/>
    <w:rsid w:val="00F25E81"/>
    <w:rsid w:val="00F26C6E"/>
    <w:rsid w:val="00F30398"/>
    <w:rsid w:val="00F30743"/>
    <w:rsid w:val="00F311C1"/>
    <w:rsid w:val="00F31363"/>
    <w:rsid w:val="00F31EA6"/>
    <w:rsid w:val="00F32685"/>
    <w:rsid w:val="00F32820"/>
    <w:rsid w:val="00F333F2"/>
    <w:rsid w:val="00F334A3"/>
    <w:rsid w:val="00F33A85"/>
    <w:rsid w:val="00F33A94"/>
    <w:rsid w:val="00F34640"/>
    <w:rsid w:val="00F348FE"/>
    <w:rsid w:val="00F34F34"/>
    <w:rsid w:val="00F3645B"/>
    <w:rsid w:val="00F367DF"/>
    <w:rsid w:val="00F36AC9"/>
    <w:rsid w:val="00F36DF9"/>
    <w:rsid w:val="00F37105"/>
    <w:rsid w:val="00F407BB"/>
    <w:rsid w:val="00F41895"/>
    <w:rsid w:val="00F41AA2"/>
    <w:rsid w:val="00F425F1"/>
    <w:rsid w:val="00F42D2B"/>
    <w:rsid w:val="00F43190"/>
    <w:rsid w:val="00F43520"/>
    <w:rsid w:val="00F44245"/>
    <w:rsid w:val="00F4494E"/>
    <w:rsid w:val="00F450B5"/>
    <w:rsid w:val="00F456CC"/>
    <w:rsid w:val="00F459CF"/>
    <w:rsid w:val="00F45BF6"/>
    <w:rsid w:val="00F47306"/>
    <w:rsid w:val="00F4741F"/>
    <w:rsid w:val="00F50590"/>
    <w:rsid w:val="00F5107D"/>
    <w:rsid w:val="00F510BB"/>
    <w:rsid w:val="00F515E4"/>
    <w:rsid w:val="00F528A9"/>
    <w:rsid w:val="00F52C1B"/>
    <w:rsid w:val="00F52C8E"/>
    <w:rsid w:val="00F530EE"/>
    <w:rsid w:val="00F531A7"/>
    <w:rsid w:val="00F5454C"/>
    <w:rsid w:val="00F55771"/>
    <w:rsid w:val="00F56D43"/>
    <w:rsid w:val="00F56F8E"/>
    <w:rsid w:val="00F571ED"/>
    <w:rsid w:val="00F575E2"/>
    <w:rsid w:val="00F575EE"/>
    <w:rsid w:val="00F618A9"/>
    <w:rsid w:val="00F61BB5"/>
    <w:rsid w:val="00F62B14"/>
    <w:rsid w:val="00F6346C"/>
    <w:rsid w:val="00F640AA"/>
    <w:rsid w:val="00F64C4C"/>
    <w:rsid w:val="00F656B3"/>
    <w:rsid w:val="00F6622D"/>
    <w:rsid w:val="00F706A9"/>
    <w:rsid w:val="00F708B2"/>
    <w:rsid w:val="00F70C2F"/>
    <w:rsid w:val="00F70E8A"/>
    <w:rsid w:val="00F71B48"/>
    <w:rsid w:val="00F71BE0"/>
    <w:rsid w:val="00F72229"/>
    <w:rsid w:val="00F72B6C"/>
    <w:rsid w:val="00F74275"/>
    <w:rsid w:val="00F74939"/>
    <w:rsid w:val="00F75379"/>
    <w:rsid w:val="00F764C0"/>
    <w:rsid w:val="00F7665C"/>
    <w:rsid w:val="00F77A07"/>
    <w:rsid w:val="00F77AA0"/>
    <w:rsid w:val="00F801A9"/>
    <w:rsid w:val="00F805F2"/>
    <w:rsid w:val="00F80BEC"/>
    <w:rsid w:val="00F8112A"/>
    <w:rsid w:val="00F81272"/>
    <w:rsid w:val="00F81504"/>
    <w:rsid w:val="00F81A21"/>
    <w:rsid w:val="00F81D61"/>
    <w:rsid w:val="00F820F0"/>
    <w:rsid w:val="00F82C2A"/>
    <w:rsid w:val="00F8389D"/>
    <w:rsid w:val="00F8542D"/>
    <w:rsid w:val="00F85A20"/>
    <w:rsid w:val="00F86259"/>
    <w:rsid w:val="00F86918"/>
    <w:rsid w:val="00F86BC4"/>
    <w:rsid w:val="00F86C94"/>
    <w:rsid w:val="00F86E95"/>
    <w:rsid w:val="00F878CE"/>
    <w:rsid w:val="00F87A6F"/>
    <w:rsid w:val="00F87FB4"/>
    <w:rsid w:val="00F905A2"/>
    <w:rsid w:val="00F909A3"/>
    <w:rsid w:val="00F91F31"/>
    <w:rsid w:val="00F93CE1"/>
    <w:rsid w:val="00F94E70"/>
    <w:rsid w:val="00F957DF"/>
    <w:rsid w:val="00F95AAA"/>
    <w:rsid w:val="00F95B9B"/>
    <w:rsid w:val="00F95ECA"/>
    <w:rsid w:val="00F963DD"/>
    <w:rsid w:val="00F963F7"/>
    <w:rsid w:val="00F96671"/>
    <w:rsid w:val="00F96744"/>
    <w:rsid w:val="00F96DFB"/>
    <w:rsid w:val="00FA021E"/>
    <w:rsid w:val="00FA0EC0"/>
    <w:rsid w:val="00FA123B"/>
    <w:rsid w:val="00FA1304"/>
    <w:rsid w:val="00FA261C"/>
    <w:rsid w:val="00FA2B55"/>
    <w:rsid w:val="00FA3589"/>
    <w:rsid w:val="00FA387A"/>
    <w:rsid w:val="00FA3AE4"/>
    <w:rsid w:val="00FA3E9D"/>
    <w:rsid w:val="00FA40EE"/>
    <w:rsid w:val="00FA4128"/>
    <w:rsid w:val="00FA48D4"/>
    <w:rsid w:val="00FA5741"/>
    <w:rsid w:val="00FA59D5"/>
    <w:rsid w:val="00FA5F3E"/>
    <w:rsid w:val="00FA64E7"/>
    <w:rsid w:val="00FA68A9"/>
    <w:rsid w:val="00FA699C"/>
    <w:rsid w:val="00FA790B"/>
    <w:rsid w:val="00FB069F"/>
    <w:rsid w:val="00FB12A3"/>
    <w:rsid w:val="00FB232D"/>
    <w:rsid w:val="00FB309A"/>
    <w:rsid w:val="00FB42C5"/>
    <w:rsid w:val="00FB4698"/>
    <w:rsid w:val="00FB4A07"/>
    <w:rsid w:val="00FB4B30"/>
    <w:rsid w:val="00FB4F58"/>
    <w:rsid w:val="00FB55EC"/>
    <w:rsid w:val="00FB7540"/>
    <w:rsid w:val="00FB7E22"/>
    <w:rsid w:val="00FC0BD8"/>
    <w:rsid w:val="00FC1466"/>
    <w:rsid w:val="00FC2245"/>
    <w:rsid w:val="00FC2650"/>
    <w:rsid w:val="00FC323F"/>
    <w:rsid w:val="00FC3358"/>
    <w:rsid w:val="00FC3384"/>
    <w:rsid w:val="00FC385F"/>
    <w:rsid w:val="00FC5AA2"/>
    <w:rsid w:val="00FC6508"/>
    <w:rsid w:val="00FC6682"/>
    <w:rsid w:val="00FC6B2E"/>
    <w:rsid w:val="00FC6D61"/>
    <w:rsid w:val="00FC7147"/>
    <w:rsid w:val="00FC7885"/>
    <w:rsid w:val="00FC791B"/>
    <w:rsid w:val="00FD1838"/>
    <w:rsid w:val="00FD1A9E"/>
    <w:rsid w:val="00FD1B8E"/>
    <w:rsid w:val="00FD2603"/>
    <w:rsid w:val="00FD28A2"/>
    <w:rsid w:val="00FD65D8"/>
    <w:rsid w:val="00FD6E72"/>
    <w:rsid w:val="00FD72FD"/>
    <w:rsid w:val="00FD7CF2"/>
    <w:rsid w:val="00FD7FE0"/>
    <w:rsid w:val="00FE0936"/>
    <w:rsid w:val="00FE0B95"/>
    <w:rsid w:val="00FE1604"/>
    <w:rsid w:val="00FE1FA8"/>
    <w:rsid w:val="00FE28CC"/>
    <w:rsid w:val="00FE2D1C"/>
    <w:rsid w:val="00FE301D"/>
    <w:rsid w:val="00FE33C2"/>
    <w:rsid w:val="00FE3DB1"/>
    <w:rsid w:val="00FE408D"/>
    <w:rsid w:val="00FE56C6"/>
    <w:rsid w:val="00FE5DBD"/>
    <w:rsid w:val="00FE5F00"/>
    <w:rsid w:val="00FE608B"/>
    <w:rsid w:val="00FE620A"/>
    <w:rsid w:val="00FE6D59"/>
    <w:rsid w:val="00FE6DC0"/>
    <w:rsid w:val="00FE7CAF"/>
    <w:rsid w:val="00FE7E49"/>
    <w:rsid w:val="00FF21A0"/>
    <w:rsid w:val="00FF2432"/>
    <w:rsid w:val="00FF2BB9"/>
    <w:rsid w:val="00FF4194"/>
    <w:rsid w:val="00FF4907"/>
    <w:rsid w:val="00FF5979"/>
    <w:rsid w:val="00FF63CD"/>
    <w:rsid w:val="00FF6455"/>
    <w:rsid w:val="00FF6832"/>
    <w:rsid w:val="00FF6D35"/>
    <w:rsid w:val="00FF6FC8"/>
    <w:rsid w:val="00FF7C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A36"/>
    <w:rPr>
      <w:lang w:val="es-ES_tradnl"/>
    </w:rPr>
  </w:style>
  <w:style w:type="paragraph" w:styleId="Ttulo1">
    <w:name w:val="heading 1"/>
    <w:basedOn w:val="Normal"/>
    <w:next w:val="Normal"/>
    <w:qFormat/>
    <w:pPr>
      <w:keepNext/>
      <w:framePr w:w="3870" w:h="348" w:hSpace="141" w:wrap="around" w:vAnchor="text" w:hAnchor="page" w:x="6784" w:y="128"/>
      <w:outlineLvl w:val="0"/>
    </w:pPr>
    <w:rPr>
      <w:rFonts w:ascii="Lucida Sans" w:hAnsi="Lucida Sans"/>
      <w:b/>
      <w:color w:val="808080"/>
      <w:sz w:val="28"/>
      <w:szCs w:val="28"/>
    </w:rPr>
  </w:style>
  <w:style w:type="paragraph" w:styleId="Ttulo2">
    <w:name w:val="heading 2"/>
    <w:basedOn w:val="Normal"/>
    <w:next w:val="Normal"/>
    <w:qFormat/>
    <w:pPr>
      <w:keepNext/>
      <w:tabs>
        <w:tab w:val="right" w:pos="8222"/>
      </w:tabs>
      <w:ind w:left="3402" w:right="992"/>
      <w:jc w:val="both"/>
      <w:outlineLvl w:val="1"/>
    </w:pPr>
    <w:rPr>
      <w:b/>
      <w:sz w:val="24"/>
    </w:rPr>
  </w:style>
  <w:style w:type="paragraph" w:styleId="Ttulo3">
    <w:name w:val="heading 3"/>
    <w:basedOn w:val="Normal"/>
    <w:next w:val="Normal"/>
    <w:qFormat/>
    <w:pPr>
      <w:keepNext/>
      <w:tabs>
        <w:tab w:val="center" w:pos="1843"/>
        <w:tab w:val="center" w:pos="5387"/>
        <w:tab w:val="center" w:pos="5812"/>
        <w:tab w:val="left" w:pos="7655"/>
      </w:tabs>
      <w:ind w:left="426"/>
      <w:jc w:val="both"/>
      <w:outlineLvl w:val="2"/>
    </w:pPr>
    <w:rPr>
      <w:sz w:val="24"/>
    </w:rPr>
  </w:style>
  <w:style w:type="paragraph" w:styleId="Ttulo4">
    <w:name w:val="heading 4"/>
    <w:basedOn w:val="Normal"/>
    <w:next w:val="Normal"/>
    <w:qFormat/>
    <w:pPr>
      <w:keepNext/>
      <w:outlineLvl w:val="3"/>
    </w:pPr>
    <w:rPr>
      <w:sz w:val="24"/>
    </w:rPr>
  </w:style>
  <w:style w:type="paragraph" w:styleId="Ttulo5">
    <w:name w:val="heading 5"/>
    <w:basedOn w:val="Normal"/>
    <w:next w:val="Normal"/>
    <w:qFormat/>
    <w:pPr>
      <w:keepNext/>
      <w:tabs>
        <w:tab w:val="center" w:pos="1843"/>
        <w:tab w:val="center" w:pos="5671"/>
        <w:tab w:val="center" w:pos="7797"/>
      </w:tabs>
      <w:overflowPunct w:val="0"/>
      <w:autoSpaceDE w:val="0"/>
      <w:autoSpaceDN w:val="0"/>
      <w:adjustRightInd w:val="0"/>
      <w:ind w:firstLine="567"/>
      <w:jc w:val="both"/>
      <w:textAlignment w:val="baseline"/>
      <w:outlineLvl w:val="4"/>
    </w:pPr>
    <w:rPr>
      <w:bCs/>
      <w:sz w:val="28"/>
    </w:rPr>
  </w:style>
  <w:style w:type="paragraph" w:styleId="Ttulo6">
    <w:name w:val="heading 6"/>
    <w:basedOn w:val="Normal"/>
    <w:next w:val="Normal"/>
    <w:qFormat/>
    <w:pPr>
      <w:keepNext/>
      <w:tabs>
        <w:tab w:val="right" w:pos="8364"/>
      </w:tabs>
      <w:overflowPunct w:val="0"/>
      <w:autoSpaceDE w:val="0"/>
      <w:autoSpaceDN w:val="0"/>
      <w:adjustRightInd w:val="0"/>
      <w:spacing w:before="240"/>
      <w:ind w:left="567" w:right="992"/>
      <w:jc w:val="both"/>
      <w:textAlignment w:val="baseline"/>
      <w:outlineLvl w:val="5"/>
    </w:pPr>
    <w:rPr>
      <w:sz w:val="24"/>
    </w:rPr>
  </w:style>
  <w:style w:type="paragraph" w:styleId="Ttulo7">
    <w:name w:val="heading 7"/>
    <w:basedOn w:val="Normal"/>
    <w:next w:val="Normal"/>
    <w:qFormat/>
    <w:pPr>
      <w:keepNext/>
      <w:tabs>
        <w:tab w:val="left" w:pos="1985"/>
        <w:tab w:val="right" w:pos="8364"/>
      </w:tabs>
      <w:overflowPunct w:val="0"/>
      <w:autoSpaceDE w:val="0"/>
      <w:autoSpaceDN w:val="0"/>
      <w:adjustRightInd w:val="0"/>
      <w:spacing w:before="360"/>
      <w:ind w:left="851"/>
      <w:jc w:val="both"/>
      <w:textAlignment w:val="baseline"/>
      <w:outlineLvl w:val="6"/>
    </w:pPr>
    <w:rPr>
      <w:sz w:val="24"/>
    </w:rPr>
  </w:style>
  <w:style w:type="paragraph" w:styleId="Ttulo8">
    <w:name w:val="heading 8"/>
    <w:basedOn w:val="Normal"/>
    <w:next w:val="Normal"/>
    <w:qFormat/>
    <w:pPr>
      <w:keepNext/>
      <w:tabs>
        <w:tab w:val="right" w:pos="8364"/>
      </w:tabs>
      <w:spacing w:before="120"/>
      <w:ind w:left="567" w:right="426"/>
      <w:jc w:val="both"/>
      <w:outlineLvl w:val="7"/>
    </w:pPr>
    <w:rPr>
      <w:bCs/>
      <w:sz w:val="24"/>
    </w:rPr>
  </w:style>
  <w:style w:type="paragraph" w:styleId="Ttulo9">
    <w:name w:val="heading 9"/>
    <w:basedOn w:val="Normal"/>
    <w:next w:val="Normal"/>
    <w:qFormat/>
    <w:pPr>
      <w:keepNext/>
      <w:tabs>
        <w:tab w:val="right" w:pos="8222"/>
      </w:tabs>
      <w:overflowPunct w:val="0"/>
      <w:autoSpaceDE w:val="0"/>
      <w:autoSpaceDN w:val="0"/>
      <w:adjustRightInd w:val="0"/>
      <w:spacing w:before="240"/>
      <w:ind w:left="568" w:right="850"/>
      <w:jc w:val="both"/>
      <w:textAlignment w:val="baseline"/>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252"/>
        <w:tab w:val="right" w:pos="8504"/>
      </w:tabs>
    </w:pPr>
  </w:style>
  <w:style w:type="paragraph" w:styleId="Encabezado">
    <w:name w:val="header"/>
    <w:basedOn w:val="Normal"/>
    <w:semiHidden/>
    <w:pPr>
      <w:tabs>
        <w:tab w:val="center" w:pos="4819"/>
        <w:tab w:val="right" w:pos="9071"/>
      </w:tabs>
    </w:pPr>
  </w:style>
  <w:style w:type="character" w:styleId="Hipervnculo">
    <w:name w:val="Hyperlink"/>
    <w:uiPriority w:val="99"/>
    <w:semiHidden/>
    <w:rPr>
      <w:color w:val="FF0000"/>
      <w:u w:val="single"/>
    </w:rPr>
  </w:style>
  <w:style w:type="paragraph" w:styleId="Encabezadodemensaje">
    <w:name w:val="Message Header"/>
    <w:basedOn w:val="Textoindependiente"/>
    <w:semiHidden/>
    <w:pPr>
      <w:keepLines/>
      <w:tabs>
        <w:tab w:val="left" w:pos="720"/>
        <w:tab w:val="left" w:pos="4320"/>
        <w:tab w:val="left" w:pos="5040"/>
        <w:tab w:val="right" w:pos="8640"/>
      </w:tabs>
      <w:spacing w:after="40" w:line="440" w:lineRule="atLeast"/>
      <w:ind w:left="720" w:hanging="720"/>
    </w:pPr>
    <w:rPr>
      <w:rFonts w:ascii="Arial" w:hAnsi="Arial"/>
      <w:spacing w:val="-5"/>
      <w:lang w:val="es-ES" w:eastAsia="en-US"/>
    </w:rPr>
  </w:style>
  <w:style w:type="paragraph" w:styleId="Textoindependiente">
    <w:name w:val="Body Text"/>
    <w:basedOn w:val="Normal"/>
    <w:semiHidden/>
    <w:pPr>
      <w:spacing w:after="120"/>
    </w:pPr>
  </w:style>
  <w:style w:type="paragraph" w:customStyle="1" w:styleId="Encabezadodemensaje-primera">
    <w:name w:val="Encabezado de mensaje - primera"/>
    <w:basedOn w:val="Encabezadodemensaje"/>
    <w:next w:val="Encabezadodemensaje"/>
  </w:style>
  <w:style w:type="character" w:styleId="Textoennegrita">
    <w:name w:val="Strong"/>
    <w:qFormat/>
    <w:rPr>
      <w:b/>
      <w:bCs/>
      <w:lang w:val="es-ES" w:bidi="ar-SA"/>
    </w:rPr>
  </w:style>
  <w:style w:type="character" w:styleId="Nmerodepgina">
    <w:name w:val="page number"/>
    <w:basedOn w:val="Fuentedeprrafopredeter"/>
    <w:semiHidden/>
  </w:style>
  <w:style w:type="paragraph" w:styleId="Sangradetextonormal">
    <w:name w:val="Body Text Indent"/>
    <w:basedOn w:val="Normal"/>
    <w:semiHidden/>
    <w:pPr>
      <w:tabs>
        <w:tab w:val="right" w:pos="8364"/>
      </w:tabs>
      <w:overflowPunct w:val="0"/>
      <w:autoSpaceDE w:val="0"/>
      <w:autoSpaceDN w:val="0"/>
      <w:adjustRightInd w:val="0"/>
      <w:ind w:firstLine="567"/>
      <w:jc w:val="both"/>
      <w:textAlignment w:val="baseline"/>
    </w:pPr>
    <w:rPr>
      <w:sz w:val="24"/>
    </w:rPr>
  </w:style>
  <w:style w:type="paragraph" w:styleId="Sangra3detindependiente">
    <w:name w:val="Body Text Indent 3"/>
    <w:basedOn w:val="Normal"/>
    <w:link w:val="Sangra3detindependienteCar"/>
    <w:semiHidden/>
    <w:pPr>
      <w:tabs>
        <w:tab w:val="center" w:pos="5671"/>
        <w:tab w:val="center" w:pos="7797"/>
      </w:tabs>
      <w:ind w:firstLine="540"/>
      <w:jc w:val="both"/>
    </w:pPr>
    <w:rPr>
      <w:sz w:val="24"/>
      <w:szCs w:val="24"/>
    </w:rPr>
  </w:style>
  <w:style w:type="paragraph" w:styleId="Sangra2detindependiente">
    <w:name w:val="Body Text Indent 2"/>
    <w:basedOn w:val="Normal"/>
    <w:link w:val="Sangra2detindependienteCar"/>
    <w:semiHidden/>
    <w:pPr>
      <w:tabs>
        <w:tab w:val="center" w:pos="1843"/>
        <w:tab w:val="center" w:pos="5671"/>
        <w:tab w:val="center" w:pos="7797"/>
      </w:tabs>
      <w:ind w:firstLine="568"/>
      <w:jc w:val="both"/>
    </w:pPr>
    <w:rPr>
      <w:sz w:val="24"/>
    </w:rPr>
  </w:style>
  <w:style w:type="paragraph" w:customStyle="1" w:styleId="xl28">
    <w:name w:val="xl28"/>
    <w:basedOn w:val="Normal"/>
    <w:pPr>
      <w:spacing w:before="100" w:beforeAutospacing="1" w:after="100" w:afterAutospacing="1"/>
    </w:pPr>
    <w:rPr>
      <w:rFonts w:ascii="Arial" w:eastAsia="Arial Unicode MS" w:hAnsi="Arial" w:cs="Arial"/>
      <w:sz w:val="14"/>
      <w:szCs w:val="14"/>
      <w:lang w:val="es-ES"/>
    </w:rPr>
  </w:style>
  <w:style w:type="paragraph" w:styleId="Epgrafe">
    <w:name w:val="caption"/>
    <w:basedOn w:val="Normal"/>
    <w:next w:val="Normal"/>
    <w:qFormat/>
    <w:rPr>
      <w:b/>
      <w:bCs/>
      <w:sz w:val="28"/>
      <w:u w:val="single"/>
    </w:rPr>
  </w:style>
  <w:style w:type="paragraph" w:styleId="Textoindependiente2">
    <w:name w:val="Body Text 2"/>
    <w:basedOn w:val="Normal"/>
    <w:semiHidden/>
    <w:pPr>
      <w:tabs>
        <w:tab w:val="right" w:pos="8364"/>
      </w:tabs>
      <w:jc w:val="both"/>
    </w:pPr>
    <w:rPr>
      <w:bCs/>
      <w:sz w:val="24"/>
      <w:szCs w:val="24"/>
    </w:rPr>
  </w:style>
  <w:style w:type="paragraph" w:styleId="NormalWeb">
    <w:name w:val="Normal (Web)"/>
    <w:basedOn w:val="Normal"/>
    <w:uiPriority w:val="99"/>
    <w:semiHidden/>
    <w:pPr>
      <w:suppressAutoHyphens/>
      <w:spacing w:before="280" w:after="280"/>
    </w:pPr>
    <w:rPr>
      <w:sz w:val="24"/>
      <w:szCs w:val="24"/>
      <w:lang w:eastAsia="ar-SA"/>
    </w:rPr>
  </w:style>
  <w:style w:type="paragraph" w:customStyle="1" w:styleId="ListParagraph1">
    <w:name w:val="List Paragraph1"/>
    <w:basedOn w:val="Normal"/>
    <w:qFormat/>
    <w:pPr>
      <w:ind w:left="720"/>
    </w:pPr>
  </w:style>
  <w:style w:type="paragraph" w:customStyle="1" w:styleId="BalloonText1">
    <w:name w:val="Balloon Text1"/>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s-ES_tradnl"/>
    </w:rPr>
  </w:style>
  <w:style w:type="paragraph" w:customStyle="1" w:styleId="BSFigures">
    <w:name w:val="BS Figures"/>
    <w:pPr>
      <w:widowControl w:val="0"/>
      <w:autoSpaceDE w:val="0"/>
      <w:autoSpaceDN w:val="0"/>
      <w:adjustRightInd w:val="0"/>
      <w:ind w:left="113" w:right="113"/>
      <w:jc w:val="right"/>
    </w:pPr>
    <w:rPr>
      <w:color w:val="000000"/>
      <w:sz w:val="18"/>
      <w:szCs w:val="18"/>
    </w:rPr>
  </w:style>
  <w:style w:type="paragraph" w:customStyle="1" w:styleId="Body2">
    <w:name w:val="Body2"/>
    <w:pPr>
      <w:keepLines/>
      <w:widowControl w:val="0"/>
      <w:autoSpaceDE w:val="0"/>
      <w:autoSpaceDN w:val="0"/>
      <w:adjustRightInd w:val="0"/>
      <w:spacing w:before="238"/>
      <w:ind w:left="1417" w:hanging="226"/>
      <w:jc w:val="both"/>
    </w:pPr>
    <w:rPr>
      <w:color w:val="000000"/>
      <w:sz w:val="22"/>
      <w:szCs w:val="22"/>
    </w:rPr>
  </w:style>
  <w:style w:type="paragraph" w:customStyle="1" w:styleId="Body3">
    <w:name w:val="Body3"/>
    <w:pPr>
      <w:keepLines/>
      <w:widowControl w:val="0"/>
      <w:autoSpaceDE w:val="0"/>
      <w:autoSpaceDN w:val="0"/>
      <w:adjustRightInd w:val="0"/>
      <w:spacing w:before="238"/>
      <w:ind w:left="1559" w:hanging="226"/>
      <w:jc w:val="both"/>
    </w:pPr>
    <w:rPr>
      <w:color w:val="000000"/>
      <w:sz w:val="22"/>
      <w:szCs w:val="22"/>
    </w:rPr>
  </w:style>
  <w:style w:type="paragraph" w:customStyle="1" w:styleId="Footer2">
    <w:name w:val="Footer2"/>
    <w:pPr>
      <w:widowControl w:val="0"/>
      <w:autoSpaceDE w:val="0"/>
      <w:autoSpaceDN w:val="0"/>
      <w:adjustRightInd w:val="0"/>
      <w:jc w:val="right"/>
    </w:pPr>
    <w:rPr>
      <w:color w:val="000000"/>
      <w:sz w:val="22"/>
      <w:szCs w:val="22"/>
    </w:rPr>
  </w:style>
  <w:style w:type="paragraph" w:customStyle="1" w:styleId="Memhead">
    <w:name w:val="Mem head"/>
    <w:pPr>
      <w:widowControl w:val="0"/>
      <w:autoSpaceDE w:val="0"/>
      <w:autoSpaceDN w:val="0"/>
      <w:adjustRightInd w:val="0"/>
      <w:jc w:val="center"/>
    </w:pPr>
    <w:rPr>
      <w:color w:val="000000"/>
      <w:sz w:val="22"/>
      <w:szCs w:val="22"/>
    </w:rPr>
  </w:style>
  <w:style w:type="paragraph" w:customStyle="1" w:styleId="Memheadspace">
    <w:name w:val="Mem head space"/>
    <w:pPr>
      <w:widowControl w:val="0"/>
      <w:autoSpaceDE w:val="0"/>
      <w:autoSpaceDN w:val="0"/>
      <w:adjustRightInd w:val="0"/>
      <w:spacing w:before="119"/>
      <w:jc w:val="center"/>
    </w:pPr>
    <w:rPr>
      <w:color w:val="000000"/>
      <w:sz w:val="22"/>
      <w:szCs w:val="22"/>
    </w:rPr>
  </w:style>
  <w:style w:type="character" w:customStyle="1" w:styleId="BodyTextChar">
    <w:name w:val="Body Text Char"/>
    <w:semiHidden/>
    <w:rPr>
      <w:lang w:val="es-ES_tradnl" w:eastAsia="es-ES"/>
    </w:rPr>
  </w:style>
  <w:style w:type="paragraph" w:styleId="Textodeglobo">
    <w:name w:val="Balloon Text"/>
    <w:basedOn w:val="Normal"/>
    <w:link w:val="TextodegloboCar"/>
    <w:uiPriority w:val="99"/>
    <w:semiHidden/>
    <w:unhideWhenUsed/>
    <w:rsid w:val="00490E9C"/>
    <w:rPr>
      <w:rFonts w:ascii="Tahoma" w:hAnsi="Tahoma"/>
      <w:sz w:val="16"/>
      <w:szCs w:val="16"/>
      <w:lang w:val="x-none"/>
    </w:rPr>
  </w:style>
  <w:style w:type="character" w:customStyle="1" w:styleId="TextodegloboCar">
    <w:name w:val="Texto de globo Car"/>
    <w:link w:val="Textodeglobo"/>
    <w:uiPriority w:val="99"/>
    <w:semiHidden/>
    <w:rsid w:val="00490E9C"/>
    <w:rPr>
      <w:rFonts w:ascii="Tahoma" w:hAnsi="Tahoma" w:cs="Tahoma"/>
      <w:sz w:val="16"/>
      <w:szCs w:val="16"/>
      <w:lang w:eastAsia="es-ES"/>
    </w:rPr>
  </w:style>
  <w:style w:type="table" w:styleId="Tablaconcuadrcula">
    <w:name w:val="Table Grid"/>
    <w:basedOn w:val="Tablanormal"/>
    <w:uiPriority w:val="59"/>
    <w:rsid w:val="007F13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64432"/>
    <w:pPr>
      <w:ind w:left="708"/>
    </w:pPr>
  </w:style>
  <w:style w:type="character" w:customStyle="1" w:styleId="Sangra2detindependienteCar">
    <w:name w:val="Sangría 2 de t. independiente Car"/>
    <w:link w:val="Sangra2detindependiente"/>
    <w:semiHidden/>
    <w:rsid w:val="00E90A55"/>
    <w:rPr>
      <w:sz w:val="24"/>
      <w:lang w:val="es-ES_tradnl"/>
    </w:rPr>
  </w:style>
  <w:style w:type="paragraph" w:styleId="Revisin">
    <w:name w:val="Revision"/>
    <w:hidden/>
    <w:uiPriority w:val="99"/>
    <w:semiHidden/>
    <w:rsid w:val="0020324A"/>
    <w:rPr>
      <w:lang w:val="es-ES_tradnl"/>
    </w:rPr>
  </w:style>
  <w:style w:type="character" w:customStyle="1" w:styleId="Sangra3detindependienteCar">
    <w:name w:val="Sangría 3 de t. independiente Car"/>
    <w:basedOn w:val="Fuentedeprrafopredeter"/>
    <w:link w:val="Sangra3detindependiente"/>
    <w:semiHidden/>
    <w:rsid w:val="00357986"/>
    <w:rPr>
      <w:sz w:val="24"/>
      <w:szCs w:val="24"/>
      <w:lang w:val="es-ES_tradnl"/>
    </w:rPr>
  </w:style>
  <w:style w:type="paragraph" w:styleId="TtulodeTDC">
    <w:name w:val="TOC Heading"/>
    <w:basedOn w:val="Ttulo1"/>
    <w:next w:val="Normal"/>
    <w:uiPriority w:val="39"/>
    <w:semiHidden/>
    <w:unhideWhenUsed/>
    <w:qFormat/>
    <w:rsid w:val="007411C0"/>
    <w:pPr>
      <w:keepLines/>
      <w:framePr w:w="0" w:hRule="auto" w:hSpace="0" w:wrap="auto" w:vAnchor="margin" w:hAnchor="text" w:xAlign="left" w:yAlign="inline"/>
      <w:spacing w:before="480" w:line="276" w:lineRule="auto"/>
      <w:outlineLvl w:val="9"/>
    </w:pPr>
    <w:rPr>
      <w:rFonts w:asciiTheme="majorHAnsi" w:eastAsiaTheme="majorEastAsia" w:hAnsiTheme="majorHAnsi" w:cstheme="majorBidi"/>
      <w:bCs/>
      <w:color w:val="365F91" w:themeColor="accent1" w:themeShade="BF"/>
      <w:lang w:val="es-ES"/>
    </w:rPr>
  </w:style>
  <w:style w:type="paragraph" w:customStyle="1" w:styleId="Default">
    <w:name w:val="Default"/>
    <w:rsid w:val="00E775E1"/>
    <w:pPr>
      <w:autoSpaceDE w:val="0"/>
      <w:autoSpaceDN w:val="0"/>
      <w:adjustRightInd w:val="0"/>
    </w:pPr>
    <w:rPr>
      <w:color w:val="000000"/>
      <w:sz w:val="24"/>
      <w:szCs w:val="24"/>
    </w:rPr>
  </w:style>
  <w:style w:type="character" w:styleId="Hipervnculovisitado">
    <w:name w:val="FollowedHyperlink"/>
    <w:basedOn w:val="Fuentedeprrafopredeter"/>
    <w:uiPriority w:val="99"/>
    <w:semiHidden/>
    <w:unhideWhenUsed/>
    <w:rsid w:val="00507DEF"/>
    <w:rPr>
      <w:color w:val="800080"/>
      <w:u w:val="single"/>
    </w:rPr>
  </w:style>
  <w:style w:type="paragraph" w:customStyle="1" w:styleId="xl65">
    <w:name w:val="xl65"/>
    <w:basedOn w:val="Normal"/>
    <w:rsid w:val="00507DEF"/>
    <w:pPr>
      <w:spacing w:before="100" w:beforeAutospacing="1" w:after="100" w:afterAutospacing="1"/>
    </w:pPr>
    <w:rPr>
      <w:rFonts w:ascii="Lucida Bright" w:hAnsi="Lucida Bright"/>
      <w:sz w:val="16"/>
      <w:szCs w:val="16"/>
      <w:lang w:val="es-ES"/>
    </w:rPr>
  </w:style>
  <w:style w:type="paragraph" w:customStyle="1" w:styleId="xl66">
    <w:name w:val="xl66"/>
    <w:basedOn w:val="Normal"/>
    <w:rsid w:val="00507DEF"/>
    <w:pPr>
      <w:spacing w:before="100" w:beforeAutospacing="1" w:after="100" w:afterAutospacing="1"/>
    </w:pPr>
    <w:rPr>
      <w:rFonts w:ascii="Lucida Bright" w:hAnsi="Lucida Bright"/>
      <w:b/>
      <w:bCs/>
      <w:sz w:val="16"/>
      <w:szCs w:val="16"/>
      <w:lang w:val="es-ES"/>
    </w:rPr>
  </w:style>
  <w:style w:type="paragraph" w:customStyle="1" w:styleId="xl67">
    <w:name w:val="xl67"/>
    <w:basedOn w:val="Normal"/>
    <w:rsid w:val="00507DEF"/>
    <w:pPr>
      <w:pBdr>
        <w:left w:val="single" w:sz="8" w:space="0" w:color="auto"/>
      </w:pBdr>
      <w:spacing w:before="100" w:beforeAutospacing="1" w:after="100" w:afterAutospacing="1"/>
    </w:pPr>
    <w:rPr>
      <w:rFonts w:ascii="Lucida Bright" w:hAnsi="Lucida Bright"/>
      <w:sz w:val="14"/>
      <w:szCs w:val="14"/>
      <w:lang w:val="es-ES"/>
    </w:rPr>
  </w:style>
  <w:style w:type="paragraph" w:customStyle="1" w:styleId="xl68">
    <w:name w:val="xl68"/>
    <w:basedOn w:val="Normal"/>
    <w:rsid w:val="00507DEF"/>
    <w:pPr>
      <w:pBdr>
        <w:top w:val="single" w:sz="8" w:space="0" w:color="auto"/>
        <w:left w:val="single" w:sz="8" w:space="0" w:color="auto"/>
      </w:pBdr>
      <w:shd w:val="clear" w:color="000000" w:fill="CCFFCC"/>
      <w:spacing w:before="100" w:beforeAutospacing="1" w:after="100" w:afterAutospacing="1"/>
    </w:pPr>
    <w:rPr>
      <w:rFonts w:ascii="Lucida Bright" w:hAnsi="Lucida Bright"/>
      <w:sz w:val="14"/>
      <w:szCs w:val="14"/>
      <w:lang w:val="es-ES"/>
    </w:rPr>
  </w:style>
  <w:style w:type="paragraph" w:customStyle="1" w:styleId="xl69">
    <w:name w:val="xl69"/>
    <w:basedOn w:val="Normal"/>
    <w:rsid w:val="00507DEF"/>
    <w:pPr>
      <w:pBdr>
        <w:top w:val="single" w:sz="8" w:space="0" w:color="auto"/>
      </w:pBdr>
      <w:shd w:val="clear" w:color="000000" w:fill="CCFFCC"/>
      <w:spacing w:before="100" w:beforeAutospacing="1" w:after="100" w:afterAutospacing="1"/>
    </w:pPr>
    <w:rPr>
      <w:rFonts w:ascii="Lucida Bright" w:hAnsi="Lucida Bright"/>
      <w:sz w:val="14"/>
      <w:szCs w:val="14"/>
      <w:lang w:val="es-ES"/>
    </w:rPr>
  </w:style>
  <w:style w:type="paragraph" w:customStyle="1" w:styleId="xl70">
    <w:name w:val="xl70"/>
    <w:basedOn w:val="Normal"/>
    <w:rsid w:val="00507DEF"/>
    <w:pPr>
      <w:pBdr>
        <w:top w:val="single" w:sz="8" w:space="0" w:color="auto"/>
        <w:right w:val="single" w:sz="8" w:space="0" w:color="auto"/>
      </w:pBdr>
      <w:shd w:val="clear" w:color="000000" w:fill="CCFFCC"/>
      <w:spacing w:before="100" w:beforeAutospacing="1" w:after="100" w:afterAutospacing="1"/>
    </w:pPr>
    <w:rPr>
      <w:rFonts w:ascii="Lucida Bright" w:hAnsi="Lucida Bright"/>
      <w:sz w:val="14"/>
      <w:szCs w:val="14"/>
      <w:lang w:val="es-ES"/>
    </w:rPr>
  </w:style>
  <w:style w:type="paragraph" w:customStyle="1" w:styleId="xl71">
    <w:name w:val="xl71"/>
    <w:basedOn w:val="Normal"/>
    <w:rsid w:val="00507DEF"/>
    <w:pPr>
      <w:pBdr>
        <w:left w:val="single" w:sz="8" w:space="0" w:color="auto"/>
        <w:bottom w:val="single" w:sz="8" w:space="0" w:color="auto"/>
      </w:pBdr>
      <w:shd w:val="clear" w:color="000000" w:fill="CCFFCC"/>
      <w:spacing w:before="100" w:beforeAutospacing="1" w:after="100" w:afterAutospacing="1"/>
    </w:pPr>
    <w:rPr>
      <w:rFonts w:ascii="Lucida Bright" w:hAnsi="Lucida Bright"/>
      <w:sz w:val="14"/>
      <w:szCs w:val="14"/>
      <w:lang w:val="es-ES"/>
    </w:rPr>
  </w:style>
  <w:style w:type="paragraph" w:customStyle="1" w:styleId="xl72">
    <w:name w:val="xl72"/>
    <w:basedOn w:val="Normal"/>
    <w:rsid w:val="00507DEF"/>
    <w:pPr>
      <w:pBdr>
        <w:bottom w:val="single" w:sz="8" w:space="0" w:color="auto"/>
      </w:pBdr>
      <w:shd w:val="clear" w:color="000000" w:fill="CCFFCC"/>
      <w:spacing w:before="100" w:beforeAutospacing="1" w:after="100" w:afterAutospacing="1"/>
    </w:pPr>
    <w:rPr>
      <w:rFonts w:ascii="Lucida Bright" w:hAnsi="Lucida Bright"/>
      <w:sz w:val="14"/>
      <w:szCs w:val="14"/>
      <w:lang w:val="es-ES"/>
    </w:rPr>
  </w:style>
  <w:style w:type="paragraph" w:customStyle="1" w:styleId="xl73">
    <w:name w:val="xl73"/>
    <w:basedOn w:val="Normal"/>
    <w:rsid w:val="00507DEF"/>
    <w:pPr>
      <w:pBdr>
        <w:bottom w:val="single" w:sz="8" w:space="0" w:color="auto"/>
        <w:right w:val="single" w:sz="8" w:space="0" w:color="auto"/>
      </w:pBdr>
      <w:shd w:val="clear" w:color="000000" w:fill="CCFFCC"/>
      <w:spacing w:before="100" w:beforeAutospacing="1" w:after="100" w:afterAutospacing="1"/>
    </w:pPr>
    <w:rPr>
      <w:rFonts w:ascii="Lucida Bright" w:hAnsi="Lucida Bright"/>
      <w:sz w:val="14"/>
      <w:szCs w:val="14"/>
      <w:lang w:val="es-ES"/>
    </w:rPr>
  </w:style>
  <w:style w:type="paragraph" w:customStyle="1" w:styleId="xl74">
    <w:name w:val="xl74"/>
    <w:basedOn w:val="Normal"/>
    <w:rsid w:val="00507DEF"/>
    <w:pPr>
      <w:pBdr>
        <w:top w:val="single" w:sz="8" w:space="0" w:color="auto"/>
        <w:left w:val="single" w:sz="8" w:space="0" w:color="auto"/>
        <w:right w:val="single" w:sz="8" w:space="0" w:color="auto"/>
      </w:pBdr>
      <w:spacing w:before="100" w:beforeAutospacing="1" w:after="100" w:afterAutospacing="1"/>
    </w:pPr>
    <w:rPr>
      <w:rFonts w:ascii="Lucida Bright" w:hAnsi="Lucida Bright"/>
      <w:sz w:val="14"/>
      <w:szCs w:val="14"/>
      <w:lang w:val="es-ES"/>
    </w:rPr>
  </w:style>
  <w:style w:type="paragraph" w:customStyle="1" w:styleId="xl75">
    <w:name w:val="xl75"/>
    <w:basedOn w:val="Normal"/>
    <w:rsid w:val="00507DEF"/>
    <w:pPr>
      <w:pBdr>
        <w:top w:val="single" w:sz="8" w:space="0" w:color="auto"/>
        <w:right w:val="single" w:sz="8" w:space="0" w:color="auto"/>
      </w:pBdr>
      <w:spacing w:before="100" w:beforeAutospacing="1" w:after="100" w:afterAutospacing="1"/>
    </w:pPr>
    <w:rPr>
      <w:rFonts w:ascii="Lucida Bright" w:hAnsi="Lucida Bright"/>
      <w:sz w:val="14"/>
      <w:szCs w:val="14"/>
      <w:lang w:val="es-ES"/>
    </w:rPr>
  </w:style>
  <w:style w:type="paragraph" w:customStyle="1" w:styleId="xl76">
    <w:name w:val="xl76"/>
    <w:basedOn w:val="Normal"/>
    <w:rsid w:val="00507DEF"/>
    <w:pPr>
      <w:pBdr>
        <w:top w:val="single" w:sz="8" w:space="0" w:color="auto"/>
        <w:left w:val="single" w:sz="8" w:space="0" w:color="auto"/>
        <w:bottom w:val="single" w:sz="8" w:space="0" w:color="auto"/>
        <w:right w:val="single" w:sz="8" w:space="0" w:color="auto"/>
      </w:pBdr>
      <w:spacing w:before="100" w:beforeAutospacing="1" w:after="100" w:afterAutospacing="1"/>
    </w:pPr>
    <w:rPr>
      <w:rFonts w:ascii="Lucida Bright" w:hAnsi="Lucida Bright"/>
      <w:sz w:val="14"/>
      <w:szCs w:val="14"/>
      <w:lang w:val="es-ES"/>
    </w:rPr>
  </w:style>
  <w:style w:type="paragraph" w:customStyle="1" w:styleId="xl77">
    <w:name w:val="xl77"/>
    <w:basedOn w:val="Normal"/>
    <w:rsid w:val="00507DEF"/>
    <w:pPr>
      <w:pBdr>
        <w:left w:val="single" w:sz="8" w:space="0" w:color="auto"/>
      </w:pBdr>
      <w:spacing w:before="100" w:beforeAutospacing="1" w:after="100" w:afterAutospacing="1"/>
    </w:pPr>
    <w:rPr>
      <w:rFonts w:ascii="Lucida Bright" w:hAnsi="Lucida Bright"/>
      <w:sz w:val="14"/>
      <w:szCs w:val="14"/>
      <w:lang w:val="es-ES"/>
    </w:rPr>
  </w:style>
  <w:style w:type="paragraph" w:customStyle="1" w:styleId="xl78">
    <w:name w:val="xl78"/>
    <w:basedOn w:val="Normal"/>
    <w:rsid w:val="00507DEF"/>
    <w:pPr>
      <w:spacing w:before="100" w:beforeAutospacing="1" w:after="100" w:afterAutospacing="1"/>
    </w:pPr>
    <w:rPr>
      <w:rFonts w:ascii="Lucida Bright" w:hAnsi="Lucida Bright"/>
      <w:b/>
      <w:bCs/>
      <w:sz w:val="14"/>
      <w:szCs w:val="14"/>
      <w:lang w:val="es-ES"/>
    </w:rPr>
  </w:style>
  <w:style w:type="paragraph" w:customStyle="1" w:styleId="xl79">
    <w:name w:val="xl79"/>
    <w:basedOn w:val="Normal"/>
    <w:rsid w:val="00507DEF"/>
    <w:pPr>
      <w:spacing w:before="100" w:beforeAutospacing="1" w:after="100" w:afterAutospacing="1"/>
    </w:pPr>
    <w:rPr>
      <w:rFonts w:ascii="Lucida Bright" w:hAnsi="Lucida Bright"/>
      <w:sz w:val="14"/>
      <w:szCs w:val="14"/>
      <w:lang w:val="es-ES"/>
    </w:rPr>
  </w:style>
  <w:style w:type="paragraph" w:customStyle="1" w:styleId="xl80">
    <w:name w:val="xl80"/>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81">
    <w:name w:val="xl81"/>
    <w:basedOn w:val="Normal"/>
    <w:rsid w:val="00507DEF"/>
    <w:pPr>
      <w:pBdr>
        <w:left w:val="single" w:sz="8" w:space="0" w:color="auto"/>
        <w:right w:val="single" w:sz="4" w:space="0" w:color="auto"/>
      </w:pBdr>
      <w:spacing w:before="100" w:beforeAutospacing="1" w:after="100" w:afterAutospacing="1"/>
      <w:textAlignment w:val="center"/>
    </w:pPr>
    <w:rPr>
      <w:rFonts w:ascii="Lucida Bright" w:hAnsi="Lucida Bright"/>
      <w:sz w:val="14"/>
      <w:szCs w:val="14"/>
      <w:lang w:val="es-ES"/>
    </w:rPr>
  </w:style>
  <w:style w:type="paragraph" w:customStyle="1" w:styleId="xl82">
    <w:name w:val="xl82"/>
    <w:basedOn w:val="Normal"/>
    <w:rsid w:val="00507DEF"/>
    <w:pPr>
      <w:pBdr>
        <w:left w:val="single" w:sz="4" w:space="0" w:color="auto"/>
        <w:right w:val="single" w:sz="8" w:space="0" w:color="auto"/>
      </w:pBdr>
      <w:spacing w:before="100" w:beforeAutospacing="1" w:after="100" w:afterAutospacing="1"/>
      <w:jc w:val="center"/>
      <w:textAlignment w:val="center"/>
    </w:pPr>
    <w:rPr>
      <w:rFonts w:ascii="Lucida Bright" w:hAnsi="Lucida Bright"/>
      <w:sz w:val="14"/>
      <w:szCs w:val="14"/>
      <w:lang w:val="es-ES"/>
    </w:rPr>
  </w:style>
  <w:style w:type="paragraph" w:customStyle="1" w:styleId="xl83">
    <w:name w:val="xl83"/>
    <w:basedOn w:val="Normal"/>
    <w:rsid w:val="00507DEF"/>
    <w:pPr>
      <w:pBdr>
        <w:lef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84">
    <w:name w:val="xl84"/>
    <w:basedOn w:val="Normal"/>
    <w:rsid w:val="00507DEF"/>
    <w:pPr>
      <w:pBdr>
        <w:left w:val="single" w:sz="8" w:space="0" w:color="auto"/>
      </w:pBdr>
      <w:spacing w:before="100" w:beforeAutospacing="1" w:after="100" w:afterAutospacing="1"/>
      <w:jc w:val="right"/>
      <w:textAlignment w:val="center"/>
    </w:pPr>
    <w:rPr>
      <w:rFonts w:ascii="Lucida Bright" w:hAnsi="Lucida Bright"/>
      <w:sz w:val="14"/>
      <w:szCs w:val="14"/>
      <w:lang w:val="es-ES"/>
    </w:rPr>
  </w:style>
  <w:style w:type="paragraph" w:customStyle="1" w:styleId="xl85">
    <w:name w:val="xl85"/>
    <w:basedOn w:val="Normal"/>
    <w:rsid w:val="00507DEF"/>
    <w:pPr>
      <w:pBdr>
        <w:left w:val="single" w:sz="8" w:space="0" w:color="auto"/>
      </w:pBdr>
      <w:spacing w:before="100" w:beforeAutospacing="1" w:after="100" w:afterAutospacing="1"/>
      <w:jc w:val="right"/>
      <w:textAlignment w:val="center"/>
    </w:pPr>
    <w:rPr>
      <w:rFonts w:ascii="Lucida Bright" w:hAnsi="Lucida Bright"/>
      <w:sz w:val="14"/>
      <w:szCs w:val="14"/>
      <w:lang w:val="es-ES"/>
    </w:rPr>
  </w:style>
  <w:style w:type="paragraph" w:customStyle="1" w:styleId="xl86">
    <w:name w:val="xl86"/>
    <w:basedOn w:val="Normal"/>
    <w:rsid w:val="00507DEF"/>
    <w:pPr>
      <w:pBdr>
        <w:lef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87">
    <w:name w:val="xl87"/>
    <w:basedOn w:val="Normal"/>
    <w:rsid w:val="00507DEF"/>
    <w:pPr>
      <w:pBdr>
        <w:left w:val="single" w:sz="8" w:space="0" w:color="auto"/>
        <w:bottom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88">
    <w:name w:val="xl88"/>
    <w:basedOn w:val="Normal"/>
    <w:rsid w:val="00507DEF"/>
    <w:pPr>
      <w:pBdr>
        <w:left w:val="single" w:sz="8" w:space="0" w:color="auto"/>
        <w:right w:val="single" w:sz="8" w:space="0" w:color="auto"/>
      </w:pBdr>
      <w:spacing w:before="100" w:beforeAutospacing="1" w:after="100" w:afterAutospacing="1"/>
    </w:pPr>
    <w:rPr>
      <w:rFonts w:ascii="Lucida Bright" w:hAnsi="Lucida Bright"/>
      <w:sz w:val="14"/>
      <w:szCs w:val="14"/>
      <w:lang w:val="es-ES"/>
    </w:rPr>
  </w:style>
  <w:style w:type="paragraph" w:customStyle="1" w:styleId="xl89">
    <w:name w:val="xl89"/>
    <w:basedOn w:val="Normal"/>
    <w:rsid w:val="00507DEF"/>
    <w:pPr>
      <w:pBdr>
        <w:left w:val="single" w:sz="8" w:space="0" w:color="auto"/>
        <w:right w:val="single" w:sz="8" w:space="0" w:color="auto"/>
      </w:pBdr>
      <w:spacing w:before="100" w:beforeAutospacing="1" w:after="100" w:afterAutospacing="1"/>
      <w:jc w:val="center"/>
      <w:textAlignment w:val="center"/>
    </w:pPr>
    <w:rPr>
      <w:rFonts w:ascii="Lucida Bright" w:hAnsi="Lucida Bright"/>
      <w:sz w:val="14"/>
      <w:szCs w:val="14"/>
      <w:lang w:val="es-ES"/>
    </w:rPr>
  </w:style>
  <w:style w:type="paragraph" w:customStyle="1" w:styleId="xl90">
    <w:name w:val="xl90"/>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91">
    <w:name w:val="xl91"/>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92">
    <w:name w:val="xl92"/>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93">
    <w:name w:val="xl93"/>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94">
    <w:name w:val="xl94"/>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95">
    <w:name w:val="xl95"/>
    <w:basedOn w:val="Normal"/>
    <w:rsid w:val="00507DEF"/>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center"/>
    </w:pPr>
    <w:rPr>
      <w:rFonts w:ascii="Lucida Bright" w:hAnsi="Lucida Bright"/>
      <w:b/>
      <w:bCs/>
      <w:sz w:val="14"/>
      <w:szCs w:val="14"/>
      <w:lang w:val="es-ES"/>
    </w:rPr>
  </w:style>
  <w:style w:type="paragraph" w:customStyle="1" w:styleId="xl96">
    <w:name w:val="xl96"/>
    <w:basedOn w:val="Normal"/>
    <w:rsid w:val="00507DEF"/>
    <w:pPr>
      <w:pBdr>
        <w:top w:val="single" w:sz="8" w:space="0" w:color="auto"/>
        <w:bottom w:val="single" w:sz="8" w:space="0" w:color="auto"/>
        <w:right w:val="single" w:sz="8" w:space="0" w:color="auto"/>
      </w:pBdr>
      <w:shd w:val="clear" w:color="000000" w:fill="CCFFCC"/>
      <w:spacing w:before="100" w:beforeAutospacing="1" w:after="100" w:afterAutospacing="1"/>
      <w:jc w:val="center"/>
    </w:pPr>
    <w:rPr>
      <w:rFonts w:ascii="Lucida Bright" w:hAnsi="Lucida Bright"/>
      <w:b/>
      <w:bCs/>
      <w:sz w:val="14"/>
      <w:szCs w:val="14"/>
      <w:lang w:val="es-ES"/>
    </w:rPr>
  </w:style>
  <w:style w:type="paragraph" w:customStyle="1" w:styleId="xl97">
    <w:name w:val="xl97"/>
    <w:basedOn w:val="Normal"/>
    <w:rsid w:val="00507DEF"/>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98">
    <w:name w:val="xl98"/>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99">
    <w:name w:val="xl99"/>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100">
    <w:name w:val="xl100"/>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101">
    <w:name w:val="xl101"/>
    <w:basedOn w:val="Normal"/>
    <w:rsid w:val="00507DEF"/>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02">
    <w:name w:val="xl102"/>
    <w:basedOn w:val="Normal"/>
    <w:rsid w:val="00507DEF"/>
    <w:pPr>
      <w:pBdr>
        <w:top w:val="single" w:sz="8" w:space="0" w:color="auto"/>
        <w:left w:val="single" w:sz="8" w:space="0" w:color="auto"/>
        <w:bottom w:val="single" w:sz="8" w:space="0" w:color="auto"/>
      </w:pBdr>
      <w:shd w:val="clear" w:color="000000" w:fill="CCFFCC"/>
      <w:spacing w:before="100" w:beforeAutospacing="1" w:after="100" w:afterAutospacing="1"/>
      <w:jc w:val="center"/>
    </w:pPr>
    <w:rPr>
      <w:rFonts w:ascii="Lucida Bright" w:hAnsi="Lucida Bright"/>
      <w:b/>
      <w:bCs/>
      <w:sz w:val="14"/>
      <w:szCs w:val="14"/>
      <w:lang w:val="es-ES"/>
    </w:rPr>
  </w:style>
  <w:style w:type="paragraph" w:customStyle="1" w:styleId="xl103">
    <w:name w:val="xl103"/>
    <w:basedOn w:val="Normal"/>
    <w:rsid w:val="00507DEF"/>
    <w:pPr>
      <w:pBdr>
        <w:top w:val="single" w:sz="8" w:space="0" w:color="auto"/>
        <w:bottom w:val="single" w:sz="8" w:space="0" w:color="auto"/>
        <w:right w:val="single" w:sz="8" w:space="0" w:color="auto"/>
      </w:pBdr>
      <w:shd w:val="clear" w:color="000000" w:fill="CCFFCC"/>
      <w:spacing w:before="100" w:beforeAutospacing="1" w:after="100" w:afterAutospacing="1"/>
      <w:jc w:val="center"/>
    </w:pPr>
    <w:rPr>
      <w:rFonts w:ascii="Lucida Bright" w:hAnsi="Lucida Bright"/>
      <w:b/>
      <w:bCs/>
      <w:sz w:val="14"/>
      <w:szCs w:val="14"/>
      <w:lang w:val="es-ES"/>
    </w:rPr>
  </w:style>
  <w:style w:type="paragraph" w:customStyle="1" w:styleId="xl104">
    <w:name w:val="xl104"/>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105">
    <w:name w:val="xl105"/>
    <w:basedOn w:val="Normal"/>
    <w:rsid w:val="00507DEF"/>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06">
    <w:name w:val="xl106"/>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107">
    <w:name w:val="xl107"/>
    <w:basedOn w:val="Normal"/>
    <w:rsid w:val="00507DEF"/>
    <w:pPr>
      <w:pBdr>
        <w:lef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08">
    <w:name w:val="xl108"/>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109">
    <w:name w:val="xl109"/>
    <w:basedOn w:val="Normal"/>
    <w:rsid w:val="00507DEF"/>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10">
    <w:name w:val="xl110"/>
    <w:basedOn w:val="Normal"/>
    <w:rsid w:val="00507DEF"/>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11">
    <w:name w:val="xl111"/>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112">
    <w:name w:val="xl112"/>
    <w:basedOn w:val="Normal"/>
    <w:rsid w:val="00507DEF"/>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13">
    <w:name w:val="xl113"/>
    <w:basedOn w:val="Normal"/>
    <w:rsid w:val="007131C1"/>
    <w:pPr>
      <w:pBdr>
        <w:left w:val="single" w:sz="8" w:space="0" w:color="auto"/>
      </w:pBdr>
      <w:spacing w:before="100" w:beforeAutospacing="1" w:after="100" w:afterAutospacing="1"/>
      <w:textAlignment w:val="center"/>
    </w:pPr>
    <w:rPr>
      <w:rFonts w:ascii="Lucida Bright" w:hAnsi="Lucida Bright"/>
      <w:sz w:val="14"/>
      <w:szCs w:val="1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A36"/>
    <w:rPr>
      <w:lang w:val="es-ES_tradnl"/>
    </w:rPr>
  </w:style>
  <w:style w:type="paragraph" w:styleId="Ttulo1">
    <w:name w:val="heading 1"/>
    <w:basedOn w:val="Normal"/>
    <w:next w:val="Normal"/>
    <w:qFormat/>
    <w:pPr>
      <w:keepNext/>
      <w:framePr w:w="3870" w:h="348" w:hSpace="141" w:wrap="around" w:vAnchor="text" w:hAnchor="page" w:x="6784" w:y="128"/>
      <w:outlineLvl w:val="0"/>
    </w:pPr>
    <w:rPr>
      <w:rFonts w:ascii="Lucida Sans" w:hAnsi="Lucida Sans"/>
      <w:b/>
      <w:color w:val="808080"/>
      <w:sz w:val="28"/>
      <w:szCs w:val="28"/>
    </w:rPr>
  </w:style>
  <w:style w:type="paragraph" w:styleId="Ttulo2">
    <w:name w:val="heading 2"/>
    <w:basedOn w:val="Normal"/>
    <w:next w:val="Normal"/>
    <w:qFormat/>
    <w:pPr>
      <w:keepNext/>
      <w:tabs>
        <w:tab w:val="right" w:pos="8222"/>
      </w:tabs>
      <w:ind w:left="3402" w:right="992"/>
      <w:jc w:val="both"/>
      <w:outlineLvl w:val="1"/>
    </w:pPr>
    <w:rPr>
      <w:b/>
      <w:sz w:val="24"/>
    </w:rPr>
  </w:style>
  <w:style w:type="paragraph" w:styleId="Ttulo3">
    <w:name w:val="heading 3"/>
    <w:basedOn w:val="Normal"/>
    <w:next w:val="Normal"/>
    <w:qFormat/>
    <w:pPr>
      <w:keepNext/>
      <w:tabs>
        <w:tab w:val="center" w:pos="1843"/>
        <w:tab w:val="center" w:pos="5387"/>
        <w:tab w:val="center" w:pos="5812"/>
        <w:tab w:val="left" w:pos="7655"/>
      </w:tabs>
      <w:ind w:left="426"/>
      <w:jc w:val="both"/>
      <w:outlineLvl w:val="2"/>
    </w:pPr>
    <w:rPr>
      <w:sz w:val="24"/>
    </w:rPr>
  </w:style>
  <w:style w:type="paragraph" w:styleId="Ttulo4">
    <w:name w:val="heading 4"/>
    <w:basedOn w:val="Normal"/>
    <w:next w:val="Normal"/>
    <w:qFormat/>
    <w:pPr>
      <w:keepNext/>
      <w:outlineLvl w:val="3"/>
    </w:pPr>
    <w:rPr>
      <w:sz w:val="24"/>
    </w:rPr>
  </w:style>
  <w:style w:type="paragraph" w:styleId="Ttulo5">
    <w:name w:val="heading 5"/>
    <w:basedOn w:val="Normal"/>
    <w:next w:val="Normal"/>
    <w:qFormat/>
    <w:pPr>
      <w:keepNext/>
      <w:tabs>
        <w:tab w:val="center" w:pos="1843"/>
        <w:tab w:val="center" w:pos="5671"/>
        <w:tab w:val="center" w:pos="7797"/>
      </w:tabs>
      <w:overflowPunct w:val="0"/>
      <w:autoSpaceDE w:val="0"/>
      <w:autoSpaceDN w:val="0"/>
      <w:adjustRightInd w:val="0"/>
      <w:ind w:firstLine="567"/>
      <w:jc w:val="both"/>
      <w:textAlignment w:val="baseline"/>
      <w:outlineLvl w:val="4"/>
    </w:pPr>
    <w:rPr>
      <w:bCs/>
      <w:sz w:val="28"/>
    </w:rPr>
  </w:style>
  <w:style w:type="paragraph" w:styleId="Ttulo6">
    <w:name w:val="heading 6"/>
    <w:basedOn w:val="Normal"/>
    <w:next w:val="Normal"/>
    <w:qFormat/>
    <w:pPr>
      <w:keepNext/>
      <w:tabs>
        <w:tab w:val="right" w:pos="8364"/>
      </w:tabs>
      <w:overflowPunct w:val="0"/>
      <w:autoSpaceDE w:val="0"/>
      <w:autoSpaceDN w:val="0"/>
      <w:adjustRightInd w:val="0"/>
      <w:spacing w:before="240"/>
      <w:ind w:left="567" w:right="992"/>
      <w:jc w:val="both"/>
      <w:textAlignment w:val="baseline"/>
      <w:outlineLvl w:val="5"/>
    </w:pPr>
    <w:rPr>
      <w:sz w:val="24"/>
    </w:rPr>
  </w:style>
  <w:style w:type="paragraph" w:styleId="Ttulo7">
    <w:name w:val="heading 7"/>
    <w:basedOn w:val="Normal"/>
    <w:next w:val="Normal"/>
    <w:qFormat/>
    <w:pPr>
      <w:keepNext/>
      <w:tabs>
        <w:tab w:val="left" w:pos="1985"/>
        <w:tab w:val="right" w:pos="8364"/>
      </w:tabs>
      <w:overflowPunct w:val="0"/>
      <w:autoSpaceDE w:val="0"/>
      <w:autoSpaceDN w:val="0"/>
      <w:adjustRightInd w:val="0"/>
      <w:spacing w:before="360"/>
      <w:ind w:left="851"/>
      <w:jc w:val="both"/>
      <w:textAlignment w:val="baseline"/>
      <w:outlineLvl w:val="6"/>
    </w:pPr>
    <w:rPr>
      <w:sz w:val="24"/>
    </w:rPr>
  </w:style>
  <w:style w:type="paragraph" w:styleId="Ttulo8">
    <w:name w:val="heading 8"/>
    <w:basedOn w:val="Normal"/>
    <w:next w:val="Normal"/>
    <w:qFormat/>
    <w:pPr>
      <w:keepNext/>
      <w:tabs>
        <w:tab w:val="right" w:pos="8364"/>
      </w:tabs>
      <w:spacing w:before="120"/>
      <w:ind w:left="567" w:right="426"/>
      <w:jc w:val="both"/>
      <w:outlineLvl w:val="7"/>
    </w:pPr>
    <w:rPr>
      <w:bCs/>
      <w:sz w:val="24"/>
    </w:rPr>
  </w:style>
  <w:style w:type="paragraph" w:styleId="Ttulo9">
    <w:name w:val="heading 9"/>
    <w:basedOn w:val="Normal"/>
    <w:next w:val="Normal"/>
    <w:qFormat/>
    <w:pPr>
      <w:keepNext/>
      <w:tabs>
        <w:tab w:val="right" w:pos="8222"/>
      </w:tabs>
      <w:overflowPunct w:val="0"/>
      <w:autoSpaceDE w:val="0"/>
      <w:autoSpaceDN w:val="0"/>
      <w:adjustRightInd w:val="0"/>
      <w:spacing w:before="240"/>
      <w:ind w:left="568" w:right="850"/>
      <w:jc w:val="both"/>
      <w:textAlignment w:val="baseline"/>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252"/>
        <w:tab w:val="right" w:pos="8504"/>
      </w:tabs>
    </w:pPr>
  </w:style>
  <w:style w:type="paragraph" w:styleId="Encabezado">
    <w:name w:val="header"/>
    <w:basedOn w:val="Normal"/>
    <w:semiHidden/>
    <w:pPr>
      <w:tabs>
        <w:tab w:val="center" w:pos="4819"/>
        <w:tab w:val="right" w:pos="9071"/>
      </w:tabs>
    </w:pPr>
  </w:style>
  <w:style w:type="character" w:styleId="Hipervnculo">
    <w:name w:val="Hyperlink"/>
    <w:uiPriority w:val="99"/>
    <w:semiHidden/>
    <w:rPr>
      <w:color w:val="FF0000"/>
      <w:u w:val="single"/>
    </w:rPr>
  </w:style>
  <w:style w:type="paragraph" w:styleId="Encabezadodemensaje">
    <w:name w:val="Message Header"/>
    <w:basedOn w:val="Textoindependiente"/>
    <w:semiHidden/>
    <w:pPr>
      <w:keepLines/>
      <w:tabs>
        <w:tab w:val="left" w:pos="720"/>
        <w:tab w:val="left" w:pos="4320"/>
        <w:tab w:val="left" w:pos="5040"/>
        <w:tab w:val="right" w:pos="8640"/>
      </w:tabs>
      <w:spacing w:after="40" w:line="440" w:lineRule="atLeast"/>
      <w:ind w:left="720" w:hanging="720"/>
    </w:pPr>
    <w:rPr>
      <w:rFonts w:ascii="Arial" w:hAnsi="Arial"/>
      <w:spacing w:val="-5"/>
      <w:lang w:val="es-ES" w:eastAsia="en-US"/>
    </w:rPr>
  </w:style>
  <w:style w:type="paragraph" w:styleId="Textoindependiente">
    <w:name w:val="Body Text"/>
    <w:basedOn w:val="Normal"/>
    <w:semiHidden/>
    <w:pPr>
      <w:spacing w:after="120"/>
    </w:pPr>
  </w:style>
  <w:style w:type="paragraph" w:customStyle="1" w:styleId="Encabezadodemensaje-primera">
    <w:name w:val="Encabezado de mensaje - primera"/>
    <w:basedOn w:val="Encabezadodemensaje"/>
    <w:next w:val="Encabezadodemensaje"/>
  </w:style>
  <w:style w:type="character" w:styleId="Textoennegrita">
    <w:name w:val="Strong"/>
    <w:qFormat/>
    <w:rPr>
      <w:b/>
      <w:bCs/>
      <w:lang w:val="es-ES" w:bidi="ar-SA"/>
    </w:rPr>
  </w:style>
  <w:style w:type="character" w:styleId="Nmerodepgina">
    <w:name w:val="page number"/>
    <w:basedOn w:val="Fuentedeprrafopredeter"/>
    <w:semiHidden/>
  </w:style>
  <w:style w:type="paragraph" w:styleId="Sangradetextonormal">
    <w:name w:val="Body Text Indent"/>
    <w:basedOn w:val="Normal"/>
    <w:semiHidden/>
    <w:pPr>
      <w:tabs>
        <w:tab w:val="right" w:pos="8364"/>
      </w:tabs>
      <w:overflowPunct w:val="0"/>
      <w:autoSpaceDE w:val="0"/>
      <w:autoSpaceDN w:val="0"/>
      <w:adjustRightInd w:val="0"/>
      <w:ind w:firstLine="567"/>
      <w:jc w:val="both"/>
      <w:textAlignment w:val="baseline"/>
    </w:pPr>
    <w:rPr>
      <w:sz w:val="24"/>
    </w:rPr>
  </w:style>
  <w:style w:type="paragraph" w:styleId="Sangra3detindependiente">
    <w:name w:val="Body Text Indent 3"/>
    <w:basedOn w:val="Normal"/>
    <w:link w:val="Sangra3detindependienteCar"/>
    <w:semiHidden/>
    <w:pPr>
      <w:tabs>
        <w:tab w:val="center" w:pos="5671"/>
        <w:tab w:val="center" w:pos="7797"/>
      </w:tabs>
      <w:ind w:firstLine="540"/>
      <w:jc w:val="both"/>
    </w:pPr>
    <w:rPr>
      <w:sz w:val="24"/>
      <w:szCs w:val="24"/>
    </w:rPr>
  </w:style>
  <w:style w:type="paragraph" w:styleId="Sangra2detindependiente">
    <w:name w:val="Body Text Indent 2"/>
    <w:basedOn w:val="Normal"/>
    <w:link w:val="Sangra2detindependienteCar"/>
    <w:semiHidden/>
    <w:pPr>
      <w:tabs>
        <w:tab w:val="center" w:pos="1843"/>
        <w:tab w:val="center" w:pos="5671"/>
        <w:tab w:val="center" w:pos="7797"/>
      </w:tabs>
      <w:ind w:firstLine="568"/>
      <w:jc w:val="both"/>
    </w:pPr>
    <w:rPr>
      <w:sz w:val="24"/>
    </w:rPr>
  </w:style>
  <w:style w:type="paragraph" w:customStyle="1" w:styleId="xl28">
    <w:name w:val="xl28"/>
    <w:basedOn w:val="Normal"/>
    <w:pPr>
      <w:spacing w:before="100" w:beforeAutospacing="1" w:after="100" w:afterAutospacing="1"/>
    </w:pPr>
    <w:rPr>
      <w:rFonts w:ascii="Arial" w:eastAsia="Arial Unicode MS" w:hAnsi="Arial" w:cs="Arial"/>
      <w:sz w:val="14"/>
      <w:szCs w:val="14"/>
      <w:lang w:val="es-ES"/>
    </w:rPr>
  </w:style>
  <w:style w:type="paragraph" w:styleId="Epgrafe">
    <w:name w:val="caption"/>
    <w:basedOn w:val="Normal"/>
    <w:next w:val="Normal"/>
    <w:qFormat/>
    <w:rPr>
      <w:b/>
      <w:bCs/>
      <w:sz w:val="28"/>
      <w:u w:val="single"/>
    </w:rPr>
  </w:style>
  <w:style w:type="paragraph" w:styleId="Textoindependiente2">
    <w:name w:val="Body Text 2"/>
    <w:basedOn w:val="Normal"/>
    <w:semiHidden/>
    <w:pPr>
      <w:tabs>
        <w:tab w:val="right" w:pos="8364"/>
      </w:tabs>
      <w:jc w:val="both"/>
    </w:pPr>
    <w:rPr>
      <w:bCs/>
      <w:sz w:val="24"/>
      <w:szCs w:val="24"/>
    </w:rPr>
  </w:style>
  <w:style w:type="paragraph" w:styleId="NormalWeb">
    <w:name w:val="Normal (Web)"/>
    <w:basedOn w:val="Normal"/>
    <w:uiPriority w:val="99"/>
    <w:semiHidden/>
    <w:pPr>
      <w:suppressAutoHyphens/>
      <w:spacing w:before="280" w:after="280"/>
    </w:pPr>
    <w:rPr>
      <w:sz w:val="24"/>
      <w:szCs w:val="24"/>
      <w:lang w:eastAsia="ar-SA"/>
    </w:rPr>
  </w:style>
  <w:style w:type="paragraph" w:customStyle="1" w:styleId="ListParagraph1">
    <w:name w:val="List Paragraph1"/>
    <w:basedOn w:val="Normal"/>
    <w:qFormat/>
    <w:pPr>
      <w:ind w:left="720"/>
    </w:pPr>
  </w:style>
  <w:style w:type="paragraph" w:customStyle="1" w:styleId="BalloonText1">
    <w:name w:val="Balloon Text1"/>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s-ES_tradnl"/>
    </w:rPr>
  </w:style>
  <w:style w:type="paragraph" w:customStyle="1" w:styleId="BSFigures">
    <w:name w:val="BS Figures"/>
    <w:pPr>
      <w:widowControl w:val="0"/>
      <w:autoSpaceDE w:val="0"/>
      <w:autoSpaceDN w:val="0"/>
      <w:adjustRightInd w:val="0"/>
      <w:ind w:left="113" w:right="113"/>
      <w:jc w:val="right"/>
    </w:pPr>
    <w:rPr>
      <w:color w:val="000000"/>
      <w:sz w:val="18"/>
      <w:szCs w:val="18"/>
    </w:rPr>
  </w:style>
  <w:style w:type="paragraph" w:customStyle="1" w:styleId="Body2">
    <w:name w:val="Body2"/>
    <w:pPr>
      <w:keepLines/>
      <w:widowControl w:val="0"/>
      <w:autoSpaceDE w:val="0"/>
      <w:autoSpaceDN w:val="0"/>
      <w:adjustRightInd w:val="0"/>
      <w:spacing w:before="238"/>
      <w:ind w:left="1417" w:hanging="226"/>
      <w:jc w:val="both"/>
    </w:pPr>
    <w:rPr>
      <w:color w:val="000000"/>
      <w:sz w:val="22"/>
      <w:szCs w:val="22"/>
    </w:rPr>
  </w:style>
  <w:style w:type="paragraph" w:customStyle="1" w:styleId="Body3">
    <w:name w:val="Body3"/>
    <w:pPr>
      <w:keepLines/>
      <w:widowControl w:val="0"/>
      <w:autoSpaceDE w:val="0"/>
      <w:autoSpaceDN w:val="0"/>
      <w:adjustRightInd w:val="0"/>
      <w:spacing w:before="238"/>
      <w:ind w:left="1559" w:hanging="226"/>
      <w:jc w:val="both"/>
    </w:pPr>
    <w:rPr>
      <w:color w:val="000000"/>
      <w:sz w:val="22"/>
      <w:szCs w:val="22"/>
    </w:rPr>
  </w:style>
  <w:style w:type="paragraph" w:customStyle="1" w:styleId="Footer2">
    <w:name w:val="Footer2"/>
    <w:pPr>
      <w:widowControl w:val="0"/>
      <w:autoSpaceDE w:val="0"/>
      <w:autoSpaceDN w:val="0"/>
      <w:adjustRightInd w:val="0"/>
      <w:jc w:val="right"/>
    </w:pPr>
    <w:rPr>
      <w:color w:val="000000"/>
      <w:sz w:val="22"/>
      <w:szCs w:val="22"/>
    </w:rPr>
  </w:style>
  <w:style w:type="paragraph" w:customStyle="1" w:styleId="Memhead">
    <w:name w:val="Mem head"/>
    <w:pPr>
      <w:widowControl w:val="0"/>
      <w:autoSpaceDE w:val="0"/>
      <w:autoSpaceDN w:val="0"/>
      <w:adjustRightInd w:val="0"/>
      <w:jc w:val="center"/>
    </w:pPr>
    <w:rPr>
      <w:color w:val="000000"/>
      <w:sz w:val="22"/>
      <w:szCs w:val="22"/>
    </w:rPr>
  </w:style>
  <w:style w:type="paragraph" w:customStyle="1" w:styleId="Memheadspace">
    <w:name w:val="Mem head space"/>
    <w:pPr>
      <w:widowControl w:val="0"/>
      <w:autoSpaceDE w:val="0"/>
      <w:autoSpaceDN w:val="0"/>
      <w:adjustRightInd w:val="0"/>
      <w:spacing w:before="119"/>
      <w:jc w:val="center"/>
    </w:pPr>
    <w:rPr>
      <w:color w:val="000000"/>
      <w:sz w:val="22"/>
      <w:szCs w:val="22"/>
    </w:rPr>
  </w:style>
  <w:style w:type="character" w:customStyle="1" w:styleId="BodyTextChar">
    <w:name w:val="Body Text Char"/>
    <w:semiHidden/>
    <w:rPr>
      <w:lang w:val="es-ES_tradnl" w:eastAsia="es-ES"/>
    </w:rPr>
  </w:style>
  <w:style w:type="paragraph" w:styleId="Textodeglobo">
    <w:name w:val="Balloon Text"/>
    <w:basedOn w:val="Normal"/>
    <w:link w:val="TextodegloboCar"/>
    <w:uiPriority w:val="99"/>
    <w:semiHidden/>
    <w:unhideWhenUsed/>
    <w:rsid w:val="00490E9C"/>
    <w:rPr>
      <w:rFonts w:ascii="Tahoma" w:hAnsi="Tahoma"/>
      <w:sz w:val="16"/>
      <w:szCs w:val="16"/>
      <w:lang w:val="x-none"/>
    </w:rPr>
  </w:style>
  <w:style w:type="character" w:customStyle="1" w:styleId="TextodegloboCar">
    <w:name w:val="Texto de globo Car"/>
    <w:link w:val="Textodeglobo"/>
    <w:uiPriority w:val="99"/>
    <w:semiHidden/>
    <w:rsid w:val="00490E9C"/>
    <w:rPr>
      <w:rFonts w:ascii="Tahoma" w:hAnsi="Tahoma" w:cs="Tahoma"/>
      <w:sz w:val="16"/>
      <w:szCs w:val="16"/>
      <w:lang w:eastAsia="es-ES"/>
    </w:rPr>
  </w:style>
  <w:style w:type="table" w:styleId="Tablaconcuadrcula">
    <w:name w:val="Table Grid"/>
    <w:basedOn w:val="Tablanormal"/>
    <w:uiPriority w:val="59"/>
    <w:rsid w:val="007F13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64432"/>
    <w:pPr>
      <w:ind w:left="708"/>
    </w:pPr>
  </w:style>
  <w:style w:type="character" w:customStyle="1" w:styleId="Sangra2detindependienteCar">
    <w:name w:val="Sangría 2 de t. independiente Car"/>
    <w:link w:val="Sangra2detindependiente"/>
    <w:semiHidden/>
    <w:rsid w:val="00E90A55"/>
    <w:rPr>
      <w:sz w:val="24"/>
      <w:lang w:val="es-ES_tradnl"/>
    </w:rPr>
  </w:style>
  <w:style w:type="paragraph" w:styleId="Revisin">
    <w:name w:val="Revision"/>
    <w:hidden/>
    <w:uiPriority w:val="99"/>
    <w:semiHidden/>
    <w:rsid w:val="0020324A"/>
    <w:rPr>
      <w:lang w:val="es-ES_tradnl"/>
    </w:rPr>
  </w:style>
  <w:style w:type="character" w:customStyle="1" w:styleId="Sangra3detindependienteCar">
    <w:name w:val="Sangría 3 de t. independiente Car"/>
    <w:basedOn w:val="Fuentedeprrafopredeter"/>
    <w:link w:val="Sangra3detindependiente"/>
    <w:semiHidden/>
    <w:rsid w:val="00357986"/>
    <w:rPr>
      <w:sz w:val="24"/>
      <w:szCs w:val="24"/>
      <w:lang w:val="es-ES_tradnl"/>
    </w:rPr>
  </w:style>
  <w:style w:type="paragraph" w:styleId="TtulodeTDC">
    <w:name w:val="TOC Heading"/>
    <w:basedOn w:val="Ttulo1"/>
    <w:next w:val="Normal"/>
    <w:uiPriority w:val="39"/>
    <w:semiHidden/>
    <w:unhideWhenUsed/>
    <w:qFormat/>
    <w:rsid w:val="007411C0"/>
    <w:pPr>
      <w:keepLines/>
      <w:framePr w:w="0" w:hRule="auto" w:hSpace="0" w:wrap="auto" w:vAnchor="margin" w:hAnchor="text" w:xAlign="left" w:yAlign="inline"/>
      <w:spacing w:before="480" w:line="276" w:lineRule="auto"/>
      <w:outlineLvl w:val="9"/>
    </w:pPr>
    <w:rPr>
      <w:rFonts w:asciiTheme="majorHAnsi" w:eastAsiaTheme="majorEastAsia" w:hAnsiTheme="majorHAnsi" w:cstheme="majorBidi"/>
      <w:bCs/>
      <w:color w:val="365F91" w:themeColor="accent1" w:themeShade="BF"/>
      <w:lang w:val="es-ES"/>
    </w:rPr>
  </w:style>
  <w:style w:type="paragraph" w:customStyle="1" w:styleId="Default">
    <w:name w:val="Default"/>
    <w:rsid w:val="00E775E1"/>
    <w:pPr>
      <w:autoSpaceDE w:val="0"/>
      <w:autoSpaceDN w:val="0"/>
      <w:adjustRightInd w:val="0"/>
    </w:pPr>
    <w:rPr>
      <w:color w:val="000000"/>
      <w:sz w:val="24"/>
      <w:szCs w:val="24"/>
    </w:rPr>
  </w:style>
  <w:style w:type="character" w:styleId="Hipervnculovisitado">
    <w:name w:val="FollowedHyperlink"/>
    <w:basedOn w:val="Fuentedeprrafopredeter"/>
    <w:uiPriority w:val="99"/>
    <w:semiHidden/>
    <w:unhideWhenUsed/>
    <w:rsid w:val="00507DEF"/>
    <w:rPr>
      <w:color w:val="800080"/>
      <w:u w:val="single"/>
    </w:rPr>
  </w:style>
  <w:style w:type="paragraph" w:customStyle="1" w:styleId="xl65">
    <w:name w:val="xl65"/>
    <w:basedOn w:val="Normal"/>
    <w:rsid w:val="00507DEF"/>
    <w:pPr>
      <w:spacing w:before="100" w:beforeAutospacing="1" w:after="100" w:afterAutospacing="1"/>
    </w:pPr>
    <w:rPr>
      <w:rFonts w:ascii="Lucida Bright" w:hAnsi="Lucida Bright"/>
      <w:sz w:val="16"/>
      <w:szCs w:val="16"/>
      <w:lang w:val="es-ES"/>
    </w:rPr>
  </w:style>
  <w:style w:type="paragraph" w:customStyle="1" w:styleId="xl66">
    <w:name w:val="xl66"/>
    <w:basedOn w:val="Normal"/>
    <w:rsid w:val="00507DEF"/>
    <w:pPr>
      <w:spacing w:before="100" w:beforeAutospacing="1" w:after="100" w:afterAutospacing="1"/>
    </w:pPr>
    <w:rPr>
      <w:rFonts w:ascii="Lucida Bright" w:hAnsi="Lucida Bright"/>
      <w:b/>
      <w:bCs/>
      <w:sz w:val="16"/>
      <w:szCs w:val="16"/>
      <w:lang w:val="es-ES"/>
    </w:rPr>
  </w:style>
  <w:style w:type="paragraph" w:customStyle="1" w:styleId="xl67">
    <w:name w:val="xl67"/>
    <w:basedOn w:val="Normal"/>
    <w:rsid w:val="00507DEF"/>
    <w:pPr>
      <w:pBdr>
        <w:left w:val="single" w:sz="8" w:space="0" w:color="auto"/>
      </w:pBdr>
      <w:spacing w:before="100" w:beforeAutospacing="1" w:after="100" w:afterAutospacing="1"/>
    </w:pPr>
    <w:rPr>
      <w:rFonts w:ascii="Lucida Bright" w:hAnsi="Lucida Bright"/>
      <w:sz w:val="14"/>
      <w:szCs w:val="14"/>
      <w:lang w:val="es-ES"/>
    </w:rPr>
  </w:style>
  <w:style w:type="paragraph" w:customStyle="1" w:styleId="xl68">
    <w:name w:val="xl68"/>
    <w:basedOn w:val="Normal"/>
    <w:rsid w:val="00507DEF"/>
    <w:pPr>
      <w:pBdr>
        <w:top w:val="single" w:sz="8" w:space="0" w:color="auto"/>
        <w:left w:val="single" w:sz="8" w:space="0" w:color="auto"/>
      </w:pBdr>
      <w:shd w:val="clear" w:color="000000" w:fill="CCFFCC"/>
      <w:spacing w:before="100" w:beforeAutospacing="1" w:after="100" w:afterAutospacing="1"/>
    </w:pPr>
    <w:rPr>
      <w:rFonts w:ascii="Lucida Bright" w:hAnsi="Lucida Bright"/>
      <w:sz w:val="14"/>
      <w:szCs w:val="14"/>
      <w:lang w:val="es-ES"/>
    </w:rPr>
  </w:style>
  <w:style w:type="paragraph" w:customStyle="1" w:styleId="xl69">
    <w:name w:val="xl69"/>
    <w:basedOn w:val="Normal"/>
    <w:rsid w:val="00507DEF"/>
    <w:pPr>
      <w:pBdr>
        <w:top w:val="single" w:sz="8" w:space="0" w:color="auto"/>
      </w:pBdr>
      <w:shd w:val="clear" w:color="000000" w:fill="CCFFCC"/>
      <w:spacing w:before="100" w:beforeAutospacing="1" w:after="100" w:afterAutospacing="1"/>
    </w:pPr>
    <w:rPr>
      <w:rFonts w:ascii="Lucida Bright" w:hAnsi="Lucida Bright"/>
      <w:sz w:val="14"/>
      <w:szCs w:val="14"/>
      <w:lang w:val="es-ES"/>
    </w:rPr>
  </w:style>
  <w:style w:type="paragraph" w:customStyle="1" w:styleId="xl70">
    <w:name w:val="xl70"/>
    <w:basedOn w:val="Normal"/>
    <w:rsid w:val="00507DEF"/>
    <w:pPr>
      <w:pBdr>
        <w:top w:val="single" w:sz="8" w:space="0" w:color="auto"/>
        <w:right w:val="single" w:sz="8" w:space="0" w:color="auto"/>
      </w:pBdr>
      <w:shd w:val="clear" w:color="000000" w:fill="CCFFCC"/>
      <w:spacing w:before="100" w:beforeAutospacing="1" w:after="100" w:afterAutospacing="1"/>
    </w:pPr>
    <w:rPr>
      <w:rFonts w:ascii="Lucida Bright" w:hAnsi="Lucida Bright"/>
      <w:sz w:val="14"/>
      <w:szCs w:val="14"/>
      <w:lang w:val="es-ES"/>
    </w:rPr>
  </w:style>
  <w:style w:type="paragraph" w:customStyle="1" w:styleId="xl71">
    <w:name w:val="xl71"/>
    <w:basedOn w:val="Normal"/>
    <w:rsid w:val="00507DEF"/>
    <w:pPr>
      <w:pBdr>
        <w:left w:val="single" w:sz="8" w:space="0" w:color="auto"/>
        <w:bottom w:val="single" w:sz="8" w:space="0" w:color="auto"/>
      </w:pBdr>
      <w:shd w:val="clear" w:color="000000" w:fill="CCFFCC"/>
      <w:spacing w:before="100" w:beforeAutospacing="1" w:after="100" w:afterAutospacing="1"/>
    </w:pPr>
    <w:rPr>
      <w:rFonts w:ascii="Lucida Bright" w:hAnsi="Lucida Bright"/>
      <w:sz w:val="14"/>
      <w:szCs w:val="14"/>
      <w:lang w:val="es-ES"/>
    </w:rPr>
  </w:style>
  <w:style w:type="paragraph" w:customStyle="1" w:styleId="xl72">
    <w:name w:val="xl72"/>
    <w:basedOn w:val="Normal"/>
    <w:rsid w:val="00507DEF"/>
    <w:pPr>
      <w:pBdr>
        <w:bottom w:val="single" w:sz="8" w:space="0" w:color="auto"/>
      </w:pBdr>
      <w:shd w:val="clear" w:color="000000" w:fill="CCFFCC"/>
      <w:spacing w:before="100" w:beforeAutospacing="1" w:after="100" w:afterAutospacing="1"/>
    </w:pPr>
    <w:rPr>
      <w:rFonts w:ascii="Lucida Bright" w:hAnsi="Lucida Bright"/>
      <w:sz w:val="14"/>
      <w:szCs w:val="14"/>
      <w:lang w:val="es-ES"/>
    </w:rPr>
  </w:style>
  <w:style w:type="paragraph" w:customStyle="1" w:styleId="xl73">
    <w:name w:val="xl73"/>
    <w:basedOn w:val="Normal"/>
    <w:rsid w:val="00507DEF"/>
    <w:pPr>
      <w:pBdr>
        <w:bottom w:val="single" w:sz="8" w:space="0" w:color="auto"/>
        <w:right w:val="single" w:sz="8" w:space="0" w:color="auto"/>
      </w:pBdr>
      <w:shd w:val="clear" w:color="000000" w:fill="CCFFCC"/>
      <w:spacing w:before="100" w:beforeAutospacing="1" w:after="100" w:afterAutospacing="1"/>
    </w:pPr>
    <w:rPr>
      <w:rFonts w:ascii="Lucida Bright" w:hAnsi="Lucida Bright"/>
      <w:sz w:val="14"/>
      <w:szCs w:val="14"/>
      <w:lang w:val="es-ES"/>
    </w:rPr>
  </w:style>
  <w:style w:type="paragraph" w:customStyle="1" w:styleId="xl74">
    <w:name w:val="xl74"/>
    <w:basedOn w:val="Normal"/>
    <w:rsid w:val="00507DEF"/>
    <w:pPr>
      <w:pBdr>
        <w:top w:val="single" w:sz="8" w:space="0" w:color="auto"/>
        <w:left w:val="single" w:sz="8" w:space="0" w:color="auto"/>
        <w:right w:val="single" w:sz="8" w:space="0" w:color="auto"/>
      </w:pBdr>
      <w:spacing w:before="100" w:beforeAutospacing="1" w:after="100" w:afterAutospacing="1"/>
    </w:pPr>
    <w:rPr>
      <w:rFonts w:ascii="Lucida Bright" w:hAnsi="Lucida Bright"/>
      <w:sz w:val="14"/>
      <w:szCs w:val="14"/>
      <w:lang w:val="es-ES"/>
    </w:rPr>
  </w:style>
  <w:style w:type="paragraph" w:customStyle="1" w:styleId="xl75">
    <w:name w:val="xl75"/>
    <w:basedOn w:val="Normal"/>
    <w:rsid w:val="00507DEF"/>
    <w:pPr>
      <w:pBdr>
        <w:top w:val="single" w:sz="8" w:space="0" w:color="auto"/>
        <w:right w:val="single" w:sz="8" w:space="0" w:color="auto"/>
      </w:pBdr>
      <w:spacing w:before="100" w:beforeAutospacing="1" w:after="100" w:afterAutospacing="1"/>
    </w:pPr>
    <w:rPr>
      <w:rFonts w:ascii="Lucida Bright" w:hAnsi="Lucida Bright"/>
      <w:sz w:val="14"/>
      <w:szCs w:val="14"/>
      <w:lang w:val="es-ES"/>
    </w:rPr>
  </w:style>
  <w:style w:type="paragraph" w:customStyle="1" w:styleId="xl76">
    <w:name w:val="xl76"/>
    <w:basedOn w:val="Normal"/>
    <w:rsid w:val="00507DEF"/>
    <w:pPr>
      <w:pBdr>
        <w:top w:val="single" w:sz="8" w:space="0" w:color="auto"/>
        <w:left w:val="single" w:sz="8" w:space="0" w:color="auto"/>
        <w:bottom w:val="single" w:sz="8" w:space="0" w:color="auto"/>
        <w:right w:val="single" w:sz="8" w:space="0" w:color="auto"/>
      </w:pBdr>
      <w:spacing w:before="100" w:beforeAutospacing="1" w:after="100" w:afterAutospacing="1"/>
    </w:pPr>
    <w:rPr>
      <w:rFonts w:ascii="Lucida Bright" w:hAnsi="Lucida Bright"/>
      <w:sz w:val="14"/>
      <w:szCs w:val="14"/>
      <w:lang w:val="es-ES"/>
    </w:rPr>
  </w:style>
  <w:style w:type="paragraph" w:customStyle="1" w:styleId="xl77">
    <w:name w:val="xl77"/>
    <w:basedOn w:val="Normal"/>
    <w:rsid w:val="00507DEF"/>
    <w:pPr>
      <w:pBdr>
        <w:left w:val="single" w:sz="8" w:space="0" w:color="auto"/>
      </w:pBdr>
      <w:spacing w:before="100" w:beforeAutospacing="1" w:after="100" w:afterAutospacing="1"/>
    </w:pPr>
    <w:rPr>
      <w:rFonts w:ascii="Lucida Bright" w:hAnsi="Lucida Bright"/>
      <w:sz w:val="14"/>
      <w:szCs w:val="14"/>
      <w:lang w:val="es-ES"/>
    </w:rPr>
  </w:style>
  <w:style w:type="paragraph" w:customStyle="1" w:styleId="xl78">
    <w:name w:val="xl78"/>
    <w:basedOn w:val="Normal"/>
    <w:rsid w:val="00507DEF"/>
    <w:pPr>
      <w:spacing w:before="100" w:beforeAutospacing="1" w:after="100" w:afterAutospacing="1"/>
    </w:pPr>
    <w:rPr>
      <w:rFonts w:ascii="Lucida Bright" w:hAnsi="Lucida Bright"/>
      <w:b/>
      <w:bCs/>
      <w:sz w:val="14"/>
      <w:szCs w:val="14"/>
      <w:lang w:val="es-ES"/>
    </w:rPr>
  </w:style>
  <w:style w:type="paragraph" w:customStyle="1" w:styleId="xl79">
    <w:name w:val="xl79"/>
    <w:basedOn w:val="Normal"/>
    <w:rsid w:val="00507DEF"/>
    <w:pPr>
      <w:spacing w:before="100" w:beforeAutospacing="1" w:after="100" w:afterAutospacing="1"/>
    </w:pPr>
    <w:rPr>
      <w:rFonts w:ascii="Lucida Bright" w:hAnsi="Lucida Bright"/>
      <w:sz w:val="14"/>
      <w:szCs w:val="14"/>
      <w:lang w:val="es-ES"/>
    </w:rPr>
  </w:style>
  <w:style w:type="paragraph" w:customStyle="1" w:styleId="xl80">
    <w:name w:val="xl80"/>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81">
    <w:name w:val="xl81"/>
    <w:basedOn w:val="Normal"/>
    <w:rsid w:val="00507DEF"/>
    <w:pPr>
      <w:pBdr>
        <w:left w:val="single" w:sz="8" w:space="0" w:color="auto"/>
        <w:right w:val="single" w:sz="4" w:space="0" w:color="auto"/>
      </w:pBdr>
      <w:spacing w:before="100" w:beforeAutospacing="1" w:after="100" w:afterAutospacing="1"/>
      <w:textAlignment w:val="center"/>
    </w:pPr>
    <w:rPr>
      <w:rFonts w:ascii="Lucida Bright" w:hAnsi="Lucida Bright"/>
      <w:sz w:val="14"/>
      <w:szCs w:val="14"/>
      <w:lang w:val="es-ES"/>
    </w:rPr>
  </w:style>
  <w:style w:type="paragraph" w:customStyle="1" w:styleId="xl82">
    <w:name w:val="xl82"/>
    <w:basedOn w:val="Normal"/>
    <w:rsid w:val="00507DEF"/>
    <w:pPr>
      <w:pBdr>
        <w:left w:val="single" w:sz="4" w:space="0" w:color="auto"/>
        <w:right w:val="single" w:sz="8" w:space="0" w:color="auto"/>
      </w:pBdr>
      <w:spacing w:before="100" w:beforeAutospacing="1" w:after="100" w:afterAutospacing="1"/>
      <w:jc w:val="center"/>
      <w:textAlignment w:val="center"/>
    </w:pPr>
    <w:rPr>
      <w:rFonts w:ascii="Lucida Bright" w:hAnsi="Lucida Bright"/>
      <w:sz w:val="14"/>
      <w:szCs w:val="14"/>
      <w:lang w:val="es-ES"/>
    </w:rPr>
  </w:style>
  <w:style w:type="paragraph" w:customStyle="1" w:styleId="xl83">
    <w:name w:val="xl83"/>
    <w:basedOn w:val="Normal"/>
    <w:rsid w:val="00507DEF"/>
    <w:pPr>
      <w:pBdr>
        <w:lef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84">
    <w:name w:val="xl84"/>
    <w:basedOn w:val="Normal"/>
    <w:rsid w:val="00507DEF"/>
    <w:pPr>
      <w:pBdr>
        <w:left w:val="single" w:sz="8" w:space="0" w:color="auto"/>
      </w:pBdr>
      <w:spacing w:before="100" w:beforeAutospacing="1" w:after="100" w:afterAutospacing="1"/>
      <w:jc w:val="right"/>
      <w:textAlignment w:val="center"/>
    </w:pPr>
    <w:rPr>
      <w:rFonts w:ascii="Lucida Bright" w:hAnsi="Lucida Bright"/>
      <w:sz w:val="14"/>
      <w:szCs w:val="14"/>
      <w:lang w:val="es-ES"/>
    </w:rPr>
  </w:style>
  <w:style w:type="paragraph" w:customStyle="1" w:styleId="xl85">
    <w:name w:val="xl85"/>
    <w:basedOn w:val="Normal"/>
    <w:rsid w:val="00507DEF"/>
    <w:pPr>
      <w:pBdr>
        <w:left w:val="single" w:sz="8" w:space="0" w:color="auto"/>
      </w:pBdr>
      <w:spacing w:before="100" w:beforeAutospacing="1" w:after="100" w:afterAutospacing="1"/>
      <w:jc w:val="right"/>
      <w:textAlignment w:val="center"/>
    </w:pPr>
    <w:rPr>
      <w:rFonts w:ascii="Lucida Bright" w:hAnsi="Lucida Bright"/>
      <w:sz w:val="14"/>
      <w:szCs w:val="14"/>
      <w:lang w:val="es-ES"/>
    </w:rPr>
  </w:style>
  <w:style w:type="paragraph" w:customStyle="1" w:styleId="xl86">
    <w:name w:val="xl86"/>
    <w:basedOn w:val="Normal"/>
    <w:rsid w:val="00507DEF"/>
    <w:pPr>
      <w:pBdr>
        <w:lef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87">
    <w:name w:val="xl87"/>
    <w:basedOn w:val="Normal"/>
    <w:rsid w:val="00507DEF"/>
    <w:pPr>
      <w:pBdr>
        <w:left w:val="single" w:sz="8" w:space="0" w:color="auto"/>
        <w:bottom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88">
    <w:name w:val="xl88"/>
    <w:basedOn w:val="Normal"/>
    <w:rsid w:val="00507DEF"/>
    <w:pPr>
      <w:pBdr>
        <w:left w:val="single" w:sz="8" w:space="0" w:color="auto"/>
        <w:right w:val="single" w:sz="8" w:space="0" w:color="auto"/>
      </w:pBdr>
      <w:spacing w:before="100" w:beforeAutospacing="1" w:after="100" w:afterAutospacing="1"/>
    </w:pPr>
    <w:rPr>
      <w:rFonts w:ascii="Lucida Bright" w:hAnsi="Lucida Bright"/>
      <w:sz w:val="14"/>
      <w:szCs w:val="14"/>
      <w:lang w:val="es-ES"/>
    </w:rPr>
  </w:style>
  <w:style w:type="paragraph" w:customStyle="1" w:styleId="xl89">
    <w:name w:val="xl89"/>
    <w:basedOn w:val="Normal"/>
    <w:rsid w:val="00507DEF"/>
    <w:pPr>
      <w:pBdr>
        <w:left w:val="single" w:sz="8" w:space="0" w:color="auto"/>
        <w:right w:val="single" w:sz="8" w:space="0" w:color="auto"/>
      </w:pBdr>
      <w:spacing w:before="100" w:beforeAutospacing="1" w:after="100" w:afterAutospacing="1"/>
      <w:jc w:val="center"/>
      <w:textAlignment w:val="center"/>
    </w:pPr>
    <w:rPr>
      <w:rFonts w:ascii="Lucida Bright" w:hAnsi="Lucida Bright"/>
      <w:sz w:val="14"/>
      <w:szCs w:val="14"/>
      <w:lang w:val="es-ES"/>
    </w:rPr>
  </w:style>
  <w:style w:type="paragraph" w:customStyle="1" w:styleId="xl90">
    <w:name w:val="xl90"/>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91">
    <w:name w:val="xl91"/>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92">
    <w:name w:val="xl92"/>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93">
    <w:name w:val="xl93"/>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94">
    <w:name w:val="xl94"/>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95">
    <w:name w:val="xl95"/>
    <w:basedOn w:val="Normal"/>
    <w:rsid w:val="00507DEF"/>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center"/>
    </w:pPr>
    <w:rPr>
      <w:rFonts w:ascii="Lucida Bright" w:hAnsi="Lucida Bright"/>
      <w:b/>
      <w:bCs/>
      <w:sz w:val="14"/>
      <w:szCs w:val="14"/>
      <w:lang w:val="es-ES"/>
    </w:rPr>
  </w:style>
  <w:style w:type="paragraph" w:customStyle="1" w:styleId="xl96">
    <w:name w:val="xl96"/>
    <w:basedOn w:val="Normal"/>
    <w:rsid w:val="00507DEF"/>
    <w:pPr>
      <w:pBdr>
        <w:top w:val="single" w:sz="8" w:space="0" w:color="auto"/>
        <w:bottom w:val="single" w:sz="8" w:space="0" w:color="auto"/>
        <w:right w:val="single" w:sz="8" w:space="0" w:color="auto"/>
      </w:pBdr>
      <w:shd w:val="clear" w:color="000000" w:fill="CCFFCC"/>
      <w:spacing w:before="100" w:beforeAutospacing="1" w:after="100" w:afterAutospacing="1"/>
      <w:jc w:val="center"/>
    </w:pPr>
    <w:rPr>
      <w:rFonts w:ascii="Lucida Bright" w:hAnsi="Lucida Bright"/>
      <w:b/>
      <w:bCs/>
      <w:sz w:val="14"/>
      <w:szCs w:val="14"/>
      <w:lang w:val="es-ES"/>
    </w:rPr>
  </w:style>
  <w:style w:type="paragraph" w:customStyle="1" w:styleId="xl97">
    <w:name w:val="xl97"/>
    <w:basedOn w:val="Normal"/>
    <w:rsid w:val="00507DEF"/>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98">
    <w:name w:val="xl98"/>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99">
    <w:name w:val="xl99"/>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100">
    <w:name w:val="xl100"/>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101">
    <w:name w:val="xl101"/>
    <w:basedOn w:val="Normal"/>
    <w:rsid w:val="00507DEF"/>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02">
    <w:name w:val="xl102"/>
    <w:basedOn w:val="Normal"/>
    <w:rsid w:val="00507DEF"/>
    <w:pPr>
      <w:pBdr>
        <w:top w:val="single" w:sz="8" w:space="0" w:color="auto"/>
        <w:left w:val="single" w:sz="8" w:space="0" w:color="auto"/>
        <w:bottom w:val="single" w:sz="8" w:space="0" w:color="auto"/>
      </w:pBdr>
      <w:shd w:val="clear" w:color="000000" w:fill="CCFFCC"/>
      <w:spacing w:before="100" w:beforeAutospacing="1" w:after="100" w:afterAutospacing="1"/>
      <w:jc w:val="center"/>
    </w:pPr>
    <w:rPr>
      <w:rFonts w:ascii="Lucida Bright" w:hAnsi="Lucida Bright"/>
      <w:b/>
      <w:bCs/>
      <w:sz w:val="14"/>
      <w:szCs w:val="14"/>
      <w:lang w:val="es-ES"/>
    </w:rPr>
  </w:style>
  <w:style w:type="paragraph" w:customStyle="1" w:styleId="xl103">
    <w:name w:val="xl103"/>
    <w:basedOn w:val="Normal"/>
    <w:rsid w:val="00507DEF"/>
    <w:pPr>
      <w:pBdr>
        <w:top w:val="single" w:sz="8" w:space="0" w:color="auto"/>
        <w:bottom w:val="single" w:sz="8" w:space="0" w:color="auto"/>
        <w:right w:val="single" w:sz="8" w:space="0" w:color="auto"/>
      </w:pBdr>
      <w:shd w:val="clear" w:color="000000" w:fill="CCFFCC"/>
      <w:spacing w:before="100" w:beforeAutospacing="1" w:after="100" w:afterAutospacing="1"/>
      <w:jc w:val="center"/>
    </w:pPr>
    <w:rPr>
      <w:rFonts w:ascii="Lucida Bright" w:hAnsi="Lucida Bright"/>
      <w:b/>
      <w:bCs/>
      <w:sz w:val="14"/>
      <w:szCs w:val="14"/>
      <w:lang w:val="es-ES"/>
    </w:rPr>
  </w:style>
  <w:style w:type="paragraph" w:customStyle="1" w:styleId="xl104">
    <w:name w:val="xl104"/>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105">
    <w:name w:val="xl105"/>
    <w:basedOn w:val="Normal"/>
    <w:rsid w:val="00507DEF"/>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06">
    <w:name w:val="xl106"/>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107">
    <w:name w:val="xl107"/>
    <w:basedOn w:val="Normal"/>
    <w:rsid w:val="00507DEF"/>
    <w:pPr>
      <w:pBdr>
        <w:lef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08">
    <w:name w:val="xl108"/>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109">
    <w:name w:val="xl109"/>
    <w:basedOn w:val="Normal"/>
    <w:rsid w:val="00507DEF"/>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10">
    <w:name w:val="xl110"/>
    <w:basedOn w:val="Normal"/>
    <w:rsid w:val="00507DEF"/>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11">
    <w:name w:val="xl111"/>
    <w:basedOn w:val="Normal"/>
    <w:rsid w:val="00507DEF"/>
    <w:pPr>
      <w:spacing w:before="100" w:beforeAutospacing="1" w:after="100" w:afterAutospacing="1"/>
      <w:textAlignment w:val="center"/>
    </w:pPr>
    <w:rPr>
      <w:rFonts w:ascii="Lucida Bright" w:hAnsi="Lucida Bright"/>
      <w:sz w:val="14"/>
      <w:szCs w:val="14"/>
      <w:lang w:val="es-ES"/>
    </w:rPr>
  </w:style>
  <w:style w:type="paragraph" w:customStyle="1" w:styleId="xl112">
    <w:name w:val="xl112"/>
    <w:basedOn w:val="Normal"/>
    <w:rsid w:val="00507DEF"/>
    <w:pPr>
      <w:pBdr>
        <w:right w:val="single" w:sz="8" w:space="0" w:color="auto"/>
      </w:pBdr>
      <w:spacing w:before="100" w:beforeAutospacing="1" w:after="100" w:afterAutospacing="1"/>
      <w:textAlignment w:val="center"/>
    </w:pPr>
    <w:rPr>
      <w:rFonts w:ascii="Lucida Bright" w:hAnsi="Lucida Bright"/>
      <w:sz w:val="14"/>
      <w:szCs w:val="14"/>
      <w:lang w:val="es-ES"/>
    </w:rPr>
  </w:style>
  <w:style w:type="paragraph" w:customStyle="1" w:styleId="xl113">
    <w:name w:val="xl113"/>
    <w:basedOn w:val="Normal"/>
    <w:rsid w:val="007131C1"/>
    <w:pPr>
      <w:pBdr>
        <w:left w:val="single" w:sz="8" w:space="0" w:color="auto"/>
      </w:pBdr>
      <w:spacing w:before="100" w:beforeAutospacing="1" w:after="100" w:afterAutospacing="1"/>
      <w:textAlignment w:val="center"/>
    </w:pPr>
    <w:rPr>
      <w:rFonts w:ascii="Lucida Bright" w:hAnsi="Lucida Bright"/>
      <w:sz w:val="14"/>
      <w:szCs w:val="1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173">
      <w:bodyDiv w:val="1"/>
      <w:marLeft w:val="0"/>
      <w:marRight w:val="0"/>
      <w:marTop w:val="0"/>
      <w:marBottom w:val="0"/>
      <w:divBdr>
        <w:top w:val="none" w:sz="0" w:space="0" w:color="auto"/>
        <w:left w:val="none" w:sz="0" w:space="0" w:color="auto"/>
        <w:bottom w:val="none" w:sz="0" w:space="0" w:color="auto"/>
        <w:right w:val="none" w:sz="0" w:space="0" w:color="auto"/>
      </w:divBdr>
    </w:div>
    <w:div w:id="21133376">
      <w:bodyDiv w:val="1"/>
      <w:marLeft w:val="0"/>
      <w:marRight w:val="0"/>
      <w:marTop w:val="0"/>
      <w:marBottom w:val="0"/>
      <w:divBdr>
        <w:top w:val="none" w:sz="0" w:space="0" w:color="auto"/>
        <w:left w:val="none" w:sz="0" w:space="0" w:color="auto"/>
        <w:bottom w:val="none" w:sz="0" w:space="0" w:color="auto"/>
        <w:right w:val="none" w:sz="0" w:space="0" w:color="auto"/>
      </w:divBdr>
    </w:div>
    <w:div w:id="24722488">
      <w:bodyDiv w:val="1"/>
      <w:marLeft w:val="0"/>
      <w:marRight w:val="0"/>
      <w:marTop w:val="0"/>
      <w:marBottom w:val="0"/>
      <w:divBdr>
        <w:top w:val="none" w:sz="0" w:space="0" w:color="auto"/>
        <w:left w:val="none" w:sz="0" w:space="0" w:color="auto"/>
        <w:bottom w:val="none" w:sz="0" w:space="0" w:color="auto"/>
        <w:right w:val="none" w:sz="0" w:space="0" w:color="auto"/>
      </w:divBdr>
    </w:div>
    <w:div w:id="27682747">
      <w:bodyDiv w:val="1"/>
      <w:marLeft w:val="0"/>
      <w:marRight w:val="0"/>
      <w:marTop w:val="0"/>
      <w:marBottom w:val="0"/>
      <w:divBdr>
        <w:top w:val="none" w:sz="0" w:space="0" w:color="auto"/>
        <w:left w:val="none" w:sz="0" w:space="0" w:color="auto"/>
        <w:bottom w:val="none" w:sz="0" w:space="0" w:color="auto"/>
        <w:right w:val="none" w:sz="0" w:space="0" w:color="auto"/>
      </w:divBdr>
    </w:div>
    <w:div w:id="30881691">
      <w:bodyDiv w:val="1"/>
      <w:marLeft w:val="0"/>
      <w:marRight w:val="0"/>
      <w:marTop w:val="0"/>
      <w:marBottom w:val="0"/>
      <w:divBdr>
        <w:top w:val="none" w:sz="0" w:space="0" w:color="auto"/>
        <w:left w:val="none" w:sz="0" w:space="0" w:color="auto"/>
        <w:bottom w:val="none" w:sz="0" w:space="0" w:color="auto"/>
        <w:right w:val="none" w:sz="0" w:space="0" w:color="auto"/>
      </w:divBdr>
    </w:div>
    <w:div w:id="36046933">
      <w:bodyDiv w:val="1"/>
      <w:marLeft w:val="0"/>
      <w:marRight w:val="0"/>
      <w:marTop w:val="0"/>
      <w:marBottom w:val="0"/>
      <w:divBdr>
        <w:top w:val="none" w:sz="0" w:space="0" w:color="auto"/>
        <w:left w:val="none" w:sz="0" w:space="0" w:color="auto"/>
        <w:bottom w:val="none" w:sz="0" w:space="0" w:color="auto"/>
        <w:right w:val="none" w:sz="0" w:space="0" w:color="auto"/>
      </w:divBdr>
    </w:div>
    <w:div w:id="58210873">
      <w:bodyDiv w:val="1"/>
      <w:marLeft w:val="0"/>
      <w:marRight w:val="0"/>
      <w:marTop w:val="0"/>
      <w:marBottom w:val="0"/>
      <w:divBdr>
        <w:top w:val="none" w:sz="0" w:space="0" w:color="auto"/>
        <w:left w:val="none" w:sz="0" w:space="0" w:color="auto"/>
        <w:bottom w:val="none" w:sz="0" w:space="0" w:color="auto"/>
        <w:right w:val="none" w:sz="0" w:space="0" w:color="auto"/>
      </w:divBdr>
    </w:div>
    <w:div w:id="59989305">
      <w:bodyDiv w:val="1"/>
      <w:marLeft w:val="0"/>
      <w:marRight w:val="0"/>
      <w:marTop w:val="0"/>
      <w:marBottom w:val="0"/>
      <w:divBdr>
        <w:top w:val="none" w:sz="0" w:space="0" w:color="auto"/>
        <w:left w:val="none" w:sz="0" w:space="0" w:color="auto"/>
        <w:bottom w:val="none" w:sz="0" w:space="0" w:color="auto"/>
        <w:right w:val="none" w:sz="0" w:space="0" w:color="auto"/>
      </w:divBdr>
    </w:div>
    <w:div w:id="62417845">
      <w:bodyDiv w:val="1"/>
      <w:marLeft w:val="0"/>
      <w:marRight w:val="0"/>
      <w:marTop w:val="0"/>
      <w:marBottom w:val="0"/>
      <w:divBdr>
        <w:top w:val="none" w:sz="0" w:space="0" w:color="auto"/>
        <w:left w:val="none" w:sz="0" w:space="0" w:color="auto"/>
        <w:bottom w:val="none" w:sz="0" w:space="0" w:color="auto"/>
        <w:right w:val="none" w:sz="0" w:space="0" w:color="auto"/>
      </w:divBdr>
    </w:div>
    <w:div w:id="66268995">
      <w:bodyDiv w:val="1"/>
      <w:marLeft w:val="0"/>
      <w:marRight w:val="0"/>
      <w:marTop w:val="0"/>
      <w:marBottom w:val="0"/>
      <w:divBdr>
        <w:top w:val="none" w:sz="0" w:space="0" w:color="auto"/>
        <w:left w:val="none" w:sz="0" w:space="0" w:color="auto"/>
        <w:bottom w:val="none" w:sz="0" w:space="0" w:color="auto"/>
        <w:right w:val="none" w:sz="0" w:space="0" w:color="auto"/>
      </w:divBdr>
    </w:div>
    <w:div w:id="76096359">
      <w:bodyDiv w:val="1"/>
      <w:marLeft w:val="0"/>
      <w:marRight w:val="0"/>
      <w:marTop w:val="0"/>
      <w:marBottom w:val="0"/>
      <w:divBdr>
        <w:top w:val="none" w:sz="0" w:space="0" w:color="auto"/>
        <w:left w:val="none" w:sz="0" w:space="0" w:color="auto"/>
        <w:bottom w:val="none" w:sz="0" w:space="0" w:color="auto"/>
        <w:right w:val="none" w:sz="0" w:space="0" w:color="auto"/>
      </w:divBdr>
    </w:div>
    <w:div w:id="78139775">
      <w:bodyDiv w:val="1"/>
      <w:marLeft w:val="0"/>
      <w:marRight w:val="0"/>
      <w:marTop w:val="0"/>
      <w:marBottom w:val="0"/>
      <w:divBdr>
        <w:top w:val="none" w:sz="0" w:space="0" w:color="auto"/>
        <w:left w:val="none" w:sz="0" w:space="0" w:color="auto"/>
        <w:bottom w:val="none" w:sz="0" w:space="0" w:color="auto"/>
        <w:right w:val="none" w:sz="0" w:space="0" w:color="auto"/>
      </w:divBdr>
    </w:div>
    <w:div w:id="79103734">
      <w:bodyDiv w:val="1"/>
      <w:marLeft w:val="0"/>
      <w:marRight w:val="0"/>
      <w:marTop w:val="0"/>
      <w:marBottom w:val="0"/>
      <w:divBdr>
        <w:top w:val="none" w:sz="0" w:space="0" w:color="auto"/>
        <w:left w:val="none" w:sz="0" w:space="0" w:color="auto"/>
        <w:bottom w:val="none" w:sz="0" w:space="0" w:color="auto"/>
        <w:right w:val="none" w:sz="0" w:space="0" w:color="auto"/>
      </w:divBdr>
    </w:div>
    <w:div w:id="91782486">
      <w:bodyDiv w:val="1"/>
      <w:marLeft w:val="0"/>
      <w:marRight w:val="0"/>
      <w:marTop w:val="0"/>
      <w:marBottom w:val="0"/>
      <w:divBdr>
        <w:top w:val="none" w:sz="0" w:space="0" w:color="auto"/>
        <w:left w:val="none" w:sz="0" w:space="0" w:color="auto"/>
        <w:bottom w:val="none" w:sz="0" w:space="0" w:color="auto"/>
        <w:right w:val="none" w:sz="0" w:space="0" w:color="auto"/>
      </w:divBdr>
    </w:div>
    <w:div w:id="94912797">
      <w:bodyDiv w:val="1"/>
      <w:marLeft w:val="0"/>
      <w:marRight w:val="0"/>
      <w:marTop w:val="0"/>
      <w:marBottom w:val="0"/>
      <w:divBdr>
        <w:top w:val="none" w:sz="0" w:space="0" w:color="auto"/>
        <w:left w:val="none" w:sz="0" w:space="0" w:color="auto"/>
        <w:bottom w:val="none" w:sz="0" w:space="0" w:color="auto"/>
        <w:right w:val="none" w:sz="0" w:space="0" w:color="auto"/>
      </w:divBdr>
    </w:div>
    <w:div w:id="97912127">
      <w:bodyDiv w:val="1"/>
      <w:marLeft w:val="0"/>
      <w:marRight w:val="0"/>
      <w:marTop w:val="0"/>
      <w:marBottom w:val="0"/>
      <w:divBdr>
        <w:top w:val="none" w:sz="0" w:space="0" w:color="auto"/>
        <w:left w:val="none" w:sz="0" w:space="0" w:color="auto"/>
        <w:bottom w:val="none" w:sz="0" w:space="0" w:color="auto"/>
        <w:right w:val="none" w:sz="0" w:space="0" w:color="auto"/>
      </w:divBdr>
    </w:div>
    <w:div w:id="99034370">
      <w:bodyDiv w:val="1"/>
      <w:marLeft w:val="0"/>
      <w:marRight w:val="0"/>
      <w:marTop w:val="0"/>
      <w:marBottom w:val="0"/>
      <w:divBdr>
        <w:top w:val="none" w:sz="0" w:space="0" w:color="auto"/>
        <w:left w:val="none" w:sz="0" w:space="0" w:color="auto"/>
        <w:bottom w:val="none" w:sz="0" w:space="0" w:color="auto"/>
        <w:right w:val="none" w:sz="0" w:space="0" w:color="auto"/>
      </w:divBdr>
    </w:div>
    <w:div w:id="102261659">
      <w:bodyDiv w:val="1"/>
      <w:marLeft w:val="0"/>
      <w:marRight w:val="0"/>
      <w:marTop w:val="0"/>
      <w:marBottom w:val="0"/>
      <w:divBdr>
        <w:top w:val="none" w:sz="0" w:space="0" w:color="auto"/>
        <w:left w:val="none" w:sz="0" w:space="0" w:color="auto"/>
        <w:bottom w:val="none" w:sz="0" w:space="0" w:color="auto"/>
        <w:right w:val="none" w:sz="0" w:space="0" w:color="auto"/>
      </w:divBdr>
    </w:div>
    <w:div w:id="106511164">
      <w:bodyDiv w:val="1"/>
      <w:marLeft w:val="0"/>
      <w:marRight w:val="0"/>
      <w:marTop w:val="0"/>
      <w:marBottom w:val="0"/>
      <w:divBdr>
        <w:top w:val="none" w:sz="0" w:space="0" w:color="auto"/>
        <w:left w:val="none" w:sz="0" w:space="0" w:color="auto"/>
        <w:bottom w:val="none" w:sz="0" w:space="0" w:color="auto"/>
        <w:right w:val="none" w:sz="0" w:space="0" w:color="auto"/>
      </w:divBdr>
    </w:div>
    <w:div w:id="108010197">
      <w:bodyDiv w:val="1"/>
      <w:marLeft w:val="0"/>
      <w:marRight w:val="0"/>
      <w:marTop w:val="0"/>
      <w:marBottom w:val="0"/>
      <w:divBdr>
        <w:top w:val="none" w:sz="0" w:space="0" w:color="auto"/>
        <w:left w:val="none" w:sz="0" w:space="0" w:color="auto"/>
        <w:bottom w:val="none" w:sz="0" w:space="0" w:color="auto"/>
        <w:right w:val="none" w:sz="0" w:space="0" w:color="auto"/>
      </w:divBdr>
    </w:div>
    <w:div w:id="108666009">
      <w:bodyDiv w:val="1"/>
      <w:marLeft w:val="0"/>
      <w:marRight w:val="0"/>
      <w:marTop w:val="0"/>
      <w:marBottom w:val="0"/>
      <w:divBdr>
        <w:top w:val="none" w:sz="0" w:space="0" w:color="auto"/>
        <w:left w:val="none" w:sz="0" w:space="0" w:color="auto"/>
        <w:bottom w:val="none" w:sz="0" w:space="0" w:color="auto"/>
        <w:right w:val="none" w:sz="0" w:space="0" w:color="auto"/>
      </w:divBdr>
    </w:div>
    <w:div w:id="119226448">
      <w:bodyDiv w:val="1"/>
      <w:marLeft w:val="0"/>
      <w:marRight w:val="0"/>
      <w:marTop w:val="0"/>
      <w:marBottom w:val="0"/>
      <w:divBdr>
        <w:top w:val="none" w:sz="0" w:space="0" w:color="auto"/>
        <w:left w:val="none" w:sz="0" w:space="0" w:color="auto"/>
        <w:bottom w:val="none" w:sz="0" w:space="0" w:color="auto"/>
        <w:right w:val="none" w:sz="0" w:space="0" w:color="auto"/>
      </w:divBdr>
    </w:div>
    <w:div w:id="123548694">
      <w:bodyDiv w:val="1"/>
      <w:marLeft w:val="0"/>
      <w:marRight w:val="0"/>
      <w:marTop w:val="0"/>
      <w:marBottom w:val="0"/>
      <w:divBdr>
        <w:top w:val="none" w:sz="0" w:space="0" w:color="auto"/>
        <w:left w:val="none" w:sz="0" w:space="0" w:color="auto"/>
        <w:bottom w:val="none" w:sz="0" w:space="0" w:color="auto"/>
        <w:right w:val="none" w:sz="0" w:space="0" w:color="auto"/>
      </w:divBdr>
    </w:div>
    <w:div w:id="124783368">
      <w:bodyDiv w:val="1"/>
      <w:marLeft w:val="0"/>
      <w:marRight w:val="0"/>
      <w:marTop w:val="0"/>
      <w:marBottom w:val="0"/>
      <w:divBdr>
        <w:top w:val="none" w:sz="0" w:space="0" w:color="auto"/>
        <w:left w:val="none" w:sz="0" w:space="0" w:color="auto"/>
        <w:bottom w:val="none" w:sz="0" w:space="0" w:color="auto"/>
        <w:right w:val="none" w:sz="0" w:space="0" w:color="auto"/>
      </w:divBdr>
    </w:div>
    <w:div w:id="130680895">
      <w:bodyDiv w:val="1"/>
      <w:marLeft w:val="0"/>
      <w:marRight w:val="0"/>
      <w:marTop w:val="0"/>
      <w:marBottom w:val="0"/>
      <w:divBdr>
        <w:top w:val="none" w:sz="0" w:space="0" w:color="auto"/>
        <w:left w:val="none" w:sz="0" w:space="0" w:color="auto"/>
        <w:bottom w:val="none" w:sz="0" w:space="0" w:color="auto"/>
        <w:right w:val="none" w:sz="0" w:space="0" w:color="auto"/>
      </w:divBdr>
    </w:div>
    <w:div w:id="140781537">
      <w:bodyDiv w:val="1"/>
      <w:marLeft w:val="0"/>
      <w:marRight w:val="0"/>
      <w:marTop w:val="0"/>
      <w:marBottom w:val="0"/>
      <w:divBdr>
        <w:top w:val="none" w:sz="0" w:space="0" w:color="auto"/>
        <w:left w:val="none" w:sz="0" w:space="0" w:color="auto"/>
        <w:bottom w:val="none" w:sz="0" w:space="0" w:color="auto"/>
        <w:right w:val="none" w:sz="0" w:space="0" w:color="auto"/>
      </w:divBdr>
    </w:div>
    <w:div w:id="145515375">
      <w:bodyDiv w:val="1"/>
      <w:marLeft w:val="0"/>
      <w:marRight w:val="0"/>
      <w:marTop w:val="0"/>
      <w:marBottom w:val="0"/>
      <w:divBdr>
        <w:top w:val="none" w:sz="0" w:space="0" w:color="auto"/>
        <w:left w:val="none" w:sz="0" w:space="0" w:color="auto"/>
        <w:bottom w:val="none" w:sz="0" w:space="0" w:color="auto"/>
        <w:right w:val="none" w:sz="0" w:space="0" w:color="auto"/>
      </w:divBdr>
    </w:div>
    <w:div w:id="147678012">
      <w:bodyDiv w:val="1"/>
      <w:marLeft w:val="0"/>
      <w:marRight w:val="0"/>
      <w:marTop w:val="0"/>
      <w:marBottom w:val="0"/>
      <w:divBdr>
        <w:top w:val="none" w:sz="0" w:space="0" w:color="auto"/>
        <w:left w:val="none" w:sz="0" w:space="0" w:color="auto"/>
        <w:bottom w:val="none" w:sz="0" w:space="0" w:color="auto"/>
        <w:right w:val="none" w:sz="0" w:space="0" w:color="auto"/>
      </w:divBdr>
    </w:div>
    <w:div w:id="154806244">
      <w:bodyDiv w:val="1"/>
      <w:marLeft w:val="0"/>
      <w:marRight w:val="0"/>
      <w:marTop w:val="0"/>
      <w:marBottom w:val="0"/>
      <w:divBdr>
        <w:top w:val="none" w:sz="0" w:space="0" w:color="auto"/>
        <w:left w:val="none" w:sz="0" w:space="0" w:color="auto"/>
        <w:bottom w:val="none" w:sz="0" w:space="0" w:color="auto"/>
        <w:right w:val="none" w:sz="0" w:space="0" w:color="auto"/>
      </w:divBdr>
    </w:div>
    <w:div w:id="158548866">
      <w:bodyDiv w:val="1"/>
      <w:marLeft w:val="0"/>
      <w:marRight w:val="0"/>
      <w:marTop w:val="0"/>
      <w:marBottom w:val="0"/>
      <w:divBdr>
        <w:top w:val="none" w:sz="0" w:space="0" w:color="auto"/>
        <w:left w:val="none" w:sz="0" w:space="0" w:color="auto"/>
        <w:bottom w:val="none" w:sz="0" w:space="0" w:color="auto"/>
        <w:right w:val="none" w:sz="0" w:space="0" w:color="auto"/>
      </w:divBdr>
    </w:div>
    <w:div w:id="158733072">
      <w:bodyDiv w:val="1"/>
      <w:marLeft w:val="0"/>
      <w:marRight w:val="0"/>
      <w:marTop w:val="0"/>
      <w:marBottom w:val="0"/>
      <w:divBdr>
        <w:top w:val="none" w:sz="0" w:space="0" w:color="auto"/>
        <w:left w:val="none" w:sz="0" w:space="0" w:color="auto"/>
        <w:bottom w:val="none" w:sz="0" w:space="0" w:color="auto"/>
        <w:right w:val="none" w:sz="0" w:space="0" w:color="auto"/>
      </w:divBdr>
    </w:div>
    <w:div w:id="164129190">
      <w:bodyDiv w:val="1"/>
      <w:marLeft w:val="0"/>
      <w:marRight w:val="0"/>
      <w:marTop w:val="0"/>
      <w:marBottom w:val="0"/>
      <w:divBdr>
        <w:top w:val="none" w:sz="0" w:space="0" w:color="auto"/>
        <w:left w:val="none" w:sz="0" w:space="0" w:color="auto"/>
        <w:bottom w:val="none" w:sz="0" w:space="0" w:color="auto"/>
        <w:right w:val="none" w:sz="0" w:space="0" w:color="auto"/>
      </w:divBdr>
    </w:div>
    <w:div w:id="177893012">
      <w:bodyDiv w:val="1"/>
      <w:marLeft w:val="0"/>
      <w:marRight w:val="0"/>
      <w:marTop w:val="0"/>
      <w:marBottom w:val="0"/>
      <w:divBdr>
        <w:top w:val="none" w:sz="0" w:space="0" w:color="auto"/>
        <w:left w:val="none" w:sz="0" w:space="0" w:color="auto"/>
        <w:bottom w:val="none" w:sz="0" w:space="0" w:color="auto"/>
        <w:right w:val="none" w:sz="0" w:space="0" w:color="auto"/>
      </w:divBdr>
    </w:div>
    <w:div w:id="188447747">
      <w:bodyDiv w:val="1"/>
      <w:marLeft w:val="0"/>
      <w:marRight w:val="0"/>
      <w:marTop w:val="0"/>
      <w:marBottom w:val="0"/>
      <w:divBdr>
        <w:top w:val="none" w:sz="0" w:space="0" w:color="auto"/>
        <w:left w:val="none" w:sz="0" w:space="0" w:color="auto"/>
        <w:bottom w:val="none" w:sz="0" w:space="0" w:color="auto"/>
        <w:right w:val="none" w:sz="0" w:space="0" w:color="auto"/>
      </w:divBdr>
    </w:div>
    <w:div w:id="189221451">
      <w:bodyDiv w:val="1"/>
      <w:marLeft w:val="0"/>
      <w:marRight w:val="0"/>
      <w:marTop w:val="0"/>
      <w:marBottom w:val="0"/>
      <w:divBdr>
        <w:top w:val="none" w:sz="0" w:space="0" w:color="auto"/>
        <w:left w:val="none" w:sz="0" w:space="0" w:color="auto"/>
        <w:bottom w:val="none" w:sz="0" w:space="0" w:color="auto"/>
        <w:right w:val="none" w:sz="0" w:space="0" w:color="auto"/>
      </w:divBdr>
    </w:div>
    <w:div w:id="207570464">
      <w:bodyDiv w:val="1"/>
      <w:marLeft w:val="0"/>
      <w:marRight w:val="0"/>
      <w:marTop w:val="0"/>
      <w:marBottom w:val="0"/>
      <w:divBdr>
        <w:top w:val="none" w:sz="0" w:space="0" w:color="auto"/>
        <w:left w:val="none" w:sz="0" w:space="0" w:color="auto"/>
        <w:bottom w:val="none" w:sz="0" w:space="0" w:color="auto"/>
        <w:right w:val="none" w:sz="0" w:space="0" w:color="auto"/>
      </w:divBdr>
    </w:div>
    <w:div w:id="216480491">
      <w:bodyDiv w:val="1"/>
      <w:marLeft w:val="0"/>
      <w:marRight w:val="0"/>
      <w:marTop w:val="0"/>
      <w:marBottom w:val="0"/>
      <w:divBdr>
        <w:top w:val="none" w:sz="0" w:space="0" w:color="auto"/>
        <w:left w:val="none" w:sz="0" w:space="0" w:color="auto"/>
        <w:bottom w:val="none" w:sz="0" w:space="0" w:color="auto"/>
        <w:right w:val="none" w:sz="0" w:space="0" w:color="auto"/>
      </w:divBdr>
    </w:div>
    <w:div w:id="218783511">
      <w:bodyDiv w:val="1"/>
      <w:marLeft w:val="0"/>
      <w:marRight w:val="0"/>
      <w:marTop w:val="0"/>
      <w:marBottom w:val="0"/>
      <w:divBdr>
        <w:top w:val="none" w:sz="0" w:space="0" w:color="auto"/>
        <w:left w:val="none" w:sz="0" w:space="0" w:color="auto"/>
        <w:bottom w:val="none" w:sz="0" w:space="0" w:color="auto"/>
        <w:right w:val="none" w:sz="0" w:space="0" w:color="auto"/>
      </w:divBdr>
    </w:div>
    <w:div w:id="229123232">
      <w:bodyDiv w:val="1"/>
      <w:marLeft w:val="0"/>
      <w:marRight w:val="0"/>
      <w:marTop w:val="0"/>
      <w:marBottom w:val="0"/>
      <w:divBdr>
        <w:top w:val="none" w:sz="0" w:space="0" w:color="auto"/>
        <w:left w:val="none" w:sz="0" w:space="0" w:color="auto"/>
        <w:bottom w:val="none" w:sz="0" w:space="0" w:color="auto"/>
        <w:right w:val="none" w:sz="0" w:space="0" w:color="auto"/>
      </w:divBdr>
    </w:div>
    <w:div w:id="229967121">
      <w:bodyDiv w:val="1"/>
      <w:marLeft w:val="0"/>
      <w:marRight w:val="0"/>
      <w:marTop w:val="0"/>
      <w:marBottom w:val="0"/>
      <w:divBdr>
        <w:top w:val="none" w:sz="0" w:space="0" w:color="auto"/>
        <w:left w:val="none" w:sz="0" w:space="0" w:color="auto"/>
        <w:bottom w:val="none" w:sz="0" w:space="0" w:color="auto"/>
        <w:right w:val="none" w:sz="0" w:space="0" w:color="auto"/>
      </w:divBdr>
    </w:div>
    <w:div w:id="230967663">
      <w:bodyDiv w:val="1"/>
      <w:marLeft w:val="0"/>
      <w:marRight w:val="0"/>
      <w:marTop w:val="0"/>
      <w:marBottom w:val="0"/>
      <w:divBdr>
        <w:top w:val="none" w:sz="0" w:space="0" w:color="auto"/>
        <w:left w:val="none" w:sz="0" w:space="0" w:color="auto"/>
        <w:bottom w:val="none" w:sz="0" w:space="0" w:color="auto"/>
        <w:right w:val="none" w:sz="0" w:space="0" w:color="auto"/>
      </w:divBdr>
    </w:div>
    <w:div w:id="235022256">
      <w:bodyDiv w:val="1"/>
      <w:marLeft w:val="0"/>
      <w:marRight w:val="0"/>
      <w:marTop w:val="0"/>
      <w:marBottom w:val="0"/>
      <w:divBdr>
        <w:top w:val="none" w:sz="0" w:space="0" w:color="auto"/>
        <w:left w:val="none" w:sz="0" w:space="0" w:color="auto"/>
        <w:bottom w:val="none" w:sz="0" w:space="0" w:color="auto"/>
        <w:right w:val="none" w:sz="0" w:space="0" w:color="auto"/>
      </w:divBdr>
    </w:div>
    <w:div w:id="240916730">
      <w:bodyDiv w:val="1"/>
      <w:marLeft w:val="0"/>
      <w:marRight w:val="0"/>
      <w:marTop w:val="0"/>
      <w:marBottom w:val="0"/>
      <w:divBdr>
        <w:top w:val="none" w:sz="0" w:space="0" w:color="auto"/>
        <w:left w:val="none" w:sz="0" w:space="0" w:color="auto"/>
        <w:bottom w:val="none" w:sz="0" w:space="0" w:color="auto"/>
        <w:right w:val="none" w:sz="0" w:space="0" w:color="auto"/>
      </w:divBdr>
    </w:div>
    <w:div w:id="249508262">
      <w:bodyDiv w:val="1"/>
      <w:marLeft w:val="0"/>
      <w:marRight w:val="0"/>
      <w:marTop w:val="0"/>
      <w:marBottom w:val="0"/>
      <w:divBdr>
        <w:top w:val="none" w:sz="0" w:space="0" w:color="auto"/>
        <w:left w:val="none" w:sz="0" w:space="0" w:color="auto"/>
        <w:bottom w:val="none" w:sz="0" w:space="0" w:color="auto"/>
        <w:right w:val="none" w:sz="0" w:space="0" w:color="auto"/>
      </w:divBdr>
    </w:div>
    <w:div w:id="250772700">
      <w:bodyDiv w:val="1"/>
      <w:marLeft w:val="0"/>
      <w:marRight w:val="0"/>
      <w:marTop w:val="0"/>
      <w:marBottom w:val="0"/>
      <w:divBdr>
        <w:top w:val="none" w:sz="0" w:space="0" w:color="auto"/>
        <w:left w:val="none" w:sz="0" w:space="0" w:color="auto"/>
        <w:bottom w:val="none" w:sz="0" w:space="0" w:color="auto"/>
        <w:right w:val="none" w:sz="0" w:space="0" w:color="auto"/>
      </w:divBdr>
    </w:div>
    <w:div w:id="254171519">
      <w:bodyDiv w:val="1"/>
      <w:marLeft w:val="0"/>
      <w:marRight w:val="0"/>
      <w:marTop w:val="0"/>
      <w:marBottom w:val="0"/>
      <w:divBdr>
        <w:top w:val="none" w:sz="0" w:space="0" w:color="auto"/>
        <w:left w:val="none" w:sz="0" w:space="0" w:color="auto"/>
        <w:bottom w:val="none" w:sz="0" w:space="0" w:color="auto"/>
        <w:right w:val="none" w:sz="0" w:space="0" w:color="auto"/>
      </w:divBdr>
    </w:div>
    <w:div w:id="257565653">
      <w:bodyDiv w:val="1"/>
      <w:marLeft w:val="0"/>
      <w:marRight w:val="0"/>
      <w:marTop w:val="0"/>
      <w:marBottom w:val="0"/>
      <w:divBdr>
        <w:top w:val="none" w:sz="0" w:space="0" w:color="auto"/>
        <w:left w:val="none" w:sz="0" w:space="0" w:color="auto"/>
        <w:bottom w:val="none" w:sz="0" w:space="0" w:color="auto"/>
        <w:right w:val="none" w:sz="0" w:space="0" w:color="auto"/>
      </w:divBdr>
    </w:div>
    <w:div w:id="273907552">
      <w:bodyDiv w:val="1"/>
      <w:marLeft w:val="0"/>
      <w:marRight w:val="0"/>
      <w:marTop w:val="0"/>
      <w:marBottom w:val="0"/>
      <w:divBdr>
        <w:top w:val="none" w:sz="0" w:space="0" w:color="auto"/>
        <w:left w:val="none" w:sz="0" w:space="0" w:color="auto"/>
        <w:bottom w:val="none" w:sz="0" w:space="0" w:color="auto"/>
        <w:right w:val="none" w:sz="0" w:space="0" w:color="auto"/>
      </w:divBdr>
    </w:div>
    <w:div w:id="283461291">
      <w:bodyDiv w:val="1"/>
      <w:marLeft w:val="0"/>
      <w:marRight w:val="0"/>
      <w:marTop w:val="0"/>
      <w:marBottom w:val="0"/>
      <w:divBdr>
        <w:top w:val="none" w:sz="0" w:space="0" w:color="auto"/>
        <w:left w:val="none" w:sz="0" w:space="0" w:color="auto"/>
        <w:bottom w:val="none" w:sz="0" w:space="0" w:color="auto"/>
        <w:right w:val="none" w:sz="0" w:space="0" w:color="auto"/>
      </w:divBdr>
    </w:div>
    <w:div w:id="290747674">
      <w:bodyDiv w:val="1"/>
      <w:marLeft w:val="0"/>
      <w:marRight w:val="0"/>
      <w:marTop w:val="0"/>
      <w:marBottom w:val="0"/>
      <w:divBdr>
        <w:top w:val="none" w:sz="0" w:space="0" w:color="auto"/>
        <w:left w:val="none" w:sz="0" w:space="0" w:color="auto"/>
        <w:bottom w:val="none" w:sz="0" w:space="0" w:color="auto"/>
        <w:right w:val="none" w:sz="0" w:space="0" w:color="auto"/>
      </w:divBdr>
    </w:div>
    <w:div w:id="293101519">
      <w:bodyDiv w:val="1"/>
      <w:marLeft w:val="0"/>
      <w:marRight w:val="0"/>
      <w:marTop w:val="0"/>
      <w:marBottom w:val="0"/>
      <w:divBdr>
        <w:top w:val="none" w:sz="0" w:space="0" w:color="auto"/>
        <w:left w:val="none" w:sz="0" w:space="0" w:color="auto"/>
        <w:bottom w:val="none" w:sz="0" w:space="0" w:color="auto"/>
        <w:right w:val="none" w:sz="0" w:space="0" w:color="auto"/>
      </w:divBdr>
    </w:div>
    <w:div w:id="297032028">
      <w:bodyDiv w:val="1"/>
      <w:marLeft w:val="0"/>
      <w:marRight w:val="0"/>
      <w:marTop w:val="0"/>
      <w:marBottom w:val="0"/>
      <w:divBdr>
        <w:top w:val="none" w:sz="0" w:space="0" w:color="auto"/>
        <w:left w:val="none" w:sz="0" w:space="0" w:color="auto"/>
        <w:bottom w:val="none" w:sz="0" w:space="0" w:color="auto"/>
        <w:right w:val="none" w:sz="0" w:space="0" w:color="auto"/>
      </w:divBdr>
    </w:div>
    <w:div w:id="303586160">
      <w:bodyDiv w:val="1"/>
      <w:marLeft w:val="0"/>
      <w:marRight w:val="0"/>
      <w:marTop w:val="0"/>
      <w:marBottom w:val="0"/>
      <w:divBdr>
        <w:top w:val="none" w:sz="0" w:space="0" w:color="auto"/>
        <w:left w:val="none" w:sz="0" w:space="0" w:color="auto"/>
        <w:bottom w:val="none" w:sz="0" w:space="0" w:color="auto"/>
        <w:right w:val="none" w:sz="0" w:space="0" w:color="auto"/>
      </w:divBdr>
    </w:div>
    <w:div w:id="305936170">
      <w:bodyDiv w:val="1"/>
      <w:marLeft w:val="0"/>
      <w:marRight w:val="0"/>
      <w:marTop w:val="0"/>
      <w:marBottom w:val="0"/>
      <w:divBdr>
        <w:top w:val="none" w:sz="0" w:space="0" w:color="auto"/>
        <w:left w:val="none" w:sz="0" w:space="0" w:color="auto"/>
        <w:bottom w:val="none" w:sz="0" w:space="0" w:color="auto"/>
        <w:right w:val="none" w:sz="0" w:space="0" w:color="auto"/>
      </w:divBdr>
    </w:div>
    <w:div w:id="319504163">
      <w:bodyDiv w:val="1"/>
      <w:marLeft w:val="0"/>
      <w:marRight w:val="0"/>
      <w:marTop w:val="0"/>
      <w:marBottom w:val="0"/>
      <w:divBdr>
        <w:top w:val="none" w:sz="0" w:space="0" w:color="auto"/>
        <w:left w:val="none" w:sz="0" w:space="0" w:color="auto"/>
        <w:bottom w:val="none" w:sz="0" w:space="0" w:color="auto"/>
        <w:right w:val="none" w:sz="0" w:space="0" w:color="auto"/>
      </w:divBdr>
    </w:div>
    <w:div w:id="319816887">
      <w:bodyDiv w:val="1"/>
      <w:marLeft w:val="0"/>
      <w:marRight w:val="0"/>
      <w:marTop w:val="0"/>
      <w:marBottom w:val="0"/>
      <w:divBdr>
        <w:top w:val="none" w:sz="0" w:space="0" w:color="auto"/>
        <w:left w:val="none" w:sz="0" w:space="0" w:color="auto"/>
        <w:bottom w:val="none" w:sz="0" w:space="0" w:color="auto"/>
        <w:right w:val="none" w:sz="0" w:space="0" w:color="auto"/>
      </w:divBdr>
    </w:div>
    <w:div w:id="326834716">
      <w:bodyDiv w:val="1"/>
      <w:marLeft w:val="0"/>
      <w:marRight w:val="0"/>
      <w:marTop w:val="0"/>
      <w:marBottom w:val="0"/>
      <w:divBdr>
        <w:top w:val="none" w:sz="0" w:space="0" w:color="auto"/>
        <w:left w:val="none" w:sz="0" w:space="0" w:color="auto"/>
        <w:bottom w:val="none" w:sz="0" w:space="0" w:color="auto"/>
        <w:right w:val="none" w:sz="0" w:space="0" w:color="auto"/>
      </w:divBdr>
    </w:div>
    <w:div w:id="330375450">
      <w:bodyDiv w:val="1"/>
      <w:marLeft w:val="0"/>
      <w:marRight w:val="0"/>
      <w:marTop w:val="0"/>
      <w:marBottom w:val="0"/>
      <w:divBdr>
        <w:top w:val="none" w:sz="0" w:space="0" w:color="auto"/>
        <w:left w:val="none" w:sz="0" w:space="0" w:color="auto"/>
        <w:bottom w:val="none" w:sz="0" w:space="0" w:color="auto"/>
        <w:right w:val="none" w:sz="0" w:space="0" w:color="auto"/>
      </w:divBdr>
    </w:div>
    <w:div w:id="335424116">
      <w:bodyDiv w:val="1"/>
      <w:marLeft w:val="0"/>
      <w:marRight w:val="0"/>
      <w:marTop w:val="0"/>
      <w:marBottom w:val="0"/>
      <w:divBdr>
        <w:top w:val="none" w:sz="0" w:space="0" w:color="auto"/>
        <w:left w:val="none" w:sz="0" w:space="0" w:color="auto"/>
        <w:bottom w:val="none" w:sz="0" w:space="0" w:color="auto"/>
        <w:right w:val="none" w:sz="0" w:space="0" w:color="auto"/>
      </w:divBdr>
    </w:div>
    <w:div w:id="336998881">
      <w:bodyDiv w:val="1"/>
      <w:marLeft w:val="0"/>
      <w:marRight w:val="0"/>
      <w:marTop w:val="0"/>
      <w:marBottom w:val="0"/>
      <w:divBdr>
        <w:top w:val="none" w:sz="0" w:space="0" w:color="auto"/>
        <w:left w:val="none" w:sz="0" w:space="0" w:color="auto"/>
        <w:bottom w:val="none" w:sz="0" w:space="0" w:color="auto"/>
        <w:right w:val="none" w:sz="0" w:space="0" w:color="auto"/>
      </w:divBdr>
    </w:div>
    <w:div w:id="337389375">
      <w:bodyDiv w:val="1"/>
      <w:marLeft w:val="0"/>
      <w:marRight w:val="0"/>
      <w:marTop w:val="0"/>
      <w:marBottom w:val="0"/>
      <w:divBdr>
        <w:top w:val="none" w:sz="0" w:space="0" w:color="auto"/>
        <w:left w:val="none" w:sz="0" w:space="0" w:color="auto"/>
        <w:bottom w:val="none" w:sz="0" w:space="0" w:color="auto"/>
        <w:right w:val="none" w:sz="0" w:space="0" w:color="auto"/>
      </w:divBdr>
    </w:div>
    <w:div w:id="346296814">
      <w:bodyDiv w:val="1"/>
      <w:marLeft w:val="0"/>
      <w:marRight w:val="0"/>
      <w:marTop w:val="0"/>
      <w:marBottom w:val="0"/>
      <w:divBdr>
        <w:top w:val="none" w:sz="0" w:space="0" w:color="auto"/>
        <w:left w:val="none" w:sz="0" w:space="0" w:color="auto"/>
        <w:bottom w:val="none" w:sz="0" w:space="0" w:color="auto"/>
        <w:right w:val="none" w:sz="0" w:space="0" w:color="auto"/>
      </w:divBdr>
    </w:div>
    <w:div w:id="347684461">
      <w:bodyDiv w:val="1"/>
      <w:marLeft w:val="0"/>
      <w:marRight w:val="0"/>
      <w:marTop w:val="0"/>
      <w:marBottom w:val="0"/>
      <w:divBdr>
        <w:top w:val="none" w:sz="0" w:space="0" w:color="auto"/>
        <w:left w:val="none" w:sz="0" w:space="0" w:color="auto"/>
        <w:bottom w:val="none" w:sz="0" w:space="0" w:color="auto"/>
        <w:right w:val="none" w:sz="0" w:space="0" w:color="auto"/>
      </w:divBdr>
    </w:div>
    <w:div w:id="355086373">
      <w:bodyDiv w:val="1"/>
      <w:marLeft w:val="0"/>
      <w:marRight w:val="0"/>
      <w:marTop w:val="0"/>
      <w:marBottom w:val="0"/>
      <w:divBdr>
        <w:top w:val="none" w:sz="0" w:space="0" w:color="auto"/>
        <w:left w:val="none" w:sz="0" w:space="0" w:color="auto"/>
        <w:bottom w:val="none" w:sz="0" w:space="0" w:color="auto"/>
        <w:right w:val="none" w:sz="0" w:space="0" w:color="auto"/>
      </w:divBdr>
    </w:div>
    <w:div w:id="355350420">
      <w:bodyDiv w:val="1"/>
      <w:marLeft w:val="0"/>
      <w:marRight w:val="0"/>
      <w:marTop w:val="0"/>
      <w:marBottom w:val="0"/>
      <w:divBdr>
        <w:top w:val="none" w:sz="0" w:space="0" w:color="auto"/>
        <w:left w:val="none" w:sz="0" w:space="0" w:color="auto"/>
        <w:bottom w:val="none" w:sz="0" w:space="0" w:color="auto"/>
        <w:right w:val="none" w:sz="0" w:space="0" w:color="auto"/>
      </w:divBdr>
    </w:div>
    <w:div w:id="358360148">
      <w:bodyDiv w:val="1"/>
      <w:marLeft w:val="0"/>
      <w:marRight w:val="0"/>
      <w:marTop w:val="0"/>
      <w:marBottom w:val="0"/>
      <w:divBdr>
        <w:top w:val="none" w:sz="0" w:space="0" w:color="auto"/>
        <w:left w:val="none" w:sz="0" w:space="0" w:color="auto"/>
        <w:bottom w:val="none" w:sz="0" w:space="0" w:color="auto"/>
        <w:right w:val="none" w:sz="0" w:space="0" w:color="auto"/>
      </w:divBdr>
    </w:div>
    <w:div w:id="364722675">
      <w:bodyDiv w:val="1"/>
      <w:marLeft w:val="0"/>
      <w:marRight w:val="0"/>
      <w:marTop w:val="0"/>
      <w:marBottom w:val="0"/>
      <w:divBdr>
        <w:top w:val="none" w:sz="0" w:space="0" w:color="auto"/>
        <w:left w:val="none" w:sz="0" w:space="0" w:color="auto"/>
        <w:bottom w:val="none" w:sz="0" w:space="0" w:color="auto"/>
        <w:right w:val="none" w:sz="0" w:space="0" w:color="auto"/>
      </w:divBdr>
    </w:div>
    <w:div w:id="364908173">
      <w:bodyDiv w:val="1"/>
      <w:marLeft w:val="0"/>
      <w:marRight w:val="0"/>
      <w:marTop w:val="0"/>
      <w:marBottom w:val="0"/>
      <w:divBdr>
        <w:top w:val="none" w:sz="0" w:space="0" w:color="auto"/>
        <w:left w:val="none" w:sz="0" w:space="0" w:color="auto"/>
        <w:bottom w:val="none" w:sz="0" w:space="0" w:color="auto"/>
        <w:right w:val="none" w:sz="0" w:space="0" w:color="auto"/>
      </w:divBdr>
    </w:div>
    <w:div w:id="367294601">
      <w:bodyDiv w:val="1"/>
      <w:marLeft w:val="0"/>
      <w:marRight w:val="0"/>
      <w:marTop w:val="0"/>
      <w:marBottom w:val="0"/>
      <w:divBdr>
        <w:top w:val="none" w:sz="0" w:space="0" w:color="auto"/>
        <w:left w:val="none" w:sz="0" w:space="0" w:color="auto"/>
        <w:bottom w:val="none" w:sz="0" w:space="0" w:color="auto"/>
        <w:right w:val="none" w:sz="0" w:space="0" w:color="auto"/>
      </w:divBdr>
    </w:div>
    <w:div w:id="374504936">
      <w:bodyDiv w:val="1"/>
      <w:marLeft w:val="0"/>
      <w:marRight w:val="0"/>
      <w:marTop w:val="0"/>
      <w:marBottom w:val="0"/>
      <w:divBdr>
        <w:top w:val="none" w:sz="0" w:space="0" w:color="auto"/>
        <w:left w:val="none" w:sz="0" w:space="0" w:color="auto"/>
        <w:bottom w:val="none" w:sz="0" w:space="0" w:color="auto"/>
        <w:right w:val="none" w:sz="0" w:space="0" w:color="auto"/>
      </w:divBdr>
    </w:div>
    <w:div w:id="375737814">
      <w:bodyDiv w:val="1"/>
      <w:marLeft w:val="0"/>
      <w:marRight w:val="0"/>
      <w:marTop w:val="0"/>
      <w:marBottom w:val="0"/>
      <w:divBdr>
        <w:top w:val="none" w:sz="0" w:space="0" w:color="auto"/>
        <w:left w:val="none" w:sz="0" w:space="0" w:color="auto"/>
        <w:bottom w:val="none" w:sz="0" w:space="0" w:color="auto"/>
        <w:right w:val="none" w:sz="0" w:space="0" w:color="auto"/>
      </w:divBdr>
    </w:div>
    <w:div w:id="382145325">
      <w:bodyDiv w:val="1"/>
      <w:marLeft w:val="0"/>
      <w:marRight w:val="0"/>
      <w:marTop w:val="0"/>
      <w:marBottom w:val="0"/>
      <w:divBdr>
        <w:top w:val="none" w:sz="0" w:space="0" w:color="auto"/>
        <w:left w:val="none" w:sz="0" w:space="0" w:color="auto"/>
        <w:bottom w:val="none" w:sz="0" w:space="0" w:color="auto"/>
        <w:right w:val="none" w:sz="0" w:space="0" w:color="auto"/>
      </w:divBdr>
    </w:div>
    <w:div w:id="385028698">
      <w:bodyDiv w:val="1"/>
      <w:marLeft w:val="0"/>
      <w:marRight w:val="0"/>
      <w:marTop w:val="0"/>
      <w:marBottom w:val="0"/>
      <w:divBdr>
        <w:top w:val="none" w:sz="0" w:space="0" w:color="auto"/>
        <w:left w:val="none" w:sz="0" w:space="0" w:color="auto"/>
        <w:bottom w:val="none" w:sz="0" w:space="0" w:color="auto"/>
        <w:right w:val="none" w:sz="0" w:space="0" w:color="auto"/>
      </w:divBdr>
    </w:div>
    <w:div w:id="388917691">
      <w:bodyDiv w:val="1"/>
      <w:marLeft w:val="0"/>
      <w:marRight w:val="0"/>
      <w:marTop w:val="0"/>
      <w:marBottom w:val="0"/>
      <w:divBdr>
        <w:top w:val="none" w:sz="0" w:space="0" w:color="auto"/>
        <w:left w:val="none" w:sz="0" w:space="0" w:color="auto"/>
        <w:bottom w:val="none" w:sz="0" w:space="0" w:color="auto"/>
        <w:right w:val="none" w:sz="0" w:space="0" w:color="auto"/>
      </w:divBdr>
    </w:div>
    <w:div w:id="392702584">
      <w:bodyDiv w:val="1"/>
      <w:marLeft w:val="0"/>
      <w:marRight w:val="0"/>
      <w:marTop w:val="0"/>
      <w:marBottom w:val="0"/>
      <w:divBdr>
        <w:top w:val="none" w:sz="0" w:space="0" w:color="auto"/>
        <w:left w:val="none" w:sz="0" w:space="0" w:color="auto"/>
        <w:bottom w:val="none" w:sz="0" w:space="0" w:color="auto"/>
        <w:right w:val="none" w:sz="0" w:space="0" w:color="auto"/>
      </w:divBdr>
    </w:div>
    <w:div w:id="397754428">
      <w:bodyDiv w:val="1"/>
      <w:marLeft w:val="0"/>
      <w:marRight w:val="0"/>
      <w:marTop w:val="0"/>
      <w:marBottom w:val="0"/>
      <w:divBdr>
        <w:top w:val="none" w:sz="0" w:space="0" w:color="auto"/>
        <w:left w:val="none" w:sz="0" w:space="0" w:color="auto"/>
        <w:bottom w:val="none" w:sz="0" w:space="0" w:color="auto"/>
        <w:right w:val="none" w:sz="0" w:space="0" w:color="auto"/>
      </w:divBdr>
    </w:div>
    <w:div w:id="399713495">
      <w:bodyDiv w:val="1"/>
      <w:marLeft w:val="0"/>
      <w:marRight w:val="0"/>
      <w:marTop w:val="0"/>
      <w:marBottom w:val="0"/>
      <w:divBdr>
        <w:top w:val="none" w:sz="0" w:space="0" w:color="auto"/>
        <w:left w:val="none" w:sz="0" w:space="0" w:color="auto"/>
        <w:bottom w:val="none" w:sz="0" w:space="0" w:color="auto"/>
        <w:right w:val="none" w:sz="0" w:space="0" w:color="auto"/>
      </w:divBdr>
    </w:div>
    <w:div w:id="403374957">
      <w:bodyDiv w:val="1"/>
      <w:marLeft w:val="0"/>
      <w:marRight w:val="0"/>
      <w:marTop w:val="0"/>
      <w:marBottom w:val="0"/>
      <w:divBdr>
        <w:top w:val="none" w:sz="0" w:space="0" w:color="auto"/>
        <w:left w:val="none" w:sz="0" w:space="0" w:color="auto"/>
        <w:bottom w:val="none" w:sz="0" w:space="0" w:color="auto"/>
        <w:right w:val="none" w:sz="0" w:space="0" w:color="auto"/>
      </w:divBdr>
    </w:div>
    <w:div w:id="406921719">
      <w:bodyDiv w:val="1"/>
      <w:marLeft w:val="0"/>
      <w:marRight w:val="0"/>
      <w:marTop w:val="0"/>
      <w:marBottom w:val="0"/>
      <w:divBdr>
        <w:top w:val="none" w:sz="0" w:space="0" w:color="auto"/>
        <w:left w:val="none" w:sz="0" w:space="0" w:color="auto"/>
        <w:bottom w:val="none" w:sz="0" w:space="0" w:color="auto"/>
        <w:right w:val="none" w:sz="0" w:space="0" w:color="auto"/>
      </w:divBdr>
    </w:div>
    <w:div w:id="416826440">
      <w:bodyDiv w:val="1"/>
      <w:marLeft w:val="0"/>
      <w:marRight w:val="0"/>
      <w:marTop w:val="0"/>
      <w:marBottom w:val="0"/>
      <w:divBdr>
        <w:top w:val="none" w:sz="0" w:space="0" w:color="auto"/>
        <w:left w:val="none" w:sz="0" w:space="0" w:color="auto"/>
        <w:bottom w:val="none" w:sz="0" w:space="0" w:color="auto"/>
        <w:right w:val="none" w:sz="0" w:space="0" w:color="auto"/>
      </w:divBdr>
    </w:div>
    <w:div w:id="424812601">
      <w:bodyDiv w:val="1"/>
      <w:marLeft w:val="0"/>
      <w:marRight w:val="0"/>
      <w:marTop w:val="0"/>
      <w:marBottom w:val="0"/>
      <w:divBdr>
        <w:top w:val="none" w:sz="0" w:space="0" w:color="auto"/>
        <w:left w:val="none" w:sz="0" w:space="0" w:color="auto"/>
        <w:bottom w:val="none" w:sz="0" w:space="0" w:color="auto"/>
        <w:right w:val="none" w:sz="0" w:space="0" w:color="auto"/>
      </w:divBdr>
    </w:div>
    <w:div w:id="425229527">
      <w:bodyDiv w:val="1"/>
      <w:marLeft w:val="0"/>
      <w:marRight w:val="0"/>
      <w:marTop w:val="0"/>
      <w:marBottom w:val="0"/>
      <w:divBdr>
        <w:top w:val="none" w:sz="0" w:space="0" w:color="auto"/>
        <w:left w:val="none" w:sz="0" w:space="0" w:color="auto"/>
        <w:bottom w:val="none" w:sz="0" w:space="0" w:color="auto"/>
        <w:right w:val="none" w:sz="0" w:space="0" w:color="auto"/>
      </w:divBdr>
    </w:div>
    <w:div w:id="432017005">
      <w:bodyDiv w:val="1"/>
      <w:marLeft w:val="0"/>
      <w:marRight w:val="0"/>
      <w:marTop w:val="0"/>
      <w:marBottom w:val="0"/>
      <w:divBdr>
        <w:top w:val="none" w:sz="0" w:space="0" w:color="auto"/>
        <w:left w:val="none" w:sz="0" w:space="0" w:color="auto"/>
        <w:bottom w:val="none" w:sz="0" w:space="0" w:color="auto"/>
        <w:right w:val="none" w:sz="0" w:space="0" w:color="auto"/>
      </w:divBdr>
    </w:div>
    <w:div w:id="436222539">
      <w:bodyDiv w:val="1"/>
      <w:marLeft w:val="0"/>
      <w:marRight w:val="0"/>
      <w:marTop w:val="0"/>
      <w:marBottom w:val="0"/>
      <w:divBdr>
        <w:top w:val="none" w:sz="0" w:space="0" w:color="auto"/>
        <w:left w:val="none" w:sz="0" w:space="0" w:color="auto"/>
        <w:bottom w:val="none" w:sz="0" w:space="0" w:color="auto"/>
        <w:right w:val="none" w:sz="0" w:space="0" w:color="auto"/>
      </w:divBdr>
    </w:div>
    <w:div w:id="436410649">
      <w:bodyDiv w:val="1"/>
      <w:marLeft w:val="0"/>
      <w:marRight w:val="0"/>
      <w:marTop w:val="0"/>
      <w:marBottom w:val="0"/>
      <w:divBdr>
        <w:top w:val="none" w:sz="0" w:space="0" w:color="auto"/>
        <w:left w:val="none" w:sz="0" w:space="0" w:color="auto"/>
        <w:bottom w:val="none" w:sz="0" w:space="0" w:color="auto"/>
        <w:right w:val="none" w:sz="0" w:space="0" w:color="auto"/>
      </w:divBdr>
    </w:div>
    <w:div w:id="440759538">
      <w:bodyDiv w:val="1"/>
      <w:marLeft w:val="0"/>
      <w:marRight w:val="0"/>
      <w:marTop w:val="0"/>
      <w:marBottom w:val="0"/>
      <w:divBdr>
        <w:top w:val="none" w:sz="0" w:space="0" w:color="auto"/>
        <w:left w:val="none" w:sz="0" w:space="0" w:color="auto"/>
        <w:bottom w:val="none" w:sz="0" w:space="0" w:color="auto"/>
        <w:right w:val="none" w:sz="0" w:space="0" w:color="auto"/>
      </w:divBdr>
    </w:div>
    <w:div w:id="448669101">
      <w:bodyDiv w:val="1"/>
      <w:marLeft w:val="0"/>
      <w:marRight w:val="0"/>
      <w:marTop w:val="0"/>
      <w:marBottom w:val="0"/>
      <w:divBdr>
        <w:top w:val="none" w:sz="0" w:space="0" w:color="auto"/>
        <w:left w:val="none" w:sz="0" w:space="0" w:color="auto"/>
        <w:bottom w:val="none" w:sz="0" w:space="0" w:color="auto"/>
        <w:right w:val="none" w:sz="0" w:space="0" w:color="auto"/>
      </w:divBdr>
    </w:div>
    <w:div w:id="451678701">
      <w:bodyDiv w:val="1"/>
      <w:marLeft w:val="0"/>
      <w:marRight w:val="0"/>
      <w:marTop w:val="0"/>
      <w:marBottom w:val="0"/>
      <w:divBdr>
        <w:top w:val="none" w:sz="0" w:space="0" w:color="auto"/>
        <w:left w:val="none" w:sz="0" w:space="0" w:color="auto"/>
        <w:bottom w:val="none" w:sz="0" w:space="0" w:color="auto"/>
        <w:right w:val="none" w:sz="0" w:space="0" w:color="auto"/>
      </w:divBdr>
    </w:div>
    <w:div w:id="451828644">
      <w:bodyDiv w:val="1"/>
      <w:marLeft w:val="0"/>
      <w:marRight w:val="0"/>
      <w:marTop w:val="0"/>
      <w:marBottom w:val="0"/>
      <w:divBdr>
        <w:top w:val="none" w:sz="0" w:space="0" w:color="auto"/>
        <w:left w:val="none" w:sz="0" w:space="0" w:color="auto"/>
        <w:bottom w:val="none" w:sz="0" w:space="0" w:color="auto"/>
        <w:right w:val="none" w:sz="0" w:space="0" w:color="auto"/>
      </w:divBdr>
    </w:div>
    <w:div w:id="452987664">
      <w:bodyDiv w:val="1"/>
      <w:marLeft w:val="0"/>
      <w:marRight w:val="0"/>
      <w:marTop w:val="0"/>
      <w:marBottom w:val="0"/>
      <w:divBdr>
        <w:top w:val="none" w:sz="0" w:space="0" w:color="auto"/>
        <w:left w:val="none" w:sz="0" w:space="0" w:color="auto"/>
        <w:bottom w:val="none" w:sz="0" w:space="0" w:color="auto"/>
        <w:right w:val="none" w:sz="0" w:space="0" w:color="auto"/>
      </w:divBdr>
    </w:div>
    <w:div w:id="453988650">
      <w:bodyDiv w:val="1"/>
      <w:marLeft w:val="0"/>
      <w:marRight w:val="0"/>
      <w:marTop w:val="0"/>
      <w:marBottom w:val="0"/>
      <w:divBdr>
        <w:top w:val="none" w:sz="0" w:space="0" w:color="auto"/>
        <w:left w:val="none" w:sz="0" w:space="0" w:color="auto"/>
        <w:bottom w:val="none" w:sz="0" w:space="0" w:color="auto"/>
        <w:right w:val="none" w:sz="0" w:space="0" w:color="auto"/>
      </w:divBdr>
    </w:div>
    <w:div w:id="454254947">
      <w:bodyDiv w:val="1"/>
      <w:marLeft w:val="0"/>
      <w:marRight w:val="0"/>
      <w:marTop w:val="0"/>
      <w:marBottom w:val="0"/>
      <w:divBdr>
        <w:top w:val="none" w:sz="0" w:space="0" w:color="auto"/>
        <w:left w:val="none" w:sz="0" w:space="0" w:color="auto"/>
        <w:bottom w:val="none" w:sz="0" w:space="0" w:color="auto"/>
        <w:right w:val="none" w:sz="0" w:space="0" w:color="auto"/>
      </w:divBdr>
    </w:div>
    <w:div w:id="460810075">
      <w:bodyDiv w:val="1"/>
      <w:marLeft w:val="0"/>
      <w:marRight w:val="0"/>
      <w:marTop w:val="0"/>
      <w:marBottom w:val="0"/>
      <w:divBdr>
        <w:top w:val="none" w:sz="0" w:space="0" w:color="auto"/>
        <w:left w:val="none" w:sz="0" w:space="0" w:color="auto"/>
        <w:bottom w:val="none" w:sz="0" w:space="0" w:color="auto"/>
        <w:right w:val="none" w:sz="0" w:space="0" w:color="auto"/>
      </w:divBdr>
    </w:div>
    <w:div w:id="470365896">
      <w:bodyDiv w:val="1"/>
      <w:marLeft w:val="0"/>
      <w:marRight w:val="0"/>
      <w:marTop w:val="0"/>
      <w:marBottom w:val="0"/>
      <w:divBdr>
        <w:top w:val="none" w:sz="0" w:space="0" w:color="auto"/>
        <w:left w:val="none" w:sz="0" w:space="0" w:color="auto"/>
        <w:bottom w:val="none" w:sz="0" w:space="0" w:color="auto"/>
        <w:right w:val="none" w:sz="0" w:space="0" w:color="auto"/>
      </w:divBdr>
    </w:div>
    <w:div w:id="473259842">
      <w:bodyDiv w:val="1"/>
      <w:marLeft w:val="0"/>
      <w:marRight w:val="0"/>
      <w:marTop w:val="0"/>
      <w:marBottom w:val="0"/>
      <w:divBdr>
        <w:top w:val="none" w:sz="0" w:space="0" w:color="auto"/>
        <w:left w:val="none" w:sz="0" w:space="0" w:color="auto"/>
        <w:bottom w:val="none" w:sz="0" w:space="0" w:color="auto"/>
        <w:right w:val="none" w:sz="0" w:space="0" w:color="auto"/>
      </w:divBdr>
      <w:divsChild>
        <w:div w:id="412896442">
          <w:marLeft w:val="0"/>
          <w:marRight w:val="0"/>
          <w:marTop w:val="0"/>
          <w:marBottom w:val="0"/>
          <w:divBdr>
            <w:top w:val="none" w:sz="0" w:space="0" w:color="auto"/>
            <w:left w:val="none" w:sz="0" w:space="0" w:color="auto"/>
            <w:bottom w:val="none" w:sz="0" w:space="0" w:color="auto"/>
            <w:right w:val="none" w:sz="0" w:space="0" w:color="auto"/>
          </w:divBdr>
        </w:div>
        <w:div w:id="501554287">
          <w:marLeft w:val="0"/>
          <w:marRight w:val="0"/>
          <w:marTop w:val="0"/>
          <w:marBottom w:val="0"/>
          <w:divBdr>
            <w:top w:val="none" w:sz="0" w:space="0" w:color="auto"/>
            <w:left w:val="none" w:sz="0" w:space="0" w:color="auto"/>
            <w:bottom w:val="none" w:sz="0" w:space="0" w:color="auto"/>
            <w:right w:val="none" w:sz="0" w:space="0" w:color="auto"/>
          </w:divBdr>
        </w:div>
        <w:div w:id="1119565058">
          <w:marLeft w:val="0"/>
          <w:marRight w:val="0"/>
          <w:marTop w:val="0"/>
          <w:marBottom w:val="0"/>
          <w:divBdr>
            <w:top w:val="none" w:sz="0" w:space="0" w:color="auto"/>
            <w:left w:val="none" w:sz="0" w:space="0" w:color="auto"/>
            <w:bottom w:val="none" w:sz="0" w:space="0" w:color="auto"/>
            <w:right w:val="none" w:sz="0" w:space="0" w:color="auto"/>
          </w:divBdr>
        </w:div>
        <w:div w:id="1508835337">
          <w:marLeft w:val="0"/>
          <w:marRight w:val="0"/>
          <w:marTop w:val="0"/>
          <w:marBottom w:val="0"/>
          <w:divBdr>
            <w:top w:val="none" w:sz="0" w:space="0" w:color="auto"/>
            <w:left w:val="none" w:sz="0" w:space="0" w:color="auto"/>
            <w:bottom w:val="none" w:sz="0" w:space="0" w:color="auto"/>
            <w:right w:val="none" w:sz="0" w:space="0" w:color="auto"/>
          </w:divBdr>
        </w:div>
        <w:div w:id="1633436157">
          <w:marLeft w:val="0"/>
          <w:marRight w:val="0"/>
          <w:marTop w:val="0"/>
          <w:marBottom w:val="0"/>
          <w:divBdr>
            <w:top w:val="none" w:sz="0" w:space="0" w:color="auto"/>
            <w:left w:val="none" w:sz="0" w:space="0" w:color="auto"/>
            <w:bottom w:val="none" w:sz="0" w:space="0" w:color="auto"/>
            <w:right w:val="none" w:sz="0" w:space="0" w:color="auto"/>
          </w:divBdr>
        </w:div>
      </w:divsChild>
    </w:div>
    <w:div w:id="477772635">
      <w:bodyDiv w:val="1"/>
      <w:marLeft w:val="0"/>
      <w:marRight w:val="0"/>
      <w:marTop w:val="0"/>
      <w:marBottom w:val="0"/>
      <w:divBdr>
        <w:top w:val="none" w:sz="0" w:space="0" w:color="auto"/>
        <w:left w:val="none" w:sz="0" w:space="0" w:color="auto"/>
        <w:bottom w:val="none" w:sz="0" w:space="0" w:color="auto"/>
        <w:right w:val="none" w:sz="0" w:space="0" w:color="auto"/>
      </w:divBdr>
    </w:div>
    <w:div w:id="480078895">
      <w:bodyDiv w:val="1"/>
      <w:marLeft w:val="0"/>
      <w:marRight w:val="0"/>
      <w:marTop w:val="0"/>
      <w:marBottom w:val="0"/>
      <w:divBdr>
        <w:top w:val="none" w:sz="0" w:space="0" w:color="auto"/>
        <w:left w:val="none" w:sz="0" w:space="0" w:color="auto"/>
        <w:bottom w:val="none" w:sz="0" w:space="0" w:color="auto"/>
        <w:right w:val="none" w:sz="0" w:space="0" w:color="auto"/>
      </w:divBdr>
    </w:div>
    <w:div w:id="481967998">
      <w:bodyDiv w:val="1"/>
      <w:marLeft w:val="0"/>
      <w:marRight w:val="0"/>
      <w:marTop w:val="0"/>
      <w:marBottom w:val="0"/>
      <w:divBdr>
        <w:top w:val="none" w:sz="0" w:space="0" w:color="auto"/>
        <w:left w:val="none" w:sz="0" w:space="0" w:color="auto"/>
        <w:bottom w:val="none" w:sz="0" w:space="0" w:color="auto"/>
        <w:right w:val="none" w:sz="0" w:space="0" w:color="auto"/>
      </w:divBdr>
    </w:div>
    <w:div w:id="489905164">
      <w:bodyDiv w:val="1"/>
      <w:marLeft w:val="0"/>
      <w:marRight w:val="0"/>
      <w:marTop w:val="0"/>
      <w:marBottom w:val="0"/>
      <w:divBdr>
        <w:top w:val="none" w:sz="0" w:space="0" w:color="auto"/>
        <w:left w:val="none" w:sz="0" w:space="0" w:color="auto"/>
        <w:bottom w:val="none" w:sz="0" w:space="0" w:color="auto"/>
        <w:right w:val="none" w:sz="0" w:space="0" w:color="auto"/>
      </w:divBdr>
    </w:div>
    <w:div w:id="495269099">
      <w:bodyDiv w:val="1"/>
      <w:marLeft w:val="0"/>
      <w:marRight w:val="0"/>
      <w:marTop w:val="0"/>
      <w:marBottom w:val="0"/>
      <w:divBdr>
        <w:top w:val="none" w:sz="0" w:space="0" w:color="auto"/>
        <w:left w:val="none" w:sz="0" w:space="0" w:color="auto"/>
        <w:bottom w:val="none" w:sz="0" w:space="0" w:color="auto"/>
        <w:right w:val="none" w:sz="0" w:space="0" w:color="auto"/>
      </w:divBdr>
    </w:div>
    <w:div w:id="495732680">
      <w:bodyDiv w:val="1"/>
      <w:marLeft w:val="0"/>
      <w:marRight w:val="0"/>
      <w:marTop w:val="0"/>
      <w:marBottom w:val="0"/>
      <w:divBdr>
        <w:top w:val="none" w:sz="0" w:space="0" w:color="auto"/>
        <w:left w:val="none" w:sz="0" w:space="0" w:color="auto"/>
        <w:bottom w:val="none" w:sz="0" w:space="0" w:color="auto"/>
        <w:right w:val="none" w:sz="0" w:space="0" w:color="auto"/>
      </w:divBdr>
    </w:div>
    <w:div w:id="498279901">
      <w:bodyDiv w:val="1"/>
      <w:marLeft w:val="0"/>
      <w:marRight w:val="0"/>
      <w:marTop w:val="0"/>
      <w:marBottom w:val="0"/>
      <w:divBdr>
        <w:top w:val="none" w:sz="0" w:space="0" w:color="auto"/>
        <w:left w:val="none" w:sz="0" w:space="0" w:color="auto"/>
        <w:bottom w:val="none" w:sz="0" w:space="0" w:color="auto"/>
        <w:right w:val="none" w:sz="0" w:space="0" w:color="auto"/>
      </w:divBdr>
    </w:div>
    <w:div w:id="501438255">
      <w:bodyDiv w:val="1"/>
      <w:marLeft w:val="0"/>
      <w:marRight w:val="0"/>
      <w:marTop w:val="0"/>
      <w:marBottom w:val="0"/>
      <w:divBdr>
        <w:top w:val="none" w:sz="0" w:space="0" w:color="auto"/>
        <w:left w:val="none" w:sz="0" w:space="0" w:color="auto"/>
        <w:bottom w:val="none" w:sz="0" w:space="0" w:color="auto"/>
        <w:right w:val="none" w:sz="0" w:space="0" w:color="auto"/>
      </w:divBdr>
    </w:div>
    <w:div w:id="501701223">
      <w:bodyDiv w:val="1"/>
      <w:marLeft w:val="0"/>
      <w:marRight w:val="0"/>
      <w:marTop w:val="0"/>
      <w:marBottom w:val="0"/>
      <w:divBdr>
        <w:top w:val="none" w:sz="0" w:space="0" w:color="auto"/>
        <w:left w:val="none" w:sz="0" w:space="0" w:color="auto"/>
        <w:bottom w:val="none" w:sz="0" w:space="0" w:color="auto"/>
        <w:right w:val="none" w:sz="0" w:space="0" w:color="auto"/>
      </w:divBdr>
    </w:div>
    <w:div w:id="506362450">
      <w:bodyDiv w:val="1"/>
      <w:marLeft w:val="0"/>
      <w:marRight w:val="0"/>
      <w:marTop w:val="0"/>
      <w:marBottom w:val="0"/>
      <w:divBdr>
        <w:top w:val="none" w:sz="0" w:space="0" w:color="auto"/>
        <w:left w:val="none" w:sz="0" w:space="0" w:color="auto"/>
        <w:bottom w:val="none" w:sz="0" w:space="0" w:color="auto"/>
        <w:right w:val="none" w:sz="0" w:space="0" w:color="auto"/>
      </w:divBdr>
    </w:div>
    <w:div w:id="510411823">
      <w:bodyDiv w:val="1"/>
      <w:marLeft w:val="0"/>
      <w:marRight w:val="0"/>
      <w:marTop w:val="0"/>
      <w:marBottom w:val="0"/>
      <w:divBdr>
        <w:top w:val="none" w:sz="0" w:space="0" w:color="auto"/>
        <w:left w:val="none" w:sz="0" w:space="0" w:color="auto"/>
        <w:bottom w:val="none" w:sz="0" w:space="0" w:color="auto"/>
        <w:right w:val="none" w:sz="0" w:space="0" w:color="auto"/>
      </w:divBdr>
    </w:div>
    <w:div w:id="511798862">
      <w:bodyDiv w:val="1"/>
      <w:marLeft w:val="0"/>
      <w:marRight w:val="0"/>
      <w:marTop w:val="0"/>
      <w:marBottom w:val="0"/>
      <w:divBdr>
        <w:top w:val="none" w:sz="0" w:space="0" w:color="auto"/>
        <w:left w:val="none" w:sz="0" w:space="0" w:color="auto"/>
        <w:bottom w:val="none" w:sz="0" w:space="0" w:color="auto"/>
        <w:right w:val="none" w:sz="0" w:space="0" w:color="auto"/>
      </w:divBdr>
    </w:div>
    <w:div w:id="519514403">
      <w:bodyDiv w:val="1"/>
      <w:marLeft w:val="0"/>
      <w:marRight w:val="0"/>
      <w:marTop w:val="0"/>
      <w:marBottom w:val="0"/>
      <w:divBdr>
        <w:top w:val="none" w:sz="0" w:space="0" w:color="auto"/>
        <w:left w:val="none" w:sz="0" w:space="0" w:color="auto"/>
        <w:bottom w:val="none" w:sz="0" w:space="0" w:color="auto"/>
        <w:right w:val="none" w:sz="0" w:space="0" w:color="auto"/>
      </w:divBdr>
    </w:div>
    <w:div w:id="530998527">
      <w:bodyDiv w:val="1"/>
      <w:marLeft w:val="0"/>
      <w:marRight w:val="0"/>
      <w:marTop w:val="0"/>
      <w:marBottom w:val="0"/>
      <w:divBdr>
        <w:top w:val="none" w:sz="0" w:space="0" w:color="auto"/>
        <w:left w:val="none" w:sz="0" w:space="0" w:color="auto"/>
        <w:bottom w:val="none" w:sz="0" w:space="0" w:color="auto"/>
        <w:right w:val="none" w:sz="0" w:space="0" w:color="auto"/>
      </w:divBdr>
    </w:div>
    <w:div w:id="531193067">
      <w:bodyDiv w:val="1"/>
      <w:marLeft w:val="0"/>
      <w:marRight w:val="0"/>
      <w:marTop w:val="0"/>
      <w:marBottom w:val="0"/>
      <w:divBdr>
        <w:top w:val="none" w:sz="0" w:space="0" w:color="auto"/>
        <w:left w:val="none" w:sz="0" w:space="0" w:color="auto"/>
        <w:bottom w:val="none" w:sz="0" w:space="0" w:color="auto"/>
        <w:right w:val="none" w:sz="0" w:space="0" w:color="auto"/>
      </w:divBdr>
    </w:div>
    <w:div w:id="538906222">
      <w:bodyDiv w:val="1"/>
      <w:marLeft w:val="0"/>
      <w:marRight w:val="0"/>
      <w:marTop w:val="0"/>
      <w:marBottom w:val="0"/>
      <w:divBdr>
        <w:top w:val="none" w:sz="0" w:space="0" w:color="auto"/>
        <w:left w:val="none" w:sz="0" w:space="0" w:color="auto"/>
        <w:bottom w:val="none" w:sz="0" w:space="0" w:color="auto"/>
        <w:right w:val="none" w:sz="0" w:space="0" w:color="auto"/>
      </w:divBdr>
    </w:div>
    <w:div w:id="539435761">
      <w:bodyDiv w:val="1"/>
      <w:marLeft w:val="0"/>
      <w:marRight w:val="0"/>
      <w:marTop w:val="0"/>
      <w:marBottom w:val="0"/>
      <w:divBdr>
        <w:top w:val="none" w:sz="0" w:space="0" w:color="auto"/>
        <w:left w:val="none" w:sz="0" w:space="0" w:color="auto"/>
        <w:bottom w:val="none" w:sz="0" w:space="0" w:color="auto"/>
        <w:right w:val="none" w:sz="0" w:space="0" w:color="auto"/>
      </w:divBdr>
    </w:div>
    <w:div w:id="541019631">
      <w:bodyDiv w:val="1"/>
      <w:marLeft w:val="0"/>
      <w:marRight w:val="0"/>
      <w:marTop w:val="0"/>
      <w:marBottom w:val="0"/>
      <w:divBdr>
        <w:top w:val="none" w:sz="0" w:space="0" w:color="auto"/>
        <w:left w:val="none" w:sz="0" w:space="0" w:color="auto"/>
        <w:bottom w:val="none" w:sz="0" w:space="0" w:color="auto"/>
        <w:right w:val="none" w:sz="0" w:space="0" w:color="auto"/>
      </w:divBdr>
    </w:div>
    <w:div w:id="547110180">
      <w:bodyDiv w:val="1"/>
      <w:marLeft w:val="0"/>
      <w:marRight w:val="0"/>
      <w:marTop w:val="0"/>
      <w:marBottom w:val="0"/>
      <w:divBdr>
        <w:top w:val="none" w:sz="0" w:space="0" w:color="auto"/>
        <w:left w:val="none" w:sz="0" w:space="0" w:color="auto"/>
        <w:bottom w:val="none" w:sz="0" w:space="0" w:color="auto"/>
        <w:right w:val="none" w:sz="0" w:space="0" w:color="auto"/>
      </w:divBdr>
    </w:div>
    <w:div w:id="550775428">
      <w:bodyDiv w:val="1"/>
      <w:marLeft w:val="0"/>
      <w:marRight w:val="0"/>
      <w:marTop w:val="0"/>
      <w:marBottom w:val="0"/>
      <w:divBdr>
        <w:top w:val="none" w:sz="0" w:space="0" w:color="auto"/>
        <w:left w:val="none" w:sz="0" w:space="0" w:color="auto"/>
        <w:bottom w:val="none" w:sz="0" w:space="0" w:color="auto"/>
        <w:right w:val="none" w:sz="0" w:space="0" w:color="auto"/>
      </w:divBdr>
      <w:divsChild>
        <w:div w:id="575625824">
          <w:marLeft w:val="0"/>
          <w:marRight w:val="0"/>
          <w:marTop w:val="0"/>
          <w:marBottom w:val="0"/>
          <w:divBdr>
            <w:top w:val="none" w:sz="0" w:space="0" w:color="auto"/>
            <w:left w:val="none" w:sz="0" w:space="0" w:color="auto"/>
            <w:bottom w:val="none" w:sz="0" w:space="0" w:color="auto"/>
            <w:right w:val="none" w:sz="0" w:space="0" w:color="auto"/>
          </w:divBdr>
        </w:div>
        <w:div w:id="711030763">
          <w:marLeft w:val="0"/>
          <w:marRight w:val="0"/>
          <w:marTop w:val="0"/>
          <w:marBottom w:val="0"/>
          <w:divBdr>
            <w:top w:val="none" w:sz="0" w:space="0" w:color="auto"/>
            <w:left w:val="none" w:sz="0" w:space="0" w:color="auto"/>
            <w:bottom w:val="none" w:sz="0" w:space="0" w:color="auto"/>
            <w:right w:val="none" w:sz="0" w:space="0" w:color="auto"/>
          </w:divBdr>
        </w:div>
        <w:div w:id="940530108">
          <w:marLeft w:val="0"/>
          <w:marRight w:val="0"/>
          <w:marTop w:val="0"/>
          <w:marBottom w:val="0"/>
          <w:divBdr>
            <w:top w:val="none" w:sz="0" w:space="0" w:color="auto"/>
            <w:left w:val="none" w:sz="0" w:space="0" w:color="auto"/>
            <w:bottom w:val="none" w:sz="0" w:space="0" w:color="auto"/>
            <w:right w:val="none" w:sz="0" w:space="0" w:color="auto"/>
          </w:divBdr>
        </w:div>
        <w:div w:id="1002390647">
          <w:marLeft w:val="0"/>
          <w:marRight w:val="0"/>
          <w:marTop w:val="0"/>
          <w:marBottom w:val="0"/>
          <w:divBdr>
            <w:top w:val="none" w:sz="0" w:space="0" w:color="auto"/>
            <w:left w:val="none" w:sz="0" w:space="0" w:color="auto"/>
            <w:bottom w:val="none" w:sz="0" w:space="0" w:color="auto"/>
            <w:right w:val="none" w:sz="0" w:space="0" w:color="auto"/>
          </w:divBdr>
        </w:div>
        <w:div w:id="1412122987">
          <w:marLeft w:val="0"/>
          <w:marRight w:val="0"/>
          <w:marTop w:val="0"/>
          <w:marBottom w:val="0"/>
          <w:divBdr>
            <w:top w:val="none" w:sz="0" w:space="0" w:color="auto"/>
            <w:left w:val="none" w:sz="0" w:space="0" w:color="auto"/>
            <w:bottom w:val="none" w:sz="0" w:space="0" w:color="auto"/>
            <w:right w:val="none" w:sz="0" w:space="0" w:color="auto"/>
          </w:divBdr>
        </w:div>
      </w:divsChild>
    </w:div>
    <w:div w:id="558171234">
      <w:bodyDiv w:val="1"/>
      <w:marLeft w:val="0"/>
      <w:marRight w:val="0"/>
      <w:marTop w:val="0"/>
      <w:marBottom w:val="0"/>
      <w:divBdr>
        <w:top w:val="none" w:sz="0" w:space="0" w:color="auto"/>
        <w:left w:val="none" w:sz="0" w:space="0" w:color="auto"/>
        <w:bottom w:val="none" w:sz="0" w:space="0" w:color="auto"/>
        <w:right w:val="none" w:sz="0" w:space="0" w:color="auto"/>
      </w:divBdr>
    </w:div>
    <w:div w:id="561872502">
      <w:bodyDiv w:val="1"/>
      <w:marLeft w:val="0"/>
      <w:marRight w:val="0"/>
      <w:marTop w:val="0"/>
      <w:marBottom w:val="0"/>
      <w:divBdr>
        <w:top w:val="none" w:sz="0" w:space="0" w:color="auto"/>
        <w:left w:val="none" w:sz="0" w:space="0" w:color="auto"/>
        <w:bottom w:val="none" w:sz="0" w:space="0" w:color="auto"/>
        <w:right w:val="none" w:sz="0" w:space="0" w:color="auto"/>
      </w:divBdr>
    </w:div>
    <w:div w:id="562567078">
      <w:bodyDiv w:val="1"/>
      <w:marLeft w:val="0"/>
      <w:marRight w:val="0"/>
      <w:marTop w:val="0"/>
      <w:marBottom w:val="0"/>
      <w:divBdr>
        <w:top w:val="none" w:sz="0" w:space="0" w:color="auto"/>
        <w:left w:val="none" w:sz="0" w:space="0" w:color="auto"/>
        <w:bottom w:val="none" w:sz="0" w:space="0" w:color="auto"/>
        <w:right w:val="none" w:sz="0" w:space="0" w:color="auto"/>
      </w:divBdr>
    </w:div>
    <w:div w:id="578635240">
      <w:bodyDiv w:val="1"/>
      <w:marLeft w:val="0"/>
      <w:marRight w:val="0"/>
      <w:marTop w:val="0"/>
      <w:marBottom w:val="0"/>
      <w:divBdr>
        <w:top w:val="none" w:sz="0" w:space="0" w:color="auto"/>
        <w:left w:val="none" w:sz="0" w:space="0" w:color="auto"/>
        <w:bottom w:val="none" w:sz="0" w:space="0" w:color="auto"/>
        <w:right w:val="none" w:sz="0" w:space="0" w:color="auto"/>
      </w:divBdr>
    </w:div>
    <w:div w:id="579486900">
      <w:bodyDiv w:val="1"/>
      <w:marLeft w:val="0"/>
      <w:marRight w:val="0"/>
      <w:marTop w:val="0"/>
      <w:marBottom w:val="0"/>
      <w:divBdr>
        <w:top w:val="none" w:sz="0" w:space="0" w:color="auto"/>
        <w:left w:val="none" w:sz="0" w:space="0" w:color="auto"/>
        <w:bottom w:val="none" w:sz="0" w:space="0" w:color="auto"/>
        <w:right w:val="none" w:sz="0" w:space="0" w:color="auto"/>
      </w:divBdr>
    </w:div>
    <w:div w:id="585260846">
      <w:bodyDiv w:val="1"/>
      <w:marLeft w:val="0"/>
      <w:marRight w:val="0"/>
      <w:marTop w:val="0"/>
      <w:marBottom w:val="0"/>
      <w:divBdr>
        <w:top w:val="none" w:sz="0" w:space="0" w:color="auto"/>
        <w:left w:val="none" w:sz="0" w:space="0" w:color="auto"/>
        <w:bottom w:val="none" w:sz="0" w:space="0" w:color="auto"/>
        <w:right w:val="none" w:sz="0" w:space="0" w:color="auto"/>
      </w:divBdr>
    </w:div>
    <w:div w:id="585727042">
      <w:bodyDiv w:val="1"/>
      <w:marLeft w:val="0"/>
      <w:marRight w:val="0"/>
      <w:marTop w:val="0"/>
      <w:marBottom w:val="0"/>
      <w:divBdr>
        <w:top w:val="none" w:sz="0" w:space="0" w:color="auto"/>
        <w:left w:val="none" w:sz="0" w:space="0" w:color="auto"/>
        <w:bottom w:val="none" w:sz="0" w:space="0" w:color="auto"/>
        <w:right w:val="none" w:sz="0" w:space="0" w:color="auto"/>
      </w:divBdr>
    </w:div>
    <w:div w:id="589776311">
      <w:bodyDiv w:val="1"/>
      <w:marLeft w:val="0"/>
      <w:marRight w:val="0"/>
      <w:marTop w:val="0"/>
      <w:marBottom w:val="0"/>
      <w:divBdr>
        <w:top w:val="none" w:sz="0" w:space="0" w:color="auto"/>
        <w:left w:val="none" w:sz="0" w:space="0" w:color="auto"/>
        <w:bottom w:val="none" w:sz="0" w:space="0" w:color="auto"/>
        <w:right w:val="none" w:sz="0" w:space="0" w:color="auto"/>
      </w:divBdr>
    </w:div>
    <w:div w:id="591280812">
      <w:bodyDiv w:val="1"/>
      <w:marLeft w:val="0"/>
      <w:marRight w:val="0"/>
      <w:marTop w:val="0"/>
      <w:marBottom w:val="0"/>
      <w:divBdr>
        <w:top w:val="none" w:sz="0" w:space="0" w:color="auto"/>
        <w:left w:val="none" w:sz="0" w:space="0" w:color="auto"/>
        <w:bottom w:val="none" w:sz="0" w:space="0" w:color="auto"/>
        <w:right w:val="none" w:sz="0" w:space="0" w:color="auto"/>
      </w:divBdr>
    </w:div>
    <w:div w:id="600528379">
      <w:bodyDiv w:val="1"/>
      <w:marLeft w:val="0"/>
      <w:marRight w:val="0"/>
      <w:marTop w:val="0"/>
      <w:marBottom w:val="0"/>
      <w:divBdr>
        <w:top w:val="none" w:sz="0" w:space="0" w:color="auto"/>
        <w:left w:val="none" w:sz="0" w:space="0" w:color="auto"/>
        <w:bottom w:val="none" w:sz="0" w:space="0" w:color="auto"/>
        <w:right w:val="none" w:sz="0" w:space="0" w:color="auto"/>
      </w:divBdr>
    </w:div>
    <w:div w:id="601374026">
      <w:bodyDiv w:val="1"/>
      <w:marLeft w:val="0"/>
      <w:marRight w:val="0"/>
      <w:marTop w:val="0"/>
      <w:marBottom w:val="0"/>
      <w:divBdr>
        <w:top w:val="none" w:sz="0" w:space="0" w:color="auto"/>
        <w:left w:val="none" w:sz="0" w:space="0" w:color="auto"/>
        <w:bottom w:val="none" w:sz="0" w:space="0" w:color="auto"/>
        <w:right w:val="none" w:sz="0" w:space="0" w:color="auto"/>
      </w:divBdr>
    </w:div>
    <w:div w:id="613631719">
      <w:bodyDiv w:val="1"/>
      <w:marLeft w:val="0"/>
      <w:marRight w:val="0"/>
      <w:marTop w:val="0"/>
      <w:marBottom w:val="0"/>
      <w:divBdr>
        <w:top w:val="none" w:sz="0" w:space="0" w:color="auto"/>
        <w:left w:val="none" w:sz="0" w:space="0" w:color="auto"/>
        <w:bottom w:val="none" w:sz="0" w:space="0" w:color="auto"/>
        <w:right w:val="none" w:sz="0" w:space="0" w:color="auto"/>
      </w:divBdr>
    </w:div>
    <w:div w:id="618268164">
      <w:bodyDiv w:val="1"/>
      <w:marLeft w:val="0"/>
      <w:marRight w:val="0"/>
      <w:marTop w:val="0"/>
      <w:marBottom w:val="0"/>
      <w:divBdr>
        <w:top w:val="none" w:sz="0" w:space="0" w:color="auto"/>
        <w:left w:val="none" w:sz="0" w:space="0" w:color="auto"/>
        <w:bottom w:val="none" w:sz="0" w:space="0" w:color="auto"/>
        <w:right w:val="none" w:sz="0" w:space="0" w:color="auto"/>
      </w:divBdr>
    </w:div>
    <w:div w:id="618295963">
      <w:bodyDiv w:val="1"/>
      <w:marLeft w:val="0"/>
      <w:marRight w:val="0"/>
      <w:marTop w:val="0"/>
      <w:marBottom w:val="0"/>
      <w:divBdr>
        <w:top w:val="none" w:sz="0" w:space="0" w:color="auto"/>
        <w:left w:val="none" w:sz="0" w:space="0" w:color="auto"/>
        <w:bottom w:val="none" w:sz="0" w:space="0" w:color="auto"/>
        <w:right w:val="none" w:sz="0" w:space="0" w:color="auto"/>
      </w:divBdr>
    </w:div>
    <w:div w:id="620495593">
      <w:bodyDiv w:val="1"/>
      <w:marLeft w:val="0"/>
      <w:marRight w:val="0"/>
      <w:marTop w:val="0"/>
      <w:marBottom w:val="0"/>
      <w:divBdr>
        <w:top w:val="none" w:sz="0" w:space="0" w:color="auto"/>
        <w:left w:val="none" w:sz="0" w:space="0" w:color="auto"/>
        <w:bottom w:val="none" w:sz="0" w:space="0" w:color="auto"/>
        <w:right w:val="none" w:sz="0" w:space="0" w:color="auto"/>
      </w:divBdr>
    </w:div>
    <w:div w:id="632060788">
      <w:bodyDiv w:val="1"/>
      <w:marLeft w:val="0"/>
      <w:marRight w:val="0"/>
      <w:marTop w:val="0"/>
      <w:marBottom w:val="0"/>
      <w:divBdr>
        <w:top w:val="none" w:sz="0" w:space="0" w:color="auto"/>
        <w:left w:val="none" w:sz="0" w:space="0" w:color="auto"/>
        <w:bottom w:val="none" w:sz="0" w:space="0" w:color="auto"/>
        <w:right w:val="none" w:sz="0" w:space="0" w:color="auto"/>
      </w:divBdr>
    </w:div>
    <w:div w:id="634675547">
      <w:bodyDiv w:val="1"/>
      <w:marLeft w:val="0"/>
      <w:marRight w:val="0"/>
      <w:marTop w:val="0"/>
      <w:marBottom w:val="0"/>
      <w:divBdr>
        <w:top w:val="none" w:sz="0" w:space="0" w:color="auto"/>
        <w:left w:val="none" w:sz="0" w:space="0" w:color="auto"/>
        <w:bottom w:val="none" w:sz="0" w:space="0" w:color="auto"/>
        <w:right w:val="none" w:sz="0" w:space="0" w:color="auto"/>
      </w:divBdr>
    </w:div>
    <w:div w:id="643120876">
      <w:bodyDiv w:val="1"/>
      <w:marLeft w:val="0"/>
      <w:marRight w:val="0"/>
      <w:marTop w:val="0"/>
      <w:marBottom w:val="0"/>
      <w:divBdr>
        <w:top w:val="none" w:sz="0" w:space="0" w:color="auto"/>
        <w:left w:val="none" w:sz="0" w:space="0" w:color="auto"/>
        <w:bottom w:val="none" w:sz="0" w:space="0" w:color="auto"/>
        <w:right w:val="none" w:sz="0" w:space="0" w:color="auto"/>
      </w:divBdr>
    </w:div>
    <w:div w:id="645205691">
      <w:bodyDiv w:val="1"/>
      <w:marLeft w:val="0"/>
      <w:marRight w:val="0"/>
      <w:marTop w:val="0"/>
      <w:marBottom w:val="0"/>
      <w:divBdr>
        <w:top w:val="none" w:sz="0" w:space="0" w:color="auto"/>
        <w:left w:val="none" w:sz="0" w:space="0" w:color="auto"/>
        <w:bottom w:val="none" w:sz="0" w:space="0" w:color="auto"/>
        <w:right w:val="none" w:sz="0" w:space="0" w:color="auto"/>
      </w:divBdr>
    </w:div>
    <w:div w:id="650673711">
      <w:bodyDiv w:val="1"/>
      <w:marLeft w:val="0"/>
      <w:marRight w:val="0"/>
      <w:marTop w:val="0"/>
      <w:marBottom w:val="0"/>
      <w:divBdr>
        <w:top w:val="none" w:sz="0" w:space="0" w:color="auto"/>
        <w:left w:val="none" w:sz="0" w:space="0" w:color="auto"/>
        <w:bottom w:val="none" w:sz="0" w:space="0" w:color="auto"/>
        <w:right w:val="none" w:sz="0" w:space="0" w:color="auto"/>
      </w:divBdr>
    </w:div>
    <w:div w:id="659967109">
      <w:bodyDiv w:val="1"/>
      <w:marLeft w:val="0"/>
      <w:marRight w:val="0"/>
      <w:marTop w:val="0"/>
      <w:marBottom w:val="0"/>
      <w:divBdr>
        <w:top w:val="none" w:sz="0" w:space="0" w:color="auto"/>
        <w:left w:val="none" w:sz="0" w:space="0" w:color="auto"/>
        <w:bottom w:val="none" w:sz="0" w:space="0" w:color="auto"/>
        <w:right w:val="none" w:sz="0" w:space="0" w:color="auto"/>
      </w:divBdr>
    </w:div>
    <w:div w:id="663357135">
      <w:bodyDiv w:val="1"/>
      <w:marLeft w:val="0"/>
      <w:marRight w:val="0"/>
      <w:marTop w:val="0"/>
      <w:marBottom w:val="0"/>
      <w:divBdr>
        <w:top w:val="none" w:sz="0" w:space="0" w:color="auto"/>
        <w:left w:val="none" w:sz="0" w:space="0" w:color="auto"/>
        <w:bottom w:val="none" w:sz="0" w:space="0" w:color="auto"/>
        <w:right w:val="none" w:sz="0" w:space="0" w:color="auto"/>
      </w:divBdr>
    </w:div>
    <w:div w:id="675032875">
      <w:bodyDiv w:val="1"/>
      <w:marLeft w:val="0"/>
      <w:marRight w:val="0"/>
      <w:marTop w:val="0"/>
      <w:marBottom w:val="0"/>
      <w:divBdr>
        <w:top w:val="none" w:sz="0" w:space="0" w:color="auto"/>
        <w:left w:val="none" w:sz="0" w:space="0" w:color="auto"/>
        <w:bottom w:val="none" w:sz="0" w:space="0" w:color="auto"/>
        <w:right w:val="none" w:sz="0" w:space="0" w:color="auto"/>
      </w:divBdr>
    </w:div>
    <w:div w:id="680350522">
      <w:bodyDiv w:val="1"/>
      <w:marLeft w:val="0"/>
      <w:marRight w:val="0"/>
      <w:marTop w:val="0"/>
      <w:marBottom w:val="0"/>
      <w:divBdr>
        <w:top w:val="none" w:sz="0" w:space="0" w:color="auto"/>
        <w:left w:val="none" w:sz="0" w:space="0" w:color="auto"/>
        <w:bottom w:val="none" w:sz="0" w:space="0" w:color="auto"/>
        <w:right w:val="none" w:sz="0" w:space="0" w:color="auto"/>
      </w:divBdr>
    </w:div>
    <w:div w:id="681007227">
      <w:bodyDiv w:val="1"/>
      <w:marLeft w:val="0"/>
      <w:marRight w:val="0"/>
      <w:marTop w:val="0"/>
      <w:marBottom w:val="0"/>
      <w:divBdr>
        <w:top w:val="none" w:sz="0" w:space="0" w:color="auto"/>
        <w:left w:val="none" w:sz="0" w:space="0" w:color="auto"/>
        <w:bottom w:val="none" w:sz="0" w:space="0" w:color="auto"/>
        <w:right w:val="none" w:sz="0" w:space="0" w:color="auto"/>
      </w:divBdr>
    </w:div>
    <w:div w:id="684668857">
      <w:bodyDiv w:val="1"/>
      <w:marLeft w:val="0"/>
      <w:marRight w:val="0"/>
      <w:marTop w:val="0"/>
      <w:marBottom w:val="0"/>
      <w:divBdr>
        <w:top w:val="none" w:sz="0" w:space="0" w:color="auto"/>
        <w:left w:val="none" w:sz="0" w:space="0" w:color="auto"/>
        <w:bottom w:val="none" w:sz="0" w:space="0" w:color="auto"/>
        <w:right w:val="none" w:sz="0" w:space="0" w:color="auto"/>
      </w:divBdr>
    </w:div>
    <w:div w:id="684865262">
      <w:bodyDiv w:val="1"/>
      <w:marLeft w:val="0"/>
      <w:marRight w:val="0"/>
      <w:marTop w:val="0"/>
      <w:marBottom w:val="0"/>
      <w:divBdr>
        <w:top w:val="none" w:sz="0" w:space="0" w:color="auto"/>
        <w:left w:val="none" w:sz="0" w:space="0" w:color="auto"/>
        <w:bottom w:val="none" w:sz="0" w:space="0" w:color="auto"/>
        <w:right w:val="none" w:sz="0" w:space="0" w:color="auto"/>
      </w:divBdr>
    </w:div>
    <w:div w:id="696083368">
      <w:bodyDiv w:val="1"/>
      <w:marLeft w:val="0"/>
      <w:marRight w:val="0"/>
      <w:marTop w:val="0"/>
      <w:marBottom w:val="0"/>
      <w:divBdr>
        <w:top w:val="none" w:sz="0" w:space="0" w:color="auto"/>
        <w:left w:val="none" w:sz="0" w:space="0" w:color="auto"/>
        <w:bottom w:val="none" w:sz="0" w:space="0" w:color="auto"/>
        <w:right w:val="none" w:sz="0" w:space="0" w:color="auto"/>
      </w:divBdr>
    </w:div>
    <w:div w:id="696809983">
      <w:bodyDiv w:val="1"/>
      <w:marLeft w:val="0"/>
      <w:marRight w:val="0"/>
      <w:marTop w:val="0"/>
      <w:marBottom w:val="0"/>
      <w:divBdr>
        <w:top w:val="none" w:sz="0" w:space="0" w:color="auto"/>
        <w:left w:val="none" w:sz="0" w:space="0" w:color="auto"/>
        <w:bottom w:val="none" w:sz="0" w:space="0" w:color="auto"/>
        <w:right w:val="none" w:sz="0" w:space="0" w:color="auto"/>
      </w:divBdr>
    </w:div>
    <w:div w:id="698431927">
      <w:bodyDiv w:val="1"/>
      <w:marLeft w:val="0"/>
      <w:marRight w:val="0"/>
      <w:marTop w:val="0"/>
      <w:marBottom w:val="0"/>
      <w:divBdr>
        <w:top w:val="none" w:sz="0" w:space="0" w:color="auto"/>
        <w:left w:val="none" w:sz="0" w:space="0" w:color="auto"/>
        <w:bottom w:val="none" w:sz="0" w:space="0" w:color="auto"/>
        <w:right w:val="none" w:sz="0" w:space="0" w:color="auto"/>
      </w:divBdr>
    </w:div>
    <w:div w:id="703405843">
      <w:bodyDiv w:val="1"/>
      <w:marLeft w:val="0"/>
      <w:marRight w:val="0"/>
      <w:marTop w:val="0"/>
      <w:marBottom w:val="0"/>
      <w:divBdr>
        <w:top w:val="none" w:sz="0" w:space="0" w:color="auto"/>
        <w:left w:val="none" w:sz="0" w:space="0" w:color="auto"/>
        <w:bottom w:val="none" w:sz="0" w:space="0" w:color="auto"/>
        <w:right w:val="none" w:sz="0" w:space="0" w:color="auto"/>
      </w:divBdr>
    </w:div>
    <w:div w:id="711926820">
      <w:bodyDiv w:val="1"/>
      <w:marLeft w:val="0"/>
      <w:marRight w:val="0"/>
      <w:marTop w:val="0"/>
      <w:marBottom w:val="0"/>
      <w:divBdr>
        <w:top w:val="none" w:sz="0" w:space="0" w:color="auto"/>
        <w:left w:val="none" w:sz="0" w:space="0" w:color="auto"/>
        <w:bottom w:val="none" w:sz="0" w:space="0" w:color="auto"/>
        <w:right w:val="none" w:sz="0" w:space="0" w:color="auto"/>
      </w:divBdr>
    </w:div>
    <w:div w:id="712460744">
      <w:bodyDiv w:val="1"/>
      <w:marLeft w:val="0"/>
      <w:marRight w:val="0"/>
      <w:marTop w:val="0"/>
      <w:marBottom w:val="0"/>
      <w:divBdr>
        <w:top w:val="none" w:sz="0" w:space="0" w:color="auto"/>
        <w:left w:val="none" w:sz="0" w:space="0" w:color="auto"/>
        <w:bottom w:val="none" w:sz="0" w:space="0" w:color="auto"/>
        <w:right w:val="none" w:sz="0" w:space="0" w:color="auto"/>
      </w:divBdr>
    </w:div>
    <w:div w:id="717316969">
      <w:bodyDiv w:val="1"/>
      <w:marLeft w:val="0"/>
      <w:marRight w:val="0"/>
      <w:marTop w:val="0"/>
      <w:marBottom w:val="0"/>
      <w:divBdr>
        <w:top w:val="none" w:sz="0" w:space="0" w:color="auto"/>
        <w:left w:val="none" w:sz="0" w:space="0" w:color="auto"/>
        <w:bottom w:val="none" w:sz="0" w:space="0" w:color="auto"/>
        <w:right w:val="none" w:sz="0" w:space="0" w:color="auto"/>
      </w:divBdr>
    </w:div>
    <w:div w:id="733041456">
      <w:bodyDiv w:val="1"/>
      <w:marLeft w:val="0"/>
      <w:marRight w:val="0"/>
      <w:marTop w:val="0"/>
      <w:marBottom w:val="0"/>
      <w:divBdr>
        <w:top w:val="none" w:sz="0" w:space="0" w:color="auto"/>
        <w:left w:val="none" w:sz="0" w:space="0" w:color="auto"/>
        <w:bottom w:val="none" w:sz="0" w:space="0" w:color="auto"/>
        <w:right w:val="none" w:sz="0" w:space="0" w:color="auto"/>
      </w:divBdr>
    </w:div>
    <w:div w:id="735207178">
      <w:bodyDiv w:val="1"/>
      <w:marLeft w:val="0"/>
      <w:marRight w:val="0"/>
      <w:marTop w:val="0"/>
      <w:marBottom w:val="0"/>
      <w:divBdr>
        <w:top w:val="none" w:sz="0" w:space="0" w:color="auto"/>
        <w:left w:val="none" w:sz="0" w:space="0" w:color="auto"/>
        <w:bottom w:val="none" w:sz="0" w:space="0" w:color="auto"/>
        <w:right w:val="none" w:sz="0" w:space="0" w:color="auto"/>
      </w:divBdr>
    </w:div>
    <w:div w:id="736977735">
      <w:bodyDiv w:val="1"/>
      <w:marLeft w:val="0"/>
      <w:marRight w:val="0"/>
      <w:marTop w:val="0"/>
      <w:marBottom w:val="0"/>
      <w:divBdr>
        <w:top w:val="none" w:sz="0" w:space="0" w:color="auto"/>
        <w:left w:val="none" w:sz="0" w:space="0" w:color="auto"/>
        <w:bottom w:val="none" w:sz="0" w:space="0" w:color="auto"/>
        <w:right w:val="none" w:sz="0" w:space="0" w:color="auto"/>
      </w:divBdr>
    </w:div>
    <w:div w:id="737509305">
      <w:bodyDiv w:val="1"/>
      <w:marLeft w:val="0"/>
      <w:marRight w:val="0"/>
      <w:marTop w:val="0"/>
      <w:marBottom w:val="0"/>
      <w:divBdr>
        <w:top w:val="none" w:sz="0" w:space="0" w:color="auto"/>
        <w:left w:val="none" w:sz="0" w:space="0" w:color="auto"/>
        <w:bottom w:val="none" w:sz="0" w:space="0" w:color="auto"/>
        <w:right w:val="none" w:sz="0" w:space="0" w:color="auto"/>
      </w:divBdr>
    </w:div>
    <w:div w:id="739060312">
      <w:bodyDiv w:val="1"/>
      <w:marLeft w:val="0"/>
      <w:marRight w:val="0"/>
      <w:marTop w:val="0"/>
      <w:marBottom w:val="0"/>
      <w:divBdr>
        <w:top w:val="none" w:sz="0" w:space="0" w:color="auto"/>
        <w:left w:val="none" w:sz="0" w:space="0" w:color="auto"/>
        <w:bottom w:val="none" w:sz="0" w:space="0" w:color="auto"/>
        <w:right w:val="none" w:sz="0" w:space="0" w:color="auto"/>
      </w:divBdr>
    </w:div>
    <w:div w:id="740636785">
      <w:bodyDiv w:val="1"/>
      <w:marLeft w:val="0"/>
      <w:marRight w:val="0"/>
      <w:marTop w:val="0"/>
      <w:marBottom w:val="0"/>
      <w:divBdr>
        <w:top w:val="none" w:sz="0" w:space="0" w:color="auto"/>
        <w:left w:val="none" w:sz="0" w:space="0" w:color="auto"/>
        <w:bottom w:val="none" w:sz="0" w:space="0" w:color="auto"/>
        <w:right w:val="none" w:sz="0" w:space="0" w:color="auto"/>
      </w:divBdr>
    </w:div>
    <w:div w:id="745155424">
      <w:bodyDiv w:val="1"/>
      <w:marLeft w:val="0"/>
      <w:marRight w:val="0"/>
      <w:marTop w:val="0"/>
      <w:marBottom w:val="0"/>
      <w:divBdr>
        <w:top w:val="none" w:sz="0" w:space="0" w:color="auto"/>
        <w:left w:val="none" w:sz="0" w:space="0" w:color="auto"/>
        <w:bottom w:val="none" w:sz="0" w:space="0" w:color="auto"/>
        <w:right w:val="none" w:sz="0" w:space="0" w:color="auto"/>
      </w:divBdr>
    </w:div>
    <w:div w:id="752432400">
      <w:bodyDiv w:val="1"/>
      <w:marLeft w:val="0"/>
      <w:marRight w:val="0"/>
      <w:marTop w:val="0"/>
      <w:marBottom w:val="0"/>
      <w:divBdr>
        <w:top w:val="none" w:sz="0" w:space="0" w:color="auto"/>
        <w:left w:val="none" w:sz="0" w:space="0" w:color="auto"/>
        <w:bottom w:val="none" w:sz="0" w:space="0" w:color="auto"/>
        <w:right w:val="none" w:sz="0" w:space="0" w:color="auto"/>
      </w:divBdr>
    </w:div>
    <w:div w:id="772433877">
      <w:bodyDiv w:val="1"/>
      <w:marLeft w:val="0"/>
      <w:marRight w:val="0"/>
      <w:marTop w:val="0"/>
      <w:marBottom w:val="0"/>
      <w:divBdr>
        <w:top w:val="none" w:sz="0" w:space="0" w:color="auto"/>
        <w:left w:val="none" w:sz="0" w:space="0" w:color="auto"/>
        <w:bottom w:val="none" w:sz="0" w:space="0" w:color="auto"/>
        <w:right w:val="none" w:sz="0" w:space="0" w:color="auto"/>
      </w:divBdr>
    </w:div>
    <w:div w:id="776173281">
      <w:bodyDiv w:val="1"/>
      <w:marLeft w:val="0"/>
      <w:marRight w:val="0"/>
      <w:marTop w:val="0"/>
      <w:marBottom w:val="0"/>
      <w:divBdr>
        <w:top w:val="none" w:sz="0" w:space="0" w:color="auto"/>
        <w:left w:val="none" w:sz="0" w:space="0" w:color="auto"/>
        <w:bottom w:val="none" w:sz="0" w:space="0" w:color="auto"/>
        <w:right w:val="none" w:sz="0" w:space="0" w:color="auto"/>
      </w:divBdr>
    </w:div>
    <w:div w:id="786580496">
      <w:bodyDiv w:val="1"/>
      <w:marLeft w:val="0"/>
      <w:marRight w:val="0"/>
      <w:marTop w:val="0"/>
      <w:marBottom w:val="0"/>
      <w:divBdr>
        <w:top w:val="none" w:sz="0" w:space="0" w:color="auto"/>
        <w:left w:val="none" w:sz="0" w:space="0" w:color="auto"/>
        <w:bottom w:val="none" w:sz="0" w:space="0" w:color="auto"/>
        <w:right w:val="none" w:sz="0" w:space="0" w:color="auto"/>
      </w:divBdr>
    </w:div>
    <w:div w:id="787429953">
      <w:bodyDiv w:val="1"/>
      <w:marLeft w:val="0"/>
      <w:marRight w:val="0"/>
      <w:marTop w:val="0"/>
      <w:marBottom w:val="0"/>
      <w:divBdr>
        <w:top w:val="none" w:sz="0" w:space="0" w:color="auto"/>
        <w:left w:val="none" w:sz="0" w:space="0" w:color="auto"/>
        <w:bottom w:val="none" w:sz="0" w:space="0" w:color="auto"/>
        <w:right w:val="none" w:sz="0" w:space="0" w:color="auto"/>
      </w:divBdr>
    </w:div>
    <w:div w:id="789204812">
      <w:bodyDiv w:val="1"/>
      <w:marLeft w:val="0"/>
      <w:marRight w:val="0"/>
      <w:marTop w:val="0"/>
      <w:marBottom w:val="0"/>
      <w:divBdr>
        <w:top w:val="none" w:sz="0" w:space="0" w:color="auto"/>
        <w:left w:val="none" w:sz="0" w:space="0" w:color="auto"/>
        <w:bottom w:val="none" w:sz="0" w:space="0" w:color="auto"/>
        <w:right w:val="none" w:sz="0" w:space="0" w:color="auto"/>
      </w:divBdr>
    </w:div>
    <w:div w:id="799879564">
      <w:bodyDiv w:val="1"/>
      <w:marLeft w:val="0"/>
      <w:marRight w:val="0"/>
      <w:marTop w:val="0"/>
      <w:marBottom w:val="0"/>
      <w:divBdr>
        <w:top w:val="none" w:sz="0" w:space="0" w:color="auto"/>
        <w:left w:val="none" w:sz="0" w:space="0" w:color="auto"/>
        <w:bottom w:val="none" w:sz="0" w:space="0" w:color="auto"/>
        <w:right w:val="none" w:sz="0" w:space="0" w:color="auto"/>
      </w:divBdr>
    </w:div>
    <w:div w:id="807087833">
      <w:bodyDiv w:val="1"/>
      <w:marLeft w:val="0"/>
      <w:marRight w:val="0"/>
      <w:marTop w:val="0"/>
      <w:marBottom w:val="0"/>
      <w:divBdr>
        <w:top w:val="none" w:sz="0" w:space="0" w:color="auto"/>
        <w:left w:val="none" w:sz="0" w:space="0" w:color="auto"/>
        <w:bottom w:val="none" w:sz="0" w:space="0" w:color="auto"/>
        <w:right w:val="none" w:sz="0" w:space="0" w:color="auto"/>
      </w:divBdr>
    </w:div>
    <w:div w:id="808472936">
      <w:bodyDiv w:val="1"/>
      <w:marLeft w:val="0"/>
      <w:marRight w:val="0"/>
      <w:marTop w:val="0"/>
      <w:marBottom w:val="0"/>
      <w:divBdr>
        <w:top w:val="none" w:sz="0" w:space="0" w:color="auto"/>
        <w:left w:val="none" w:sz="0" w:space="0" w:color="auto"/>
        <w:bottom w:val="none" w:sz="0" w:space="0" w:color="auto"/>
        <w:right w:val="none" w:sz="0" w:space="0" w:color="auto"/>
      </w:divBdr>
    </w:div>
    <w:div w:id="810751112">
      <w:bodyDiv w:val="1"/>
      <w:marLeft w:val="0"/>
      <w:marRight w:val="0"/>
      <w:marTop w:val="0"/>
      <w:marBottom w:val="0"/>
      <w:divBdr>
        <w:top w:val="none" w:sz="0" w:space="0" w:color="auto"/>
        <w:left w:val="none" w:sz="0" w:space="0" w:color="auto"/>
        <w:bottom w:val="none" w:sz="0" w:space="0" w:color="auto"/>
        <w:right w:val="none" w:sz="0" w:space="0" w:color="auto"/>
      </w:divBdr>
    </w:div>
    <w:div w:id="811093458">
      <w:bodyDiv w:val="1"/>
      <w:marLeft w:val="0"/>
      <w:marRight w:val="0"/>
      <w:marTop w:val="0"/>
      <w:marBottom w:val="0"/>
      <w:divBdr>
        <w:top w:val="none" w:sz="0" w:space="0" w:color="auto"/>
        <w:left w:val="none" w:sz="0" w:space="0" w:color="auto"/>
        <w:bottom w:val="none" w:sz="0" w:space="0" w:color="auto"/>
        <w:right w:val="none" w:sz="0" w:space="0" w:color="auto"/>
      </w:divBdr>
    </w:div>
    <w:div w:id="811672316">
      <w:bodyDiv w:val="1"/>
      <w:marLeft w:val="0"/>
      <w:marRight w:val="0"/>
      <w:marTop w:val="0"/>
      <w:marBottom w:val="0"/>
      <w:divBdr>
        <w:top w:val="none" w:sz="0" w:space="0" w:color="auto"/>
        <w:left w:val="none" w:sz="0" w:space="0" w:color="auto"/>
        <w:bottom w:val="none" w:sz="0" w:space="0" w:color="auto"/>
        <w:right w:val="none" w:sz="0" w:space="0" w:color="auto"/>
      </w:divBdr>
    </w:div>
    <w:div w:id="813374580">
      <w:bodyDiv w:val="1"/>
      <w:marLeft w:val="0"/>
      <w:marRight w:val="0"/>
      <w:marTop w:val="0"/>
      <w:marBottom w:val="0"/>
      <w:divBdr>
        <w:top w:val="none" w:sz="0" w:space="0" w:color="auto"/>
        <w:left w:val="none" w:sz="0" w:space="0" w:color="auto"/>
        <w:bottom w:val="none" w:sz="0" w:space="0" w:color="auto"/>
        <w:right w:val="none" w:sz="0" w:space="0" w:color="auto"/>
      </w:divBdr>
    </w:div>
    <w:div w:id="824475436">
      <w:bodyDiv w:val="1"/>
      <w:marLeft w:val="0"/>
      <w:marRight w:val="0"/>
      <w:marTop w:val="0"/>
      <w:marBottom w:val="0"/>
      <w:divBdr>
        <w:top w:val="none" w:sz="0" w:space="0" w:color="auto"/>
        <w:left w:val="none" w:sz="0" w:space="0" w:color="auto"/>
        <w:bottom w:val="none" w:sz="0" w:space="0" w:color="auto"/>
        <w:right w:val="none" w:sz="0" w:space="0" w:color="auto"/>
      </w:divBdr>
    </w:div>
    <w:div w:id="829297654">
      <w:bodyDiv w:val="1"/>
      <w:marLeft w:val="0"/>
      <w:marRight w:val="0"/>
      <w:marTop w:val="0"/>
      <w:marBottom w:val="0"/>
      <w:divBdr>
        <w:top w:val="none" w:sz="0" w:space="0" w:color="auto"/>
        <w:left w:val="none" w:sz="0" w:space="0" w:color="auto"/>
        <w:bottom w:val="none" w:sz="0" w:space="0" w:color="auto"/>
        <w:right w:val="none" w:sz="0" w:space="0" w:color="auto"/>
      </w:divBdr>
    </w:div>
    <w:div w:id="831795020">
      <w:bodyDiv w:val="1"/>
      <w:marLeft w:val="0"/>
      <w:marRight w:val="0"/>
      <w:marTop w:val="0"/>
      <w:marBottom w:val="0"/>
      <w:divBdr>
        <w:top w:val="none" w:sz="0" w:space="0" w:color="auto"/>
        <w:left w:val="none" w:sz="0" w:space="0" w:color="auto"/>
        <w:bottom w:val="none" w:sz="0" w:space="0" w:color="auto"/>
        <w:right w:val="none" w:sz="0" w:space="0" w:color="auto"/>
      </w:divBdr>
    </w:div>
    <w:div w:id="835144656">
      <w:bodyDiv w:val="1"/>
      <w:marLeft w:val="0"/>
      <w:marRight w:val="0"/>
      <w:marTop w:val="0"/>
      <w:marBottom w:val="0"/>
      <w:divBdr>
        <w:top w:val="none" w:sz="0" w:space="0" w:color="auto"/>
        <w:left w:val="none" w:sz="0" w:space="0" w:color="auto"/>
        <w:bottom w:val="none" w:sz="0" w:space="0" w:color="auto"/>
        <w:right w:val="none" w:sz="0" w:space="0" w:color="auto"/>
      </w:divBdr>
    </w:div>
    <w:div w:id="837236476">
      <w:bodyDiv w:val="1"/>
      <w:marLeft w:val="0"/>
      <w:marRight w:val="0"/>
      <w:marTop w:val="0"/>
      <w:marBottom w:val="0"/>
      <w:divBdr>
        <w:top w:val="none" w:sz="0" w:space="0" w:color="auto"/>
        <w:left w:val="none" w:sz="0" w:space="0" w:color="auto"/>
        <w:bottom w:val="none" w:sz="0" w:space="0" w:color="auto"/>
        <w:right w:val="none" w:sz="0" w:space="0" w:color="auto"/>
      </w:divBdr>
    </w:div>
    <w:div w:id="841697765">
      <w:bodyDiv w:val="1"/>
      <w:marLeft w:val="0"/>
      <w:marRight w:val="0"/>
      <w:marTop w:val="0"/>
      <w:marBottom w:val="0"/>
      <w:divBdr>
        <w:top w:val="none" w:sz="0" w:space="0" w:color="auto"/>
        <w:left w:val="none" w:sz="0" w:space="0" w:color="auto"/>
        <w:bottom w:val="none" w:sz="0" w:space="0" w:color="auto"/>
        <w:right w:val="none" w:sz="0" w:space="0" w:color="auto"/>
      </w:divBdr>
    </w:div>
    <w:div w:id="846406416">
      <w:bodyDiv w:val="1"/>
      <w:marLeft w:val="0"/>
      <w:marRight w:val="0"/>
      <w:marTop w:val="0"/>
      <w:marBottom w:val="0"/>
      <w:divBdr>
        <w:top w:val="none" w:sz="0" w:space="0" w:color="auto"/>
        <w:left w:val="none" w:sz="0" w:space="0" w:color="auto"/>
        <w:bottom w:val="none" w:sz="0" w:space="0" w:color="auto"/>
        <w:right w:val="none" w:sz="0" w:space="0" w:color="auto"/>
      </w:divBdr>
    </w:div>
    <w:div w:id="847673280">
      <w:bodyDiv w:val="1"/>
      <w:marLeft w:val="0"/>
      <w:marRight w:val="0"/>
      <w:marTop w:val="0"/>
      <w:marBottom w:val="0"/>
      <w:divBdr>
        <w:top w:val="none" w:sz="0" w:space="0" w:color="auto"/>
        <w:left w:val="none" w:sz="0" w:space="0" w:color="auto"/>
        <w:bottom w:val="none" w:sz="0" w:space="0" w:color="auto"/>
        <w:right w:val="none" w:sz="0" w:space="0" w:color="auto"/>
      </w:divBdr>
    </w:div>
    <w:div w:id="869607554">
      <w:bodyDiv w:val="1"/>
      <w:marLeft w:val="0"/>
      <w:marRight w:val="0"/>
      <w:marTop w:val="0"/>
      <w:marBottom w:val="0"/>
      <w:divBdr>
        <w:top w:val="none" w:sz="0" w:space="0" w:color="auto"/>
        <w:left w:val="none" w:sz="0" w:space="0" w:color="auto"/>
        <w:bottom w:val="none" w:sz="0" w:space="0" w:color="auto"/>
        <w:right w:val="none" w:sz="0" w:space="0" w:color="auto"/>
      </w:divBdr>
    </w:div>
    <w:div w:id="885339917">
      <w:bodyDiv w:val="1"/>
      <w:marLeft w:val="0"/>
      <w:marRight w:val="0"/>
      <w:marTop w:val="0"/>
      <w:marBottom w:val="0"/>
      <w:divBdr>
        <w:top w:val="none" w:sz="0" w:space="0" w:color="auto"/>
        <w:left w:val="none" w:sz="0" w:space="0" w:color="auto"/>
        <w:bottom w:val="none" w:sz="0" w:space="0" w:color="auto"/>
        <w:right w:val="none" w:sz="0" w:space="0" w:color="auto"/>
      </w:divBdr>
    </w:div>
    <w:div w:id="892931037">
      <w:bodyDiv w:val="1"/>
      <w:marLeft w:val="0"/>
      <w:marRight w:val="0"/>
      <w:marTop w:val="0"/>
      <w:marBottom w:val="0"/>
      <w:divBdr>
        <w:top w:val="none" w:sz="0" w:space="0" w:color="auto"/>
        <w:left w:val="none" w:sz="0" w:space="0" w:color="auto"/>
        <w:bottom w:val="none" w:sz="0" w:space="0" w:color="auto"/>
        <w:right w:val="none" w:sz="0" w:space="0" w:color="auto"/>
      </w:divBdr>
    </w:div>
    <w:div w:id="894657672">
      <w:bodyDiv w:val="1"/>
      <w:marLeft w:val="0"/>
      <w:marRight w:val="0"/>
      <w:marTop w:val="0"/>
      <w:marBottom w:val="0"/>
      <w:divBdr>
        <w:top w:val="none" w:sz="0" w:space="0" w:color="auto"/>
        <w:left w:val="none" w:sz="0" w:space="0" w:color="auto"/>
        <w:bottom w:val="none" w:sz="0" w:space="0" w:color="auto"/>
        <w:right w:val="none" w:sz="0" w:space="0" w:color="auto"/>
      </w:divBdr>
    </w:div>
    <w:div w:id="899679957">
      <w:bodyDiv w:val="1"/>
      <w:marLeft w:val="0"/>
      <w:marRight w:val="0"/>
      <w:marTop w:val="0"/>
      <w:marBottom w:val="0"/>
      <w:divBdr>
        <w:top w:val="none" w:sz="0" w:space="0" w:color="auto"/>
        <w:left w:val="none" w:sz="0" w:space="0" w:color="auto"/>
        <w:bottom w:val="none" w:sz="0" w:space="0" w:color="auto"/>
        <w:right w:val="none" w:sz="0" w:space="0" w:color="auto"/>
      </w:divBdr>
    </w:div>
    <w:div w:id="900286406">
      <w:bodyDiv w:val="1"/>
      <w:marLeft w:val="0"/>
      <w:marRight w:val="0"/>
      <w:marTop w:val="0"/>
      <w:marBottom w:val="0"/>
      <w:divBdr>
        <w:top w:val="none" w:sz="0" w:space="0" w:color="auto"/>
        <w:left w:val="none" w:sz="0" w:space="0" w:color="auto"/>
        <w:bottom w:val="none" w:sz="0" w:space="0" w:color="auto"/>
        <w:right w:val="none" w:sz="0" w:space="0" w:color="auto"/>
      </w:divBdr>
    </w:div>
    <w:div w:id="906526347">
      <w:bodyDiv w:val="1"/>
      <w:marLeft w:val="0"/>
      <w:marRight w:val="0"/>
      <w:marTop w:val="0"/>
      <w:marBottom w:val="0"/>
      <w:divBdr>
        <w:top w:val="none" w:sz="0" w:space="0" w:color="auto"/>
        <w:left w:val="none" w:sz="0" w:space="0" w:color="auto"/>
        <w:bottom w:val="none" w:sz="0" w:space="0" w:color="auto"/>
        <w:right w:val="none" w:sz="0" w:space="0" w:color="auto"/>
      </w:divBdr>
    </w:div>
    <w:div w:id="914322953">
      <w:bodyDiv w:val="1"/>
      <w:marLeft w:val="0"/>
      <w:marRight w:val="0"/>
      <w:marTop w:val="0"/>
      <w:marBottom w:val="0"/>
      <w:divBdr>
        <w:top w:val="none" w:sz="0" w:space="0" w:color="auto"/>
        <w:left w:val="none" w:sz="0" w:space="0" w:color="auto"/>
        <w:bottom w:val="none" w:sz="0" w:space="0" w:color="auto"/>
        <w:right w:val="none" w:sz="0" w:space="0" w:color="auto"/>
      </w:divBdr>
    </w:div>
    <w:div w:id="916132441">
      <w:bodyDiv w:val="1"/>
      <w:marLeft w:val="0"/>
      <w:marRight w:val="0"/>
      <w:marTop w:val="0"/>
      <w:marBottom w:val="0"/>
      <w:divBdr>
        <w:top w:val="none" w:sz="0" w:space="0" w:color="auto"/>
        <w:left w:val="none" w:sz="0" w:space="0" w:color="auto"/>
        <w:bottom w:val="none" w:sz="0" w:space="0" w:color="auto"/>
        <w:right w:val="none" w:sz="0" w:space="0" w:color="auto"/>
      </w:divBdr>
    </w:div>
    <w:div w:id="917397126">
      <w:bodyDiv w:val="1"/>
      <w:marLeft w:val="0"/>
      <w:marRight w:val="0"/>
      <w:marTop w:val="0"/>
      <w:marBottom w:val="0"/>
      <w:divBdr>
        <w:top w:val="none" w:sz="0" w:space="0" w:color="auto"/>
        <w:left w:val="none" w:sz="0" w:space="0" w:color="auto"/>
        <w:bottom w:val="none" w:sz="0" w:space="0" w:color="auto"/>
        <w:right w:val="none" w:sz="0" w:space="0" w:color="auto"/>
      </w:divBdr>
    </w:div>
    <w:div w:id="918826416">
      <w:bodyDiv w:val="1"/>
      <w:marLeft w:val="0"/>
      <w:marRight w:val="0"/>
      <w:marTop w:val="0"/>
      <w:marBottom w:val="0"/>
      <w:divBdr>
        <w:top w:val="none" w:sz="0" w:space="0" w:color="auto"/>
        <w:left w:val="none" w:sz="0" w:space="0" w:color="auto"/>
        <w:bottom w:val="none" w:sz="0" w:space="0" w:color="auto"/>
        <w:right w:val="none" w:sz="0" w:space="0" w:color="auto"/>
      </w:divBdr>
    </w:div>
    <w:div w:id="930048016">
      <w:bodyDiv w:val="1"/>
      <w:marLeft w:val="0"/>
      <w:marRight w:val="0"/>
      <w:marTop w:val="0"/>
      <w:marBottom w:val="0"/>
      <w:divBdr>
        <w:top w:val="none" w:sz="0" w:space="0" w:color="auto"/>
        <w:left w:val="none" w:sz="0" w:space="0" w:color="auto"/>
        <w:bottom w:val="none" w:sz="0" w:space="0" w:color="auto"/>
        <w:right w:val="none" w:sz="0" w:space="0" w:color="auto"/>
      </w:divBdr>
    </w:div>
    <w:div w:id="935597174">
      <w:bodyDiv w:val="1"/>
      <w:marLeft w:val="0"/>
      <w:marRight w:val="0"/>
      <w:marTop w:val="0"/>
      <w:marBottom w:val="0"/>
      <w:divBdr>
        <w:top w:val="none" w:sz="0" w:space="0" w:color="auto"/>
        <w:left w:val="none" w:sz="0" w:space="0" w:color="auto"/>
        <w:bottom w:val="none" w:sz="0" w:space="0" w:color="auto"/>
        <w:right w:val="none" w:sz="0" w:space="0" w:color="auto"/>
      </w:divBdr>
    </w:div>
    <w:div w:id="949049539">
      <w:bodyDiv w:val="1"/>
      <w:marLeft w:val="0"/>
      <w:marRight w:val="0"/>
      <w:marTop w:val="0"/>
      <w:marBottom w:val="0"/>
      <w:divBdr>
        <w:top w:val="none" w:sz="0" w:space="0" w:color="auto"/>
        <w:left w:val="none" w:sz="0" w:space="0" w:color="auto"/>
        <w:bottom w:val="none" w:sz="0" w:space="0" w:color="auto"/>
        <w:right w:val="none" w:sz="0" w:space="0" w:color="auto"/>
      </w:divBdr>
    </w:div>
    <w:div w:id="956570660">
      <w:bodyDiv w:val="1"/>
      <w:marLeft w:val="0"/>
      <w:marRight w:val="0"/>
      <w:marTop w:val="0"/>
      <w:marBottom w:val="0"/>
      <w:divBdr>
        <w:top w:val="none" w:sz="0" w:space="0" w:color="auto"/>
        <w:left w:val="none" w:sz="0" w:space="0" w:color="auto"/>
        <w:bottom w:val="none" w:sz="0" w:space="0" w:color="auto"/>
        <w:right w:val="none" w:sz="0" w:space="0" w:color="auto"/>
      </w:divBdr>
    </w:div>
    <w:div w:id="957876509">
      <w:bodyDiv w:val="1"/>
      <w:marLeft w:val="0"/>
      <w:marRight w:val="0"/>
      <w:marTop w:val="0"/>
      <w:marBottom w:val="0"/>
      <w:divBdr>
        <w:top w:val="none" w:sz="0" w:space="0" w:color="auto"/>
        <w:left w:val="none" w:sz="0" w:space="0" w:color="auto"/>
        <w:bottom w:val="none" w:sz="0" w:space="0" w:color="auto"/>
        <w:right w:val="none" w:sz="0" w:space="0" w:color="auto"/>
      </w:divBdr>
    </w:div>
    <w:div w:id="962925522">
      <w:bodyDiv w:val="1"/>
      <w:marLeft w:val="0"/>
      <w:marRight w:val="0"/>
      <w:marTop w:val="0"/>
      <w:marBottom w:val="0"/>
      <w:divBdr>
        <w:top w:val="none" w:sz="0" w:space="0" w:color="auto"/>
        <w:left w:val="none" w:sz="0" w:space="0" w:color="auto"/>
        <w:bottom w:val="none" w:sz="0" w:space="0" w:color="auto"/>
        <w:right w:val="none" w:sz="0" w:space="0" w:color="auto"/>
      </w:divBdr>
    </w:div>
    <w:div w:id="963076881">
      <w:bodyDiv w:val="1"/>
      <w:marLeft w:val="0"/>
      <w:marRight w:val="0"/>
      <w:marTop w:val="0"/>
      <w:marBottom w:val="0"/>
      <w:divBdr>
        <w:top w:val="none" w:sz="0" w:space="0" w:color="auto"/>
        <w:left w:val="none" w:sz="0" w:space="0" w:color="auto"/>
        <w:bottom w:val="none" w:sz="0" w:space="0" w:color="auto"/>
        <w:right w:val="none" w:sz="0" w:space="0" w:color="auto"/>
      </w:divBdr>
    </w:div>
    <w:div w:id="967005509">
      <w:bodyDiv w:val="1"/>
      <w:marLeft w:val="0"/>
      <w:marRight w:val="0"/>
      <w:marTop w:val="0"/>
      <w:marBottom w:val="0"/>
      <w:divBdr>
        <w:top w:val="none" w:sz="0" w:space="0" w:color="auto"/>
        <w:left w:val="none" w:sz="0" w:space="0" w:color="auto"/>
        <w:bottom w:val="none" w:sz="0" w:space="0" w:color="auto"/>
        <w:right w:val="none" w:sz="0" w:space="0" w:color="auto"/>
      </w:divBdr>
    </w:div>
    <w:div w:id="970786675">
      <w:bodyDiv w:val="1"/>
      <w:marLeft w:val="0"/>
      <w:marRight w:val="0"/>
      <w:marTop w:val="0"/>
      <w:marBottom w:val="0"/>
      <w:divBdr>
        <w:top w:val="none" w:sz="0" w:space="0" w:color="auto"/>
        <w:left w:val="none" w:sz="0" w:space="0" w:color="auto"/>
        <w:bottom w:val="none" w:sz="0" w:space="0" w:color="auto"/>
        <w:right w:val="none" w:sz="0" w:space="0" w:color="auto"/>
      </w:divBdr>
    </w:div>
    <w:div w:id="972978322">
      <w:bodyDiv w:val="1"/>
      <w:marLeft w:val="0"/>
      <w:marRight w:val="0"/>
      <w:marTop w:val="0"/>
      <w:marBottom w:val="0"/>
      <w:divBdr>
        <w:top w:val="none" w:sz="0" w:space="0" w:color="auto"/>
        <w:left w:val="none" w:sz="0" w:space="0" w:color="auto"/>
        <w:bottom w:val="none" w:sz="0" w:space="0" w:color="auto"/>
        <w:right w:val="none" w:sz="0" w:space="0" w:color="auto"/>
      </w:divBdr>
    </w:div>
    <w:div w:id="980383524">
      <w:bodyDiv w:val="1"/>
      <w:marLeft w:val="0"/>
      <w:marRight w:val="0"/>
      <w:marTop w:val="0"/>
      <w:marBottom w:val="0"/>
      <w:divBdr>
        <w:top w:val="none" w:sz="0" w:space="0" w:color="auto"/>
        <w:left w:val="none" w:sz="0" w:space="0" w:color="auto"/>
        <w:bottom w:val="none" w:sz="0" w:space="0" w:color="auto"/>
        <w:right w:val="none" w:sz="0" w:space="0" w:color="auto"/>
      </w:divBdr>
    </w:div>
    <w:div w:id="982346238">
      <w:bodyDiv w:val="1"/>
      <w:marLeft w:val="0"/>
      <w:marRight w:val="0"/>
      <w:marTop w:val="0"/>
      <w:marBottom w:val="0"/>
      <w:divBdr>
        <w:top w:val="none" w:sz="0" w:space="0" w:color="auto"/>
        <w:left w:val="none" w:sz="0" w:space="0" w:color="auto"/>
        <w:bottom w:val="none" w:sz="0" w:space="0" w:color="auto"/>
        <w:right w:val="none" w:sz="0" w:space="0" w:color="auto"/>
      </w:divBdr>
    </w:div>
    <w:div w:id="982857663">
      <w:bodyDiv w:val="1"/>
      <w:marLeft w:val="0"/>
      <w:marRight w:val="0"/>
      <w:marTop w:val="0"/>
      <w:marBottom w:val="0"/>
      <w:divBdr>
        <w:top w:val="none" w:sz="0" w:space="0" w:color="auto"/>
        <w:left w:val="none" w:sz="0" w:space="0" w:color="auto"/>
        <w:bottom w:val="none" w:sz="0" w:space="0" w:color="auto"/>
        <w:right w:val="none" w:sz="0" w:space="0" w:color="auto"/>
      </w:divBdr>
    </w:div>
    <w:div w:id="987711338">
      <w:bodyDiv w:val="1"/>
      <w:marLeft w:val="0"/>
      <w:marRight w:val="0"/>
      <w:marTop w:val="0"/>
      <w:marBottom w:val="0"/>
      <w:divBdr>
        <w:top w:val="none" w:sz="0" w:space="0" w:color="auto"/>
        <w:left w:val="none" w:sz="0" w:space="0" w:color="auto"/>
        <w:bottom w:val="none" w:sz="0" w:space="0" w:color="auto"/>
        <w:right w:val="none" w:sz="0" w:space="0" w:color="auto"/>
      </w:divBdr>
    </w:div>
    <w:div w:id="987975437">
      <w:bodyDiv w:val="1"/>
      <w:marLeft w:val="0"/>
      <w:marRight w:val="0"/>
      <w:marTop w:val="0"/>
      <w:marBottom w:val="0"/>
      <w:divBdr>
        <w:top w:val="none" w:sz="0" w:space="0" w:color="auto"/>
        <w:left w:val="none" w:sz="0" w:space="0" w:color="auto"/>
        <w:bottom w:val="none" w:sz="0" w:space="0" w:color="auto"/>
        <w:right w:val="none" w:sz="0" w:space="0" w:color="auto"/>
      </w:divBdr>
    </w:div>
    <w:div w:id="991180195">
      <w:bodyDiv w:val="1"/>
      <w:marLeft w:val="0"/>
      <w:marRight w:val="0"/>
      <w:marTop w:val="0"/>
      <w:marBottom w:val="0"/>
      <w:divBdr>
        <w:top w:val="none" w:sz="0" w:space="0" w:color="auto"/>
        <w:left w:val="none" w:sz="0" w:space="0" w:color="auto"/>
        <w:bottom w:val="none" w:sz="0" w:space="0" w:color="auto"/>
        <w:right w:val="none" w:sz="0" w:space="0" w:color="auto"/>
      </w:divBdr>
    </w:div>
    <w:div w:id="992758891">
      <w:bodyDiv w:val="1"/>
      <w:marLeft w:val="0"/>
      <w:marRight w:val="0"/>
      <w:marTop w:val="0"/>
      <w:marBottom w:val="0"/>
      <w:divBdr>
        <w:top w:val="none" w:sz="0" w:space="0" w:color="auto"/>
        <w:left w:val="none" w:sz="0" w:space="0" w:color="auto"/>
        <w:bottom w:val="none" w:sz="0" w:space="0" w:color="auto"/>
        <w:right w:val="none" w:sz="0" w:space="0" w:color="auto"/>
      </w:divBdr>
    </w:div>
    <w:div w:id="993148516">
      <w:bodyDiv w:val="1"/>
      <w:marLeft w:val="0"/>
      <w:marRight w:val="0"/>
      <w:marTop w:val="0"/>
      <w:marBottom w:val="0"/>
      <w:divBdr>
        <w:top w:val="none" w:sz="0" w:space="0" w:color="auto"/>
        <w:left w:val="none" w:sz="0" w:space="0" w:color="auto"/>
        <w:bottom w:val="none" w:sz="0" w:space="0" w:color="auto"/>
        <w:right w:val="none" w:sz="0" w:space="0" w:color="auto"/>
      </w:divBdr>
    </w:div>
    <w:div w:id="1004553737">
      <w:bodyDiv w:val="1"/>
      <w:marLeft w:val="0"/>
      <w:marRight w:val="0"/>
      <w:marTop w:val="0"/>
      <w:marBottom w:val="0"/>
      <w:divBdr>
        <w:top w:val="none" w:sz="0" w:space="0" w:color="auto"/>
        <w:left w:val="none" w:sz="0" w:space="0" w:color="auto"/>
        <w:bottom w:val="none" w:sz="0" w:space="0" w:color="auto"/>
        <w:right w:val="none" w:sz="0" w:space="0" w:color="auto"/>
      </w:divBdr>
    </w:div>
    <w:div w:id="1006320155">
      <w:bodyDiv w:val="1"/>
      <w:marLeft w:val="0"/>
      <w:marRight w:val="0"/>
      <w:marTop w:val="0"/>
      <w:marBottom w:val="0"/>
      <w:divBdr>
        <w:top w:val="none" w:sz="0" w:space="0" w:color="auto"/>
        <w:left w:val="none" w:sz="0" w:space="0" w:color="auto"/>
        <w:bottom w:val="none" w:sz="0" w:space="0" w:color="auto"/>
        <w:right w:val="none" w:sz="0" w:space="0" w:color="auto"/>
      </w:divBdr>
    </w:div>
    <w:div w:id="1023476846">
      <w:bodyDiv w:val="1"/>
      <w:marLeft w:val="0"/>
      <w:marRight w:val="0"/>
      <w:marTop w:val="0"/>
      <w:marBottom w:val="0"/>
      <w:divBdr>
        <w:top w:val="none" w:sz="0" w:space="0" w:color="auto"/>
        <w:left w:val="none" w:sz="0" w:space="0" w:color="auto"/>
        <w:bottom w:val="none" w:sz="0" w:space="0" w:color="auto"/>
        <w:right w:val="none" w:sz="0" w:space="0" w:color="auto"/>
      </w:divBdr>
    </w:div>
    <w:div w:id="1025598697">
      <w:bodyDiv w:val="1"/>
      <w:marLeft w:val="0"/>
      <w:marRight w:val="0"/>
      <w:marTop w:val="0"/>
      <w:marBottom w:val="0"/>
      <w:divBdr>
        <w:top w:val="none" w:sz="0" w:space="0" w:color="auto"/>
        <w:left w:val="none" w:sz="0" w:space="0" w:color="auto"/>
        <w:bottom w:val="none" w:sz="0" w:space="0" w:color="auto"/>
        <w:right w:val="none" w:sz="0" w:space="0" w:color="auto"/>
      </w:divBdr>
    </w:div>
    <w:div w:id="1033961502">
      <w:bodyDiv w:val="1"/>
      <w:marLeft w:val="0"/>
      <w:marRight w:val="0"/>
      <w:marTop w:val="0"/>
      <w:marBottom w:val="0"/>
      <w:divBdr>
        <w:top w:val="none" w:sz="0" w:space="0" w:color="auto"/>
        <w:left w:val="none" w:sz="0" w:space="0" w:color="auto"/>
        <w:bottom w:val="none" w:sz="0" w:space="0" w:color="auto"/>
        <w:right w:val="none" w:sz="0" w:space="0" w:color="auto"/>
      </w:divBdr>
    </w:div>
    <w:div w:id="1034696540">
      <w:bodyDiv w:val="1"/>
      <w:marLeft w:val="0"/>
      <w:marRight w:val="0"/>
      <w:marTop w:val="0"/>
      <w:marBottom w:val="0"/>
      <w:divBdr>
        <w:top w:val="none" w:sz="0" w:space="0" w:color="auto"/>
        <w:left w:val="none" w:sz="0" w:space="0" w:color="auto"/>
        <w:bottom w:val="none" w:sz="0" w:space="0" w:color="auto"/>
        <w:right w:val="none" w:sz="0" w:space="0" w:color="auto"/>
      </w:divBdr>
    </w:div>
    <w:div w:id="1050611269">
      <w:bodyDiv w:val="1"/>
      <w:marLeft w:val="0"/>
      <w:marRight w:val="0"/>
      <w:marTop w:val="0"/>
      <w:marBottom w:val="0"/>
      <w:divBdr>
        <w:top w:val="none" w:sz="0" w:space="0" w:color="auto"/>
        <w:left w:val="none" w:sz="0" w:space="0" w:color="auto"/>
        <w:bottom w:val="none" w:sz="0" w:space="0" w:color="auto"/>
        <w:right w:val="none" w:sz="0" w:space="0" w:color="auto"/>
      </w:divBdr>
    </w:div>
    <w:div w:id="1053769403">
      <w:bodyDiv w:val="1"/>
      <w:marLeft w:val="0"/>
      <w:marRight w:val="0"/>
      <w:marTop w:val="0"/>
      <w:marBottom w:val="0"/>
      <w:divBdr>
        <w:top w:val="none" w:sz="0" w:space="0" w:color="auto"/>
        <w:left w:val="none" w:sz="0" w:space="0" w:color="auto"/>
        <w:bottom w:val="none" w:sz="0" w:space="0" w:color="auto"/>
        <w:right w:val="none" w:sz="0" w:space="0" w:color="auto"/>
      </w:divBdr>
    </w:div>
    <w:div w:id="1062170983">
      <w:bodyDiv w:val="1"/>
      <w:marLeft w:val="0"/>
      <w:marRight w:val="0"/>
      <w:marTop w:val="0"/>
      <w:marBottom w:val="0"/>
      <w:divBdr>
        <w:top w:val="none" w:sz="0" w:space="0" w:color="auto"/>
        <w:left w:val="none" w:sz="0" w:space="0" w:color="auto"/>
        <w:bottom w:val="none" w:sz="0" w:space="0" w:color="auto"/>
        <w:right w:val="none" w:sz="0" w:space="0" w:color="auto"/>
      </w:divBdr>
    </w:div>
    <w:div w:id="1065686393">
      <w:bodyDiv w:val="1"/>
      <w:marLeft w:val="0"/>
      <w:marRight w:val="0"/>
      <w:marTop w:val="0"/>
      <w:marBottom w:val="0"/>
      <w:divBdr>
        <w:top w:val="none" w:sz="0" w:space="0" w:color="auto"/>
        <w:left w:val="none" w:sz="0" w:space="0" w:color="auto"/>
        <w:bottom w:val="none" w:sz="0" w:space="0" w:color="auto"/>
        <w:right w:val="none" w:sz="0" w:space="0" w:color="auto"/>
      </w:divBdr>
    </w:div>
    <w:div w:id="1066994728">
      <w:bodyDiv w:val="1"/>
      <w:marLeft w:val="0"/>
      <w:marRight w:val="0"/>
      <w:marTop w:val="0"/>
      <w:marBottom w:val="0"/>
      <w:divBdr>
        <w:top w:val="none" w:sz="0" w:space="0" w:color="auto"/>
        <w:left w:val="none" w:sz="0" w:space="0" w:color="auto"/>
        <w:bottom w:val="none" w:sz="0" w:space="0" w:color="auto"/>
        <w:right w:val="none" w:sz="0" w:space="0" w:color="auto"/>
      </w:divBdr>
    </w:div>
    <w:div w:id="1067533531">
      <w:bodyDiv w:val="1"/>
      <w:marLeft w:val="0"/>
      <w:marRight w:val="0"/>
      <w:marTop w:val="0"/>
      <w:marBottom w:val="0"/>
      <w:divBdr>
        <w:top w:val="none" w:sz="0" w:space="0" w:color="auto"/>
        <w:left w:val="none" w:sz="0" w:space="0" w:color="auto"/>
        <w:bottom w:val="none" w:sz="0" w:space="0" w:color="auto"/>
        <w:right w:val="none" w:sz="0" w:space="0" w:color="auto"/>
      </w:divBdr>
    </w:div>
    <w:div w:id="1068962206">
      <w:bodyDiv w:val="1"/>
      <w:marLeft w:val="0"/>
      <w:marRight w:val="0"/>
      <w:marTop w:val="0"/>
      <w:marBottom w:val="0"/>
      <w:divBdr>
        <w:top w:val="none" w:sz="0" w:space="0" w:color="auto"/>
        <w:left w:val="none" w:sz="0" w:space="0" w:color="auto"/>
        <w:bottom w:val="none" w:sz="0" w:space="0" w:color="auto"/>
        <w:right w:val="none" w:sz="0" w:space="0" w:color="auto"/>
      </w:divBdr>
    </w:div>
    <w:div w:id="1076904673">
      <w:bodyDiv w:val="1"/>
      <w:marLeft w:val="0"/>
      <w:marRight w:val="0"/>
      <w:marTop w:val="0"/>
      <w:marBottom w:val="0"/>
      <w:divBdr>
        <w:top w:val="none" w:sz="0" w:space="0" w:color="auto"/>
        <w:left w:val="none" w:sz="0" w:space="0" w:color="auto"/>
        <w:bottom w:val="none" w:sz="0" w:space="0" w:color="auto"/>
        <w:right w:val="none" w:sz="0" w:space="0" w:color="auto"/>
      </w:divBdr>
    </w:div>
    <w:div w:id="1077820176">
      <w:bodyDiv w:val="1"/>
      <w:marLeft w:val="0"/>
      <w:marRight w:val="0"/>
      <w:marTop w:val="0"/>
      <w:marBottom w:val="0"/>
      <w:divBdr>
        <w:top w:val="none" w:sz="0" w:space="0" w:color="auto"/>
        <w:left w:val="none" w:sz="0" w:space="0" w:color="auto"/>
        <w:bottom w:val="none" w:sz="0" w:space="0" w:color="auto"/>
        <w:right w:val="none" w:sz="0" w:space="0" w:color="auto"/>
      </w:divBdr>
    </w:div>
    <w:div w:id="1077937746">
      <w:bodyDiv w:val="1"/>
      <w:marLeft w:val="0"/>
      <w:marRight w:val="0"/>
      <w:marTop w:val="0"/>
      <w:marBottom w:val="0"/>
      <w:divBdr>
        <w:top w:val="none" w:sz="0" w:space="0" w:color="auto"/>
        <w:left w:val="none" w:sz="0" w:space="0" w:color="auto"/>
        <w:bottom w:val="none" w:sz="0" w:space="0" w:color="auto"/>
        <w:right w:val="none" w:sz="0" w:space="0" w:color="auto"/>
      </w:divBdr>
    </w:div>
    <w:div w:id="1080251596">
      <w:bodyDiv w:val="1"/>
      <w:marLeft w:val="0"/>
      <w:marRight w:val="0"/>
      <w:marTop w:val="0"/>
      <w:marBottom w:val="0"/>
      <w:divBdr>
        <w:top w:val="none" w:sz="0" w:space="0" w:color="auto"/>
        <w:left w:val="none" w:sz="0" w:space="0" w:color="auto"/>
        <w:bottom w:val="none" w:sz="0" w:space="0" w:color="auto"/>
        <w:right w:val="none" w:sz="0" w:space="0" w:color="auto"/>
      </w:divBdr>
      <w:divsChild>
        <w:div w:id="63914724">
          <w:marLeft w:val="0"/>
          <w:marRight w:val="0"/>
          <w:marTop w:val="0"/>
          <w:marBottom w:val="0"/>
          <w:divBdr>
            <w:top w:val="none" w:sz="0" w:space="0" w:color="auto"/>
            <w:left w:val="none" w:sz="0" w:space="0" w:color="auto"/>
            <w:bottom w:val="none" w:sz="0" w:space="0" w:color="auto"/>
            <w:right w:val="none" w:sz="0" w:space="0" w:color="auto"/>
          </w:divBdr>
        </w:div>
        <w:div w:id="685446025">
          <w:marLeft w:val="0"/>
          <w:marRight w:val="0"/>
          <w:marTop w:val="0"/>
          <w:marBottom w:val="0"/>
          <w:divBdr>
            <w:top w:val="none" w:sz="0" w:space="0" w:color="auto"/>
            <w:left w:val="none" w:sz="0" w:space="0" w:color="auto"/>
            <w:bottom w:val="none" w:sz="0" w:space="0" w:color="auto"/>
            <w:right w:val="none" w:sz="0" w:space="0" w:color="auto"/>
          </w:divBdr>
        </w:div>
        <w:div w:id="843858160">
          <w:marLeft w:val="0"/>
          <w:marRight w:val="0"/>
          <w:marTop w:val="0"/>
          <w:marBottom w:val="0"/>
          <w:divBdr>
            <w:top w:val="none" w:sz="0" w:space="0" w:color="auto"/>
            <w:left w:val="none" w:sz="0" w:space="0" w:color="auto"/>
            <w:bottom w:val="none" w:sz="0" w:space="0" w:color="auto"/>
            <w:right w:val="none" w:sz="0" w:space="0" w:color="auto"/>
          </w:divBdr>
        </w:div>
        <w:div w:id="1255019997">
          <w:marLeft w:val="0"/>
          <w:marRight w:val="0"/>
          <w:marTop w:val="0"/>
          <w:marBottom w:val="0"/>
          <w:divBdr>
            <w:top w:val="none" w:sz="0" w:space="0" w:color="auto"/>
            <w:left w:val="none" w:sz="0" w:space="0" w:color="auto"/>
            <w:bottom w:val="none" w:sz="0" w:space="0" w:color="auto"/>
            <w:right w:val="none" w:sz="0" w:space="0" w:color="auto"/>
          </w:divBdr>
        </w:div>
        <w:div w:id="1839684819">
          <w:marLeft w:val="0"/>
          <w:marRight w:val="0"/>
          <w:marTop w:val="0"/>
          <w:marBottom w:val="0"/>
          <w:divBdr>
            <w:top w:val="none" w:sz="0" w:space="0" w:color="auto"/>
            <w:left w:val="none" w:sz="0" w:space="0" w:color="auto"/>
            <w:bottom w:val="none" w:sz="0" w:space="0" w:color="auto"/>
            <w:right w:val="none" w:sz="0" w:space="0" w:color="auto"/>
          </w:divBdr>
        </w:div>
      </w:divsChild>
    </w:div>
    <w:div w:id="1083380183">
      <w:bodyDiv w:val="1"/>
      <w:marLeft w:val="0"/>
      <w:marRight w:val="0"/>
      <w:marTop w:val="0"/>
      <w:marBottom w:val="0"/>
      <w:divBdr>
        <w:top w:val="none" w:sz="0" w:space="0" w:color="auto"/>
        <w:left w:val="none" w:sz="0" w:space="0" w:color="auto"/>
        <w:bottom w:val="none" w:sz="0" w:space="0" w:color="auto"/>
        <w:right w:val="none" w:sz="0" w:space="0" w:color="auto"/>
      </w:divBdr>
    </w:div>
    <w:div w:id="1085540932">
      <w:bodyDiv w:val="1"/>
      <w:marLeft w:val="0"/>
      <w:marRight w:val="0"/>
      <w:marTop w:val="0"/>
      <w:marBottom w:val="0"/>
      <w:divBdr>
        <w:top w:val="none" w:sz="0" w:space="0" w:color="auto"/>
        <w:left w:val="none" w:sz="0" w:space="0" w:color="auto"/>
        <w:bottom w:val="none" w:sz="0" w:space="0" w:color="auto"/>
        <w:right w:val="none" w:sz="0" w:space="0" w:color="auto"/>
      </w:divBdr>
    </w:div>
    <w:div w:id="1098868715">
      <w:bodyDiv w:val="1"/>
      <w:marLeft w:val="0"/>
      <w:marRight w:val="0"/>
      <w:marTop w:val="0"/>
      <w:marBottom w:val="0"/>
      <w:divBdr>
        <w:top w:val="none" w:sz="0" w:space="0" w:color="auto"/>
        <w:left w:val="none" w:sz="0" w:space="0" w:color="auto"/>
        <w:bottom w:val="none" w:sz="0" w:space="0" w:color="auto"/>
        <w:right w:val="none" w:sz="0" w:space="0" w:color="auto"/>
      </w:divBdr>
    </w:div>
    <w:div w:id="1107434017">
      <w:bodyDiv w:val="1"/>
      <w:marLeft w:val="0"/>
      <w:marRight w:val="0"/>
      <w:marTop w:val="0"/>
      <w:marBottom w:val="0"/>
      <w:divBdr>
        <w:top w:val="none" w:sz="0" w:space="0" w:color="auto"/>
        <w:left w:val="none" w:sz="0" w:space="0" w:color="auto"/>
        <w:bottom w:val="none" w:sz="0" w:space="0" w:color="auto"/>
        <w:right w:val="none" w:sz="0" w:space="0" w:color="auto"/>
      </w:divBdr>
    </w:div>
    <w:div w:id="1115177503">
      <w:bodyDiv w:val="1"/>
      <w:marLeft w:val="0"/>
      <w:marRight w:val="0"/>
      <w:marTop w:val="0"/>
      <w:marBottom w:val="0"/>
      <w:divBdr>
        <w:top w:val="none" w:sz="0" w:space="0" w:color="auto"/>
        <w:left w:val="none" w:sz="0" w:space="0" w:color="auto"/>
        <w:bottom w:val="none" w:sz="0" w:space="0" w:color="auto"/>
        <w:right w:val="none" w:sz="0" w:space="0" w:color="auto"/>
      </w:divBdr>
    </w:div>
    <w:div w:id="1118060875">
      <w:bodyDiv w:val="1"/>
      <w:marLeft w:val="0"/>
      <w:marRight w:val="0"/>
      <w:marTop w:val="0"/>
      <w:marBottom w:val="0"/>
      <w:divBdr>
        <w:top w:val="none" w:sz="0" w:space="0" w:color="auto"/>
        <w:left w:val="none" w:sz="0" w:space="0" w:color="auto"/>
        <w:bottom w:val="none" w:sz="0" w:space="0" w:color="auto"/>
        <w:right w:val="none" w:sz="0" w:space="0" w:color="auto"/>
      </w:divBdr>
    </w:div>
    <w:div w:id="1135293001">
      <w:bodyDiv w:val="1"/>
      <w:marLeft w:val="0"/>
      <w:marRight w:val="0"/>
      <w:marTop w:val="0"/>
      <w:marBottom w:val="0"/>
      <w:divBdr>
        <w:top w:val="none" w:sz="0" w:space="0" w:color="auto"/>
        <w:left w:val="none" w:sz="0" w:space="0" w:color="auto"/>
        <w:bottom w:val="none" w:sz="0" w:space="0" w:color="auto"/>
        <w:right w:val="none" w:sz="0" w:space="0" w:color="auto"/>
      </w:divBdr>
    </w:div>
    <w:div w:id="1136754523">
      <w:bodyDiv w:val="1"/>
      <w:marLeft w:val="0"/>
      <w:marRight w:val="0"/>
      <w:marTop w:val="0"/>
      <w:marBottom w:val="0"/>
      <w:divBdr>
        <w:top w:val="none" w:sz="0" w:space="0" w:color="auto"/>
        <w:left w:val="none" w:sz="0" w:space="0" w:color="auto"/>
        <w:bottom w:val="none" w:sz="0" w:space="0" w:color="auto"/>
        <w:right w:val="none" w:sz="0" w:space="0" w:color="auto"/>
      </w:divBdr>
    </w:div>
    <w:div w:id="1137070905">
      <w:bodyDiv w:val="1"/>
      <w:marLeft w:val="0"/>
      <w:marRight w:val="0"/>
      <w:marTop w:val="0"/>
      <w:marBottom w:val="0"/>
      <w:divBdr>
        <w:top w:val="none" w:sz="0" w:space="0" w:color="auto"/>
        <w:left w:val="none" w:sz="0" w:space="0" w:color="auto"/>
        <w:bottom w:val="none" w:sz="0" w:space="0" w:color="auto"/>
        <w:right w:val="none" w:sz="0" w:space="0" w:color="auto"/>
      </w:divBdr>
    </w:div>
    <w:div w:id="1143498326">
      <w:bodyDiv w:val="1"/>
      <w:marLeft w:val="0"/>
      <w:marRight w:val="0"/>
      <w:marTop w:val="0"/>
      <w:marBottom w:val="0"/>
      <w:divBdr>
        <w:top w:val="none" w:sz="0" w:space="0" w:color="auto"/>
        <w:left w:val="none" w:sz="0" w:space="0" w:color="auto"/>
        <w:bottom w:val="none" w:sz="0" w:space="0" w:color="auto"/>
        <w:right w:val="none" w:sz="0" w:space="0" w:color="auto"/>
      </w:divBdr>
    </w:div>
    <w:div w:id="1144272970">
      <w:bodyDiv w:val="1"/>
      <w:marLeft w:val="0"/>
      <w:marRight w:val="0"/>
      <w:marTop w:val="0"/>
      <w:marBottom w:val="0"/>
      <w:divBdr>
        <w:top w:val="none" w:sz="0" w:space="0" w:color="auto"/>
        <w:left w:val="none" w:sz="0" w:space="0" w:color="auto"/>
        <w:bottom w:val="none" w:sz="0" w:space="0" w:color="auto"/>
        <w:right w:val="none" w:sz="0" w:space="0" w:color="auto"/>
      </w:divBdr>
    </w:div>
    <w:div w:id="1155536235">
      <w:bodyDiv w:val="1"/>
      <w:marLeft w:val="0"/>
      <w:marRight w:val="0"/>
      <w:marTop w:val="0"/>
      <w:marBottom w:val="0"/>
      <w:divBdr>
        <w:top w:val="none" w:sz="0" w:space="0" w:color="auto"/>
        <w:left w:val="none" w:sz="0" w:space="0" w:color="auto"/>
        <w:bottom w:val="none" w:sz="0" w:space="0" w:color="auto"/>
        <w:right w:val="none" w:sz="0" w:space="0" w:color="auto"/>
      </w:divBdr>
    </w:div>
    <w:div w:id="1164780869">
      <w:bodyDiv w:val="1"/>
      <w:marLeft w:val="0"/>
      <w:marRight w:val="0"/>
      <w:marTop w:val="0"/>
      <w:marBottom w:val="0"/>
      <w:divBdr>
        <w:top w:val="none" w:sz="0" w:space="0" w:color="auto"/>
        <w:left w:val="none" w:sz="0" w:space="0" w:color="auto"/>
        <w:bottom w:val="none" w:sz="0" w:space="0" w:color="auto"/>
        <w:right w:val="none" w:sz="0" w:space="0" w:color="auto"/>
      </w:divBdr>
    </w:div>
    <w:div w:id="1176310333">
      <w:bodyDiv w:val="1"/>
      <w:marLeft w:val="0"/>
      <w:marRight w:val="0"/>
      <w:marTop w:val="0"/>
      <w:marBottom w:val="0"/>
      <w:divBdr>
        <w:top w:val="none" w:sz="0" w:space="0" w:color="auto"/>
        <w:left w:val="none" w:sz="0" w:space="0" w:color="auto"/>
        <w:bottom w:val="none" w:sz="0" w:space="0" w:color="auto"/>
        <w:right w:val="none" w:sz="0" w:space="0" w:color="auto"/>
      </w:divBdr>
    </w:div>
    <w:div w:id="1179546596">
      <w:bodyDiv w:val="1"/>
      <w:marLeft w:val="0"/>
      <w:marRight w:val="0"/>
      <w:marTop w:val="0"/>
      <w:marBottom w:val="0"/>
      <w:divBdr>
        <w:top w:val="none" w:sz="0" w:space="0" w:color="auto"/>
        <w:left w:val="none" w:sz="0" w:space="0" w:color="auto"/>
        <w:bottom w:val="none" w:sz="0" w:space="0" w:color="auto"/>
        <w:right w:val="none" w:sz="0" w:space="0" w:color="auto"/>
      </w:divBdr>
    </w:div>
    <w:div w:id="1184707417">
      <w:bodyDiv w:val="1"/>
      <w:marLeft w:val="0"/>
      <w:marRight w:val="0"/>
      <w:marTop w:val="0"/>
      <w:marBottom w:val="0"/>
      <w:divBdr>
        <w:top w:val="none" w:sz="0" w:space="0" w:color="auto"/>
        <w:left w:val="none" w:sz="0" w:space="0" w:color="auto"/>
        <w:bottom w:val="none" w:sz="0" w:space="0" w:color="auto"/>
        <w:right w:val="none" w:sz="0" w:space="0" w:color="auto"/>
      </w:divBdr>
    </w:div>
    <w:div w:id="1194732849">
      <w:bodyDiv w:val="1"/>
      <w:marLeft w:val="0"/>
      <w:marRight w:val="0"/>
      <w:marTop w:val="0"/>
      <w:marBottom w:val="0"/>
      <w:divBdr>
        <w:top w:val="none" w:sz="0" w:space="0" w:color="auto"/>
        <w:left w:val="none" w:sz="0" w:space="0" w:color="auto"/>
        <w:bottom w:val="none" w:sz="0" w:space="0" w:color="auto"/>
        <w:right w:val="none" w:sz="0" w:space="0" w:color="auto"/>
      </w:divBdr>
    </w:div>
    <w:div w:id="1199708792">
      <w:bodyDiv w:val="1"/>
      <w:marLeft w:val="0"/>
      <w:marRight w:val="0"/>
      <w:marTop w:val="0"/>
      <w:marBottom w:val="0"/>
      <w:divBdr>
        <w:top w:val="none" w:sz="0" w:space="0" w:color="auto"/>
        <w:left w:val="none" w:sz="0" w:space="0" w:color="auto"/>
        <w:bottom w:val="none" w:sz="0" w:space="0" w:color="auto"/>
        <w:right w:val="none" w:sz="0" w:space="0" w:color="auto"/>
      </w:divBdr>
    </w:div>
    <w:div w:id="1201624577">
      <w:bodyDiv w:val="1"/>
      <w:marLeft w:val="0"/>
      <w:marRight w:val="0"/>
      <w:marTop w:val="0"/>
      <w:marBottom w:val="0"/>
      <w:divBdr>
        <w:top w:val="none" w:sz="0" w:space="0" w:color="auto"/>
        <w:left w:val="none" w:sz="0" w:space="0" w:color="auto"/>
        <w:bottom w:val="none" w:sz="0" w:space="0" w:color="auto"/>
        <w:right w:val="none" w:sz="0" w:space="0" w:color="auto"/>
      </w:divBdr>
    </w:div>
    <w:div w:id="1204054150">
      <w:bodyDiv w:val="1"/>
      <w:marLeft w:val="0"/>
      <w:marRight w:val="0"/>
      <w:marTop w:val="0"/>
      <w:marBottom w:val="0"/>
      <w:divBdr>
        <w:top w:val="none" w:sz="0" w:space="0" w:color="auto"/>
        <w:left w:val="none" w:sz="0" w:space="0" w:color="auto"/>
        <w:bottom w:val="none" w:sz="0" w:space="0" w:color="auto"/>
        <w:right w:val="none" w:sz="0" w:space="0" w:color="auto"/>
      </w:divBdr>
    </w:div>
    <w:div w:id="1211264070">
      <w:bodyDiv w:val="1"/>
      <w:marLeft w:val="0"/>
      <w:marRight w:val="0"/>
      <w:marTop w:val="0"/>
      <w:marBottom w:val="0"/>
      <w:divBdr>
        <w:top w:val="none" w:sz="0" w:space="0" w:color="auto"/>
        <w:left w:val="none" w:sz="0" w:space="0" w:color="auto"/>
        <w:bottom w:val="none" w:sz="0" w:space="0" w:color="auto"/>
        <w:right w:val="none" w:sz="0" w:space="0" w:color="auto"/>
      </w:divBdr>
    </w:div>
    <w:div w:id="1212377621">
      <w:bodyDiv w:val="1"/>
      <w:marLeft w:val="0"/>
      <w:marRight w:val="0"/>
      <w:marTop w:val="0"/>
      <w:marBottom w:val="0"/>
      <w:divBdr>
        <w:top w:val="none" w:sz="0" w:space="0" w:color="auto"/>
        <w:left w:val="none" w:sz="0" w:space="0" w:color="auto"/>
        <w:bottom w:val="none" w:sz="0" w:space="0" w:color="auto"/>
        <w:right w:val="none" w:sz="0" w:space="0" w:color="auto"/>
      </w:divBdr>
    </w:div>
    <w:div w:id="1215118696">
      <w:bodyDiv w:val="1"/>
      <w:marLeft w:val="0"/>
      <w:marRight w:val="0"/>
      <w:marTop w:val="0"/>
      <w:marBottom w:val="0"/>
      <w:divBdr>
        <w:top w:val="none" w:sz="0" w:space="0" w:color="auto"/>
        <w:left w:val="none" w:sz="0" w:space="0" w:color="auto"/>
        <w:bottom w:val="none" w:sz="0" w:space="0" w:color="auto"/>
        <w:right w:val="none" w:sz="0" w:space="0" w:color="auto"/>
      </w:divBdr>
    </w:div>
    <w:div w:id="1217281760">
      <w:bodyDiv w:val="1"/>
      <w:marLeft w:val="0"/>
      <w:marRight w:val="0"/>
      <w:marTop w:val="0"/>
      <w:marBottom w:val="0"/>
      <w:divBdr>
        <w:top w:val="none" w:sz="0" w:space="0" w:color="auto"/>
        <w:left w:val="none" w:sz="0" w:space="0" w:color="auto"/>
        <w:bottom w:val="none" w:sz="0" w:space="0" w:color="auto"/>
        <w:right w:val="none" w:sz="0" w:space="0" w:color="auto"/>
      </w:divBdr>
    </w:div>
    <w:div w:id="1220433583">
      <w:bodyDiv w:val="1"/>
      <w:marLeft w:val="0"/>
      <w:marRight w:val="0"/>
      <w:marTop w:val="0"/>
      <w:marBottom w:val="0"/>
      <w:divBdr>
        <w:top w:val="none" w:sz="0" w:space="0" w:color="auto"/>
        <w:left w:val="none" w:sz="0" w:space="0" w:color="auto"/>
        <w:bottom w:val="none" w:sz="0" w:space="0" w:color="auto"/>
        <w:right w:val="none" w:sz="0" w:space="0" w:color="auto"/>
      </w:divBdr>
    </w:div>
    <w:div w:id="1225096916">
      <w:bodyDiv w:val="1"/>
      <w:marLeft w:val="0"/>
      <w:marRight w:val="0"/>
      <w:marTop w:val="0"/>
      <w:marBottom w:val="0"/>
      <w:divBdr>
        <w:top w:val="none" w:sz="0" w:space="0" w:color="auto"/>
        <w:left w:val="none" w:sz="0" w:space="0" w:color="auto"/>
        <w:bottom w:val="none" w:sz="0" w:space="0" w:color="auto"/>
        <w:right w:val="none" w:sz="0" w:space="0" w:color="auto"/>
      </w:divBdr>
    </w:div>
    <w:div w:id="1232891780">
      <w:bodyDiv w:val="1"/>
      <w:marLeft w:val="0"/>
      <w:marRight w:val="0"/>
      <w:marTop w:val="0"/>
      <w:marBottom w:val="0"/>
      <w:divBdr>
        <w:top w:val="none" w:sz="0" w:space="0" w:color="auto"/>
        <w:left w:val="none" w:sz="0" w:space="0" w:color="auto"/>
        <w:bottom w:val="none" w:sz="0" w:space="0" w:color="auto"/>
        <w:right w:val="none" w:sz="0" w:space="0" w:color="auto"/>
      </w:divBdr>
    </w:div>
    <w:div w:id="1238397542">
      <w:bodyDiv w:val="1"/>
      <w:marLeft w:val="0"/>
      <w:marRight w:val="0"/>
      <w:marTop w:val="0"/>
      <w:marBottom w:val="0"/>
      <w:divBdr>
        <w:top w:val="none" w:sz="0" w:space="0" w:color="auto"/>
        <w:left w:val="none" w:sz="0" w:space="0" w:color="auto"/>
        <w:bottom w:val="none" w:sz="0" w:space="0" w:color="auto"/>
        <w:right w:val="none" w:sz="0" w:space="0" w:color="auto"/>
      </w:divBdr>
    </w:div>
    <w:div w:id="1238399631">
      <w:bodyDiv w:val="1"/>
      <w:marLeft w:val="0"/>
      <w:marRight w:val="0"/>
      <w:marTop w:val="0"/>
      <w:marBottom w:val="0"/>
      <w:divBdr>
        <w:top w:val="none" w:sz="0" w:space="0" w:color="auto"/>
        <w:left w:val="none" w:sz="0" w:space="0" w:color="auto"/>
        <w:bottom w:val="none" w:sz="0" w:space="0" w:color="auto"/>
        <w:right w:val="none" w:sz="0" w:space="0" w:color="auto"/>
      </w:divBdr>
    </w:div>
    <w:div w:id="1238974294">
      <w:bodyDiv w:val="1"/>
      <w:marLeft w:val="0"/>
      <w:marRight w:val="0"/>
      <w:marTop w:val="0"/>
      <w:marBottom w:val="0"/>
      <w:divBdr>
        <w:top w:val="none" w:sz="0" w:space="0" w:color="auto"/>
        <w:left w:val="none" w:sz="0" w:space="0" w:color="auto"/>
        <w:bottom w:val="none" w:sz="0" w:space="0" w:color="auto"/>
        <w:right w:val="none" w:sz="0" w:space="0" w:color="auto"/>
      </w:divBdr>
    </w:div>
    <w:div w:id="1245727146">
      <w:bodyDiv w:val="1"/>
      <w:marLeft w:val="0"/>
      <w:marRight w:val="0"/>
      <w:marTop w:val="0"/>
      <w:marBottom w:val="0"/>
      <w:divBdr>
        <w:top w:val="none" w:sz="0" w:space="0" w:color="auto"/>
        <w:left w:val="none" w:sz="0" w:space="0" w:color="auto"/>
        <w:bottom w:val="none" w:sz="0" w:space="0" w:color="auto"/>
        <w:right w:val="none" w:sz="0" w:space="0" w:color="auto"/>
      </w:divBdr>
    </w:div>
    <w:div w:id="1247031137">
      <w:bodyDiv w:val="1"/>
      <w:marLeft w:val="0"/>
      <w:marRight w:val="0"/>
      <w:marTop w:val="0"/>
      <w:marBottom w:val="0"/>
      <w:divBdr>
        <w:top w:val="none" w:sz="0" w:space="0" w:color="auto"/>
        <w:left w:val="none" w:sz="0" w:space="0" w:color="auto"/>
        <w:bottom w:val="none" w:sz="0" w:space="0" w:color="auto"/>
        <w:right w:val="none" w:sz="0" w:space="0" w:color="auto"/>
      </w:divBdr>
    </w:div>
    <w:div w:id="1248611526">
      <w:bodyDiv w:val="1"/>
      <w:marLeft w:val="0"/>
      <w:marRight w:val="0"/>
      <w:marTop w:val="0"/>
      <w:marBottom w:val="0"/>
      <w:divBdr>
        <w:top w:val="none" w:sz="0" w:space="0" w:color="auto"/>
        <w:left w:val="none" w:sz="0" w:space="0" w:color="auto"/>
        <w:bottom w:val="none" w:sz="0" w:space="0" w:color="auto"/>
        <w:right w:val="none" w:sz="0" w:space="0" w:color="auto"/>
      </w:divBdr>
    </w:div>
    <w:div w:id="1252471169">
      <w:bodyDiv w:val="1"/>
      <w:marLeft w:val="0"/>
      <w:marRight w:val="0"/>
      <w:marTop w:val="0"/>
      <w:marBottom w:val="0"/>
      <w:divBdr>
        <w:top w:val="none" w:sz="0" w:space="0" w:color="auto"/>
        <w:left w:val="none" w:sz="0" w:space="0" w:color="auto"/>
        <w:bottom w:val="none" w:sz="0" w:space="0" w:color="auto"/>
        <w:right w:val="none" w:sz="0" w:space="0" w:color="auto"/>
      </w:divBdr>
    </w:div>
    <w:div w:id="1255240220">
      <w:bodyDiv w:val="1"/>
      <w:marLeft w:val="0"/>
      <w:marRight w:val="0"/>
      <w:marTop w:val="0"/>
      <w:marBottom w:val="0"/>
      <w:divBdr>
        <w:top w:val="none" w:sz="0" w:space="0" w:color="auto"/>
        <w:left w:val="none" w:sz="0" w:space="0" w:color="auto"/>
        <w:bottom w:val="none" w:sz="0" w:space="0" w:color="auto"/>
        <w:right w:val="none" w:sz="0" w:space="0" w:color="auto"/>
      </w:divBdr>
    </w:div>
    <w:div w:id="1257521073">
      <w:bodyDiv w:val="1"/>
      <w:marLeft w:val="0"/>
      <w:marRight w:val="0"/>
      <w:marTop w:val="0"/>
      <w:marBottom w:val="0"/>
      <w:divBdr>
        <w:top w:val="none" w:sz="0" w:space="0" w:color="auto"/>
        <w:left w:val="none" w:sz="0" w:space="0" w:color="auto"/>
        <w:bottom w:val="none" w:sz="0" w:space="0" w:color="auto"/>
        <w:right w:val="none" w:sz="0" w:space="0" w:color="auto"/>
      </w:divBdr>
    </w:div>
    <w:div w:id="1257594301">
      <w:bodyDiv w:val="1"/>
      <w:marLeft w:val="0"/>
      <w:marRight w:val="0"/>
      <w:marTop w:val="0"/>
      <w:marBottom w:val="0"/>
      <w:divBdr>
        <w:top w:val="none" w:sz="0" w:space="0" w:color="auto"/>
        <w:left w:val="none" w:sz="0" w:space="0" w:color="auto"/>
        <w:bottom w:val="none" w:sz="0" w:space="0" w:color="auto"/>
        <w:right w:val="none" w:sz="0" w:space="0" w:color="auto"/>
      </w:divBdr>
    </w:div>
    <w:div w:id="1266383636">
      <w:bodyDiv w:val="1"/>
      <w:marLeft w:val="0"/>
      <w:marRight w:val="0"/>
      <w:marTop w:val="0"/>
      <w:marBottom w:val="0"/>
      <w:divBdr>
        <w:top w:val="none" w:sz="0" w:space="0" w:color="auto"/>
        <w:left w:val="none" w:sz="0" w:space="0" w:color="auto"/>
        <w:bottom w:val="none" w:sz="0" w:space="0" w:color="auto"/>
        <w:right w:val="none" w:sz="0" w:space="0" w:color="auto"/>
      </w:divBdr>
    </w:div>
    <w:div w:id="1279262773">
      <w:bodyDiv w:val="1"/>
      <w:marLeft w:val="0"/>
      <w:marRight w:val="0"/>
      <w:marTop w:val="0"/>
      <w:marBottom w:val="0"/>
      <w:divBdr>
        <w:top w:val="none" w:sz="0" w:space="0" w:color="auto"/>
        <w:left w:val="none" w:sz="0" w:space="0" w:color="auto"/>
        <w:bottom w:val="none" w:sz="0" w:space="0" w:color="auto"/>
        <w:right w:val="none" w:sz="0" w:space="0" w:color="auto"/>
      </w:divBdr>
    </w:div>
    <w:div w:id="1279265210">
      <w:bodyDiv w:val="1"/>
      <w:marLeft w:val="0"/>
      <w:marRight w:val="0"/>
      <w:marTop w:val="0"/>
      <w:marBottom w:val="0"/>
      <w:divBdr>
        <w:top w:val="none" w:sz="0" w:space="0" w:color="auto"/>
        <w:left w:val="none" w:sz="0" w:space="0" w:color="auto"/>
        <w:bottom w:val="none" w:sz="0" w:space="0" w:color="auto"/>
        <w:right w:val="none" w:sz="0" w:space="0" w:color="auto"/>
      </w:divBdr>
    </w:div>
    <w:div w:id="1285042218">
      <w:bodyDiv w:val="1"/>
      <w:marLeft w:val="0"/>
      <w:marRight w:val="0"/>
      <w:marTop w:val="0"/>
      <w:marBottom w:val="0"/>
      <w:divBdr>
        <w:top w:val="none" w:sz="0" w:space="0" w:color="auto"/>
        <w:left w:val="none" w:sz="0" w:space="0" w:color="auto"/>
        <w:bottom w:val="none" w:sz="0" w:space="0" w:color="auto"/>
        <w:right w:val="none" w:sz="0" w:space="0" w:color="auto"/>
      </w:divBdr>
    </w:div>
    <w:div w:id="1285501308">
      <w:bodyDiv w:val="1"/>
      <w:marLeft w:val="0"/>
      <w:marRight w:val="0"/>
      <w:marTop w:val="0"/>
      <w:marBottom w:val="0"/>
      <w:divBdr>
        <w:top w:val="none" w:sz="0" w:space="0" w:color="auto"/>
        <w:left w:val="none" w:sz="0" w:space="0" w:color="auto"/>
        <w:bottom w:val="none" w:sz="0" w:space="0" w:color="auto"/>
        <w:right w:val="none" w:sz="0" w:space="0" w:color="auto"/>
      </w:divBdr>
    </w:div>
    <w:div w:id="1289315193">
      <w:bodyDiv w:val="1"/>
      <w:marLeft w:val="0"/>
      <w:marRight w:val="0"/>
      <w:marTop w:val="0"/>
      <w:marBottom w:val="0"/>
      <w:divBdr>
        <w:top w:val="none" w:sz="0" w:space="0" w:color="auto"/>
        <w:left w:val="none" w:sz="0" w:space="0" w:color="auto"/>
        <w:bottom w:val="none" w:sz="0" w:space="0" w:color="auto"/>
        <w:right w:val="none" w:sz="0" w:space="0" w:color="auto"/>
      </w:divBdr>
    </w:div>
    <w:div w:id="1293360654">
      <w:bodyDiv w:val="1"/>
      <w:marLeft w:val="0"/>
      <w:marRight w:val="0"/>
      <w:marTop w:val="0"/>
      <w:marBottom w:val="0"/>
      <w:divBdr>
        <w:top w:val="none" w:sz="0" w:space="0" w:color="auto"/>
        <w:left w:val="none" w:sz="0" w:space="0" w:color="auto"/>
        <w:bottom w:val="none" w:sz="0" w:space="0" w:color="auto"/>
        <w:right w:val="none" w:sz="0" w:space="0" w:color="auto"/>
      </w:divBdr>
    </w:div>
    <w:div w:id="1294170759">
      <w:bodyDiv w:val="1"/>
      <w:marLeft w:val="0"/>
      <w:marRight w:val="0"/>
      <w:marTop w:val="0"/>
      <w:marBottom w:val="0"/>
      <w:divBdr>
        <w:top w:val="none" w:sz="0" w:space="0" w:color="auto"/>
        <w:left w:val="none" w:sz="0" w:space="0" w:color="auto"/>
        <w:bottom w:val="none" w:sz="0" w:space="0" w:color="auto"/>
        <w:right w:val="none" w:sz="0" w:space="0" w:color="auto"/>
      </w:divBdr>
    </w:div>
    <w:div w:id="1294798320">
      <w:bodyDiv w:val="1"/>
      <w:marLeft w:val="0"/>
      <w:marRight w:val="0"/>
      <w:marTop w:val="0"/>
      <w:marBottom w:val="0"/>
      <w:divBdr>
        <w:top w:val="none" w:sz="0" w:space="0" w:color="auto"/>
        <w:left w:val="none" w:sz="0" w:space="0" w:color="auto"/>
        <w:bottom w:val="none" w:sz="0" w:space="0" w:color="auto"/>
        <w:right w:val="none" w:sz="0" w:space="0" w:color="auto"/>
      </w:divBdr>
    </w:div>
    <w:div w:id="1295019311">
      <w:bodyDiv w:val="1"/>
      <w:marLeft w:val="0"/>
      <w:marRight w:val="0"/>
      <w:marTop w:val="0"/>
      <w:marBottom w:val="0"/>
      <w:divBdr>
        <w:top w:val="none" w:sz="0" w:space="0" w:color="auto"/>
        <w:left w:val="none" w:sz="0" w:space="0" w:color="auto"/>
        <w:bottom w:val="none" w:sz="0" w:space="0" w:color="auto"/>
        <w:right w:val="none" w:sz="0" w:space="0" w:color="auto"/>
      </w:divBdr>
    </w:div>
    <w:div w:id="1299189731">
      <w:bodyDiv w:val="1"/>
      <w:marLeft w:val="0"/>
      <w:marRight w:val="0"/>
      <w:marTop w:val="0"/>
      <w:marBottom w:val="0"/>
      <w:divBdr>
        <w:top w:val="none" w:sz="0" w:space="0" w:color="auto"/>
        <w:left w:val="none" w:sz="0" w:space="0" w:color="auto"/>
        <w:bottom w:val="none" w:sz="0" w:space="0" w:color="auto"/>
        <w:right w:val="none" w:sz="0" w:space="0" w:color="auto"/>
      </w:divBdr>
    </w:div>
    <w:div w:id="1299844653">
      <w:bodyDiv w:val="1"/>
      <w:marLeft w:val="0"/>
      <w:marRight w:val="0"/>
      <w:marTop w:val="0"/>
      <w:marBottom w:val="0"/>
      <w:divBdr>
        <w:top w:val="none" w:sz="0" w:space="0" w:color="auto"/>
        <w:left w:val="none" w:sz="0" w:space="0" w:color="auto"/>
        <w:bottom w:val="none" w:sz="0" w:space="0" w:color="auto"/>
        <w:right w:val="none" w:sz="0" w:space="0" w:color="auto"/>
      </w:divBdr>
    </w:div>
    <w:div w:id="1300066008">
      <w:bodyDiv w:val="1"/>
      <w:marLeft w:val="0"/>
      <w:marRight w:val="0"/>
      <w:marTop w:val="0"/>
      <w:marBottom w:val="0"/>
      <w:divBdr>
        <w:top w:val="none" w:sz="0" w:space="0" w:color="auto"/>
        <w:left w:val="none" w:sz="0" w:space="0" w:color="auto"/>
        <w:bottom w:val="none" w:sz="0" w:space="0" w:color="auto"/>
        <w:right w:val="none" w:sz="0" w:space="0" w:color="auto"/>
      </w:divBdr>
    </w:div>
    <w:div w:id="1317998744">
      <w:bodyDiv w:val="1"/>
      <w:marLeft w:val="0"/>
      <w:marRight w:val="0"/>
      <w:marTop w:val="0"/>
      <w:marBottom w:val="0"/>
      <w:divBdr>
        <w:top w:val="none" w:sz="0" w:space="0" w:color="auto"/>
        <w:left w:val="none" w:sz="0" w:space="0" w:color="auto"/>
        <w:bottom w:val="none" w:sz="0" w:space="0" w:color="auto"/>
        <w:right w:val="none" w:sz="0" w:space="0" w:color="auto"/>
      </w:divBdr>
    </w:div>
    <w:div w:id="1318419225">
      <w:bodyDiv w:val="1"/>
      <w:marLeft w:val="0"/>
      <w:marRight w:val="0"/>
      <w:marTop w:val="0"/>
      <w:marBottom w:val="0"/>
      <w:divBdr>
        <w:top w:val="none" w:sz="0" w:space="0" w:color="auto"/>
        <w:left w:val="none" w:sz="0" w:space="0" w:color="auto"/>
        <w:bottom w:val="none" w:sz="0" w:space="0" w:color="auto"/>
        <w:right w:val="none" w:sz="0" w:space="0" w:color="auto"/>
      </w:divBdr>
    </w:div>
    <w:div w:id="1320503911">
      <w:bodyDiv w:val="1"/>
      <w:marLeft w:val="0"/>
      <w:marRight w:val="0"/>
      <w:marTop w:val="0"/>
      <w:marBottom w:val="0"/>
      <w:divBdr>
        <w:top w:val="none" w:sz="0" w:space="0" w:color="auto"/>
        <w:left w:val="none" w:sz="0" w:space="0" w:color="auto"/>
        <w:bottom w:val="none" w:sz="0" w:space="0" w:color="auto"/>
        <w:right w:val="none" w:sz="0" w:space="0" w:color="auto"/>
      </w:divBdr>
    </w:div>
    <w:div w:id="1321497961">
      <w:bodyDiv w:val="1"/>
      <w:marLeft w:val="0"/>
      <w:marRight w:val="0"/>
      <w:marTop w:val="0"/>
      <w:marBottom w:val="0"/>
      <w:divBdr>
        <w:top w:val="none" w:sz="0" w:space="0" w:color="auto"/>
        <w:left w:val="none" w:sz="0" w:space="0" w:color="auto"/>
        <w:bottom w:val="none" w:sz="0" w:space="0" w:color="auto"/>
        <w:right w:val="none" w:sz="0" w:space="0" w:color="auto"/>
      </w:divBdr>
    </w:div>
    <w:div w:id="1333265616">
      <w:bodyDiv w:val="1"/>
      <w:marLeft w:val="0"/>
      <w:marRight w:val="0"/>
      <w:marTop w:val="0"/>
      <w:marBottom w:val="0"/>
      <w:divBdr>
        <w:top w:val="none" w:sz="0" w:space="0" w:color="auto"/>
        <w:left w:val="none" w:sz="0" w:space="0" w:color="auto"/>
        <w:bottom w:val="none" w:sz="0" w:space="0" w:color="auto"/>
        <w:right w:val="none" w:sz="0" w:space="0" w:color="auto"/>
      </w:divBdr>
    </w:div>
    <w:div w:id="1333994889">
      <w:bodyDiv w:val="1"/>
      <w:marLeft w:val="0"/>
      <w:marRight w:val="0"/>
      <w:marTop w:val="0"/>
      <w:marBottom w:val="0"/>
      <w:divBdr>
        <w:top w:val="none" w:sz="0" w:space="0" w:color="auto"/>
        <w:left w:val="none" w:sz="0" w:space="0" w:color="auto"/>
        <w:bottom w:val="none" w:sz="0" w:space="0" w:color="auto"/>
        <w:right w:val="none" w:sz="0" w:space="0" w:color="auto"/>
      </w:divBdr>
    </w:div>
    <w:div w:id="1336305338">
      <w:bodyDiv w:val="1"/>
      <w:marLeft w:val="0"/>
      <w:marRight w:val="0"/>
      <w:marTop w:val="0"/>
      <w:marBottom w:val="0"/>
      <w:divBdr>
        <w:top w:val="none" w:sz="0" w:space="0" w:color="auto"/>
        <w:left w:val="none" w:sz="0" w:space="0" w:color="auto"/>
        <w:bottom w:val="none" w:sz="0" w:space="0" w:color="auto"/>
        <w:right w:val="none" w:sz="0" w:space="0" w:color="auto"/>
      </w:divBdr>
    </w:div>
    <w:div w:id="1340235593">
      <w:bodyDiv w:val="1"/>
      <w:marLeft w:val="0"/>
      <w:marRight w:val="0"/>
      <w:marTop w:val="0"/>
      <w:marBottom w:val="0"/>
      <w:divBdr>
        <w:top w:val="none" w:sz="0" w:space="0" w:color="auto"/>
        <w:left w:val="none" w:sz="0" w:space="0" w:color="auto"/>
        <w:bottom w:val="none" w:sz="0" w:space="0" w:color="auto"/>
        <w:right w:val="none" w:sz="0" w:space="0" w:color="auto"/>
      </w:divBdr>
    </w:div>
    <w:div w:id="1348828518">
      <w:bodyDiv w:val="1"/>
      <w:marLeft w:val="0"/>
      <w:marRight w:val="0"/>
      <w:marTop w:val="0"/>
      <w:marBottom w:val="0"/>
      <w:divBdr>
        <w:top w:val="none" w:sz="0" w:space="0" w:color="auto"/>
        <w:left w:val="none" w:sz="0" w:space="0" w:color="auto"/>
        <w:bottom w:val="none" w:sz="0" w:space="0" w:color="auto"/>
        <w:right w:val="none" w:sz="0" w:space="0" w:color="auto"/>
      </w:divBdr>
    </w:div>
    <w:div w:id="1350107580">
      <w:bodyDiv w:val="1"/>
      <w:marLeft w:val="0"/>
      <w:marRight w:val="0"/>
      <w:marTop w:val="0"/>
      <w:marBottom w:val="0"/>
      <w:divBdr>
        <w:top w:val="none" w:sz="0" w:space="0" w:color="auto"/>
        <w:left w:val="none" w:sz="0" w:space="0" w:color="auto"/>
        <w:bottom w:val="none" w:sz="0" w:space="0" w:color="auto"/>
        <w:right w:val="none" w:sz="0" w:space="0" w:color="auto"/>
      </w:divBdr>
    </w:div>
    <w:div w:id="1353916826">
      <w:bodyDiv w:val="1"/>
      <w:marLeft w:val="0"/>
      <w:marRight w:val="0"/>
      <w:marTop w:val="0"/>
      <w:marBottom w:val="0"/>
      <w:divBdr>
        <w:top w:val="none" w:sz="0" w:space="0" w:color="auto"/>
        <w:left w:val="none" w:sz="0" w:space="0" w:color="auto"/>
        <w:bottom w:val="none" w:sz="0" w:space="0" w:color="auto"/>
        <w:right w:val="none" w:sz="0" w:space="0" w:color="auto"/>
      </w:divBdr>
    </w:div>
    <w:div w:id="1356689511">
      <w:bodyDiv w:val="1"/>
      <w:marLeft w:val="0"/>
      <w:marRight w:val="0"/>
      <w:marTop w:val="0"/>
      <w:marBottom w:val="0"/>
      <w:divBdr>
        <w:top w:val="none" w:sz="0" w:space="0" w:color="auto"/>
        <w:left w:val="none" w:sz="0" w:space="0" w:color="auto"/>
        <w:bottom w:val="none" w:sz="0" w:space="0" w:color="auto"/>
        <w:right w:val="none" w:sz="0" w:space="0" w:color="auto"/>
      </w:divBdr>
    </w:div>
    <w:div w:id="1356929616">
      <w:bodyDiv w:val="1"/>
      <w:marLeft w:val="0"/>
      <w:marRight w:val="0"/>
      <w:marTop w:val="0"/>
      <w:marBottom w:val="0"/>
      <w:divBdr>
        <w:top w:val="none" w:sz="0" w:space="0" w:color="auto"/>
        <w:left w:val="none" w:sz="0" w:space="0" w:color="auto"/>
        <w:bottom w:val="none" w:sz="0" w:space="0" w:color="auto"/>
        <w:right w:val="none" w:sz="0" w:space="0" w:color="auto"/>
      </w:divBdr>
    </w:div>
    <w:div w:id="1363634266">
      <w:bodyDiv w:val="1"/>
      <w:marLeft w:val="0"/>
      <w:marRight w:val="0"/>
      <w:marTop w:val="0"/>
      <w:marBottom w:val="0"/>
      <w:divBdr>
        <w:top w:val="none" w:sz="0" w:space="0" w:color="auto"/>
        <w:left w:val="none" w:sz="0" w:space="0" w:color="auto"/>
        <w:bottom w:val="none" w:sz="0" w:space="0" w:color="auto"/>
        <w:right w:val="none" w:sz="0" w:space="0" w:color="auto"/>
      </w:divBdr>
    </w:div>
    <w:div w:id="1364787431">
      <w:bodyDiv w:val="1"/>
      <w:marLeft w:val="0"/>
      <w:marRight w:val="0"/>
      <w:marTop w:val="0"/>
      <w:marBottom w:val="0"/>
      <w:divBdr>
        <w:top w:val="none" w:sz="0" w:space="0" w:color="auto"/>
        <w:left w:val="none" w:sz="0" w:space="0" w:color="auto"/>
        <w:bottom w:val="none" w:sz="0" w:space="0" w:color="auto"/>
        <w:right w:val="none" w:sz="0" w:space="0" w:color="auto"/>
      </w:divBdr>
    </w:div>
    <w:div w:id="1366059353">
      <w:bodyDiv w:val="1"/>
      <w:marLeft w:val="0"/>
      <w:marRight w:val="0"/>
      <w:marTop w:val="0"/>
      <w:marBottom w:val="0"/>
      <w:divBdr>
        <w:top w:val="none" w:sz="0" w:space="0" w:color="auto"/>
        <w:left w:val="none" w:sz="0" w:space="0" w:color="auto"/>
        <w:bottom w:val="none" w:sz="0" w:space="0" w:color="auto"/>
        <w:right w:val="none" w:sz="0" w:space="0" w:color="auto"/>
      </w:divBdr>
    </w:div>
    <w:div w:id="1366171987">
      <w:bodyDiv w:val="1"/>
      <w:marLeft w:val="0"/>
      <w:marRight w:val="0"/>
      <w:marTop w:val="0"/>
      <w:marBottom w:val="0"/>
      <w:divBdr>
        <w:top w:val="none" w:sz="0" w:space="0" w:color="auto"/>
        <w:left w:val="none" w:sz="0" w:space="0" w:color="auto"/>
        <w:bottom w:val="none" w:sz="0" w:space="0" w:color="auto"/>
        <w:right w:val="none" w:sz="0" w:space="0" w:color="auto"/>
      </w:divBdr>
    </w:div>
    <w:div w:id="1378550430">
      <w:bodyDiv w:val="1"/>
      <w:marLeft w:val="0"/>
      <w:marRight w:val="0"/>
      <w:marTop w:val="0"/>
      <w:marBottom w:val="0"/>
      <w:divBdr>
        <w:top w:val="none" w:sz="0" w:space="0" w:color="auto"/>
        <w:left w:val="none" w:sz="0" w:space="0" w:color="auto"/>
        <w:bottom w:val="none" w:sz="0" w:space="0" w:color="auto"/>
        <w:right w:val="none" w:sz="0" w:space="0" w:color="auto"/>
      </w:divBdr>
    </w:div>
    <w:div w:id="1379165569">
      <w:bodyDiv w:val="1"/>
      <w:marLeft w:val="0"/>
      <w:marRight w:val="0"/>
      <w:marTop w:val="0"/>
      <w:marBottom w:val="0"/>
      <w:divBdr>
        <w:top w:val="none" w:sz="0" w:space="0" w:color="auto"/>
        <w:left w:val="none" w:sz="0" w:space="0" w:color="auto"/>
        <w:bottom w:val="none" w:sz="0" w:space="0" w:color="auto"/>
        <w:right w:val="none" w:sz="0" w:space="0" w:color="auto"/>
      </w:divBdr>
    </w:div>
    <w:div w:id="1383948008">
      <w:bodyDiv w:val="1"/>
      <w:marLeft w:val="0"/>
      <w:marRight w:val="0"/>
      <w:marTop w:val="0"/>
      <w:marBottom w:val="0"/>
      <w:divBdr>
        <w:top w:val="none" w:sz="0" w:space="0" w:color="auto"/>
        <w:left w:val="none" w:sz="0" w:space="0" w:color="auto"/>
        <w:bottom w:val="none" w:sz="0" w:space="0" w:color="auto"/>
        <w:right w:val="none" w:sz="0" w:space="0" w:color="auto"/>
      </w:divBdr>
    </w:div>
    <w:div w:id="1393583091">
      <w:bodyDiv w:val="1"/>
      <w:marLeft w:val="0"/>
      <w:marRight w:val="0"/>
      <w:marTop w:val="0"/>
      <w:marBottom w:val="0"/>
      <w:divBdr>
        <w:top w:val="none" w:sz="0" w:space="0" w:color="auto"/>
        <w:left w:val="none" w:sz="0" w:space="0" w:color="auto"/>
        <w:bottom w:val="none" w:sz="0" w:space="0" w:color="auto"/>
        <w:right w:val="none" w:sz="0" w:space="0" w:color="auto"/>
      </w:divBdr>
    </w:div>
    <w:div w:id="1394888064">
      <w:bodyDiv w:val="1"/>
      <w:marLeft w:val="0"/>
      <w:marRight w:val="0"/>
      <w:marTop w:val="0"/>
      <w:marBottom w:val="0"/>
      <w:divBdr>
        <w:top w:val="none" w:sz="0" w:space="0" w:color="auto"/>
        <w:left w:val="none" w:sz="0" w:space="0" w:color="auto"/>
        <w:bottom w:val="none" w:sz="0" w:space="0" w:color="auto"/>
        <w:right w:val="none" w:sz="0" w:space="0" w:color="auto"/>
      </w:divBdr>
    </w:div>
    <w:div w:id="1395472495">
      <w:bodyDiv w:val="1"/>
      <w:marLeft w:val="0"/>
      <w:marRight w:val="0"/>
      <w:marTop w:val="0"/>
      <w:marBottom w:val="0"/>
      <w:divBdr>
        <w:top w:val="none" w:sz="0" w:space="0" w:color="auto"/>
        <w:left w:val="none" w:sz="0" w:space="0" w:color="auto"/>
        <w:bottom w:val="none" w:sz="0" w:space="0" w:color="auto"/>
        <w:right w:val="none" w:sz="0" w:space="0" w:color="auto"/>
      </w:divBdr>
    </w:div>
    <w:div w:id="1403986508">
      <w:bodyDiv w:val="1"/>
      <w:marLeft w:val="0"/>
      <w:marRight w:val="0"/>
      <w:marTop w:val="0"/>
      <w:marBottom w:val="0"/>
      <w:divBdr>
        <w:top w:val="none" w:sz="0" w:space="0" w:color="auto"/>
        <w:left w:val="none" w:sz="0" w:space="0" w:color="auto"/>
        <w:bottom w:val="none" w:sz="0" w:space="0" w:color="auto"/>
        <w:right w:val="none" w:sz="0" w:space="0" w:color="auto"/>
      </w:divBdr>
    </w:div>
    <w:div w:id="1418672555">
      <w:bodyDiv w:val="1"/>
      <w:marLeft w:val="0"/>
      <w:marRight w:val="0"/>
      <w:marTop w:val="0"/>
      <w:marBottom w:val="0"/>
      <w:divBdr>
        <w:top w:val="none" w:sz="0" w:space="0" w:color="auto"/>
        <w:left w:val="none" w:sz="0" w:space="0" w:color="auto"/>
        <w:bottom w:val="none" w:sz="0" w:space="0" w:color="auto"/>
        <w:right w:val="none" w:sz="0" w:space="0" w:color="auto"/>
      </w:divBdr>
    </w:div>
    <w:div w:id="1421099372">
      <w:bodyDiv w:val="1"/>
      <w:marLeft w:val="0"/>
      <w:marRight w:val="0"/>
      <w:marTop w:val="0"/>
      <w:marBottom w:val="0"/>
      <w:divBdr>
        <w:top w:val="none" w:sz="0" w:space="0" w:color="auto"/>
        <w:left w:val="none" w:sz="0" w:space="0" w:color="auto"/>
        <w:bottom w:val="none" w:sz="0" w:space="0" w:color="auto"/>
        <w:right w:val="none" w:sz="0" w:space="0" w:color="auto"/>
      </w:divBdr>
    </w:div>
    <w:div w:id="1423449270">
      <w:bodyDiv w:val="1"/>
      <w:marLeft w:val="0"/>
      <w:marRight w:val="0"/>
      <w:marTop w:val="0"/>
      <w:marBottom w:val="0"/>
      <w:divBdr>
        <w:top w:val="none" w:sz="0" w:space="0" w:color="auto"/>
        <w:left w:val="none" w:sz="0" w:space="0" w:color="auto"/>
        <w:bottom w:val="none" w:sz="0" w:space="0" w:color="auto"/>
        <w:right w:val="none" w:sz="0" w:space="0" w:color="auto"/>
      </w:divBdr>
    </w:div>
    <w:div w:id="1426921711">
      <w:bodyDiv w:val="1"/>
      <w:marLeft w:val="0"/>
      <w:marRight w:val="0"/>
      <w:marTop w:val="0"/>
      <w:marBottom w:val="0"/>
      <w:divBdr>
        <w:top w:val="none" w:sz="0" w:space="0" w:color="auto"/>
        <w:left w:val="none" w:sz="0" w:space="0" w:color="auto"/>
        <w:bottom w:val="none" w:sz="0" w:space="0" w:color="auto"/>
        <w:right w:val="none" w:sz="0" w:space="0" w:color="auto"/>
      </w:divBdr>
    </w:div>
    <w:div w:id="1429082994">
      <w:bodyDiv w:val="1"/>
      <w:marLeft w:val="0"/>
      <w:marRight w:val="0"/>
      <w:marTop w:val="0"/>
      <w:marBottom w:val="0"/>
      <w:divBdr>
        <w:top w:val="none" w:sz="0" w:space="0" w:color="auto"/>
        <w:left w:val="none" w:sz="0" w:space="0" w:color="auto"/>
        <w:bottom w:val="none" w:sz="0" w:space="0" w:color="auto"/>
        <w:right w:val="none" w:sz="0" w:space="0" w:color="auto"/>
      </w:divBdr>
    </w:div>
    <w:div w:id="1443762728">
      <w:bodyDiv w:val="1"/>
      <w:marLeft w:val="0"/>
      <w:marRight w:val="0"/>
      <w:marTop w:val="0"/>
      <w:marBottom w:val="0"/>
      <w:divBdr>
        <w:top w:val="none" w:sz="0" w:space="0" w:color="auto"/>
        <w:left w:val="none" w:sz="0" w:space="0" w:color="auto"/>
        <w:bottom w:val="none" w:sz="0" w:space="0" w:color="auto"/>
        <w:right w:val="none" w:sz="0" w:space="0" w:color="auto"/>
      </w:divBdr>
    </w:div>
    <w:div w:id="1443843621">
      <w:bodyDiv w:val="1"/>
      <w:marLeft w:val="0"/>
      <w:marRight w:val="0"/>
      <w:marTop w:val="0"/>
      <w:marBottom w:val="0"/>
      <w:divBdr>
        <w:top w:val="none" w:sz="0" w:space="0" w:color="auto"/>
        <w:left w:val="none" w:sz="0" w:space="0" w:color="auto"/>
        <w:bottom w:val="none" w:sz="0" w:space="0" w:color="auto"/>
        <w:right w:val="none" w:sz="0" w:space="0" w:color="auto"/>
      </w:divBdr>
    </w:div>
    <w:div w:id="1445072746">
      <w:bodyDiv w:val="1"/>
      <w:marLeft w:val="0"/>
      <w:marRight w:val="0"/>
      <w:marTop w:val="0"/>
      <w:marBottom w:val="0"/>
      <w:divBdr>
        <w:top w:val="none" w:sz="0" w:space="0" w:color="auto"/>
        <w:left w:val="none" w:sz="0" w:space="0" w:color="auto"/>
        <w:bottom w:val="none" w:sz="0" w:space="0" w:color="auto"/>
        <w:right w:val="none" w:sz="0" w:space="0" w:color="auto"/>
      </w:divBdr>
    </w:div>
    <w:div w:id="1445081330">
      <w:bodyDiv w:val="1"/>
      <w:marLeft w:val="0"/>
      <w:marRight w:val="0"/>
      <w:marTop w:val="0"/>
      <w:marBottom w:val="0"/>
      <w:divBdr>
        <w:top w:val="none" w:sz="0" w:space="0" w:color="auto"/>
        <w:left w:val="none" w:sz="0" w:space="0" w:color="auto"/>
        <w:bottom w:val="none" w:sz="0" w:space="0" w:color="auto"/>
        <w:right w:val="none" w:sz="0" w:space="0" w:color="auto"/>
      </w:divBdr>
    </w:div>
    <w:div w:id="1445609639">
      <w:bodyDiv w:val="1"/>
      <w:marLeft w:val="0"/>
      <w:marRight w:val="0"/>
      <w:marTop w:val="0"/>
      <w:marBottom w:val="0"/>
      <w:divBdr>
        <w:top w:val="none" w:sz="0" w:space="0" w:color="auto"/>
        <w:left w:val="none" w:sz="0" w:space="0" w:color="auto"/>
        <w:bottom w:val="none" w:sz="0" w:space="0" w:color="auto"/>
        <w:right w:val="none" w:sz="0" w:space="0" w:color="auto"/>
      </w:divBdr>
    </w:div>
    <w:div w:id="1448543874">
      <w:bodyDiv w:val="1"/>
      <w:marLeft w:val="0"/>
      <w:marRight w:val="0"/>
      <w:marTop w:val="0"/>
      <w:marBottom w:val="0"/>
      <w:divBdr>
        <w:top w:val="none" w:sz="0" w:space="0" w:color="auto"/>
        <w:left w:val="none" w:sz="0" w:space="0" w:color="auto"/>
        <w:bottom w:val="none" w:sz="0" w:space="0" w:color="auto"/>
        <w:right w:val="none" w:sz="0" w:space="0" w:color="auto"/>
      </w:divBdr>
    </w:div>
    <w:div w:id="1451434293">
      <w:bodyDiv w:val="1"/>
      <w:marLeft w:val="0"/>
      <w:marRight w:val="0"/>
      <w:marTop w:val="0"/>
      <w:marBottom w:val="0"/>
      <w:divBdr>
        <w:top w:val="none" w:sz="0" w:space="0" w:color="auto"/>
        <w:left w:val="none" w:sz="0" w:space="0" w:color="auto"/>
        <w:bottom w:val="none" w:sz="0" w:space="0" w:color="auto"/>
        <w:right w:val="none" w:sz="0" w:space="0" w:color="auto"/>
      </w:divBdr>
    </w:div>
    <w:div w:id="1453209691">
      <w:bodyDiv w:val="1"/>
      <w:marLeft w:val="0"/>
      <w:marRight w:val="0"/>
      <w:marTop w:val="0"/>
      <w:marBottom w:val="0"/>
      <w:divBdr>
        <w:top w:val="none" w:sz="0" w:space="0" w:color="auto"/>
        <w:left w:val="none" w:sz="0" w:space="0" w:color="auto"/>
        <w:bottom w:val="none" w:sz="0" w:space="0" w:color="auto"/>
        <w:right w:val="none" w:sz="0" w:space="0" w:color="auto"/>
      </w:divBdr>
    </w:div>
    <w:div w:id="1453859777">
      <w:bodyDiv w:val="1"/>
      <w:marLeft w:val="0"/>
      <w:marRight w:val="0"/>
      <w:marTop w:val="0"/>
      <w:marBottom w:val="0"/>
      <w:divBdr>
        <w:top w:val="none" w:sz="0" w:space="0" w:color="auto"/>
        <w:left w:val="none" w:sz="0" w:space="0" w:color="auto"/>
        <w:bottom w:val="none" w:sz="0" w:space="0" w:color="auto"/>
        <w:right w:val="none" w:sz="0" w:space="0" w:color="auto"/>
      </w:divBdr>
    </w:div>
    <w:div w:id="1455514018">
      <w:bodyDiv w:val="1"/>
      <w:marLeft w:val="0"/>
      <w:marRight w:val="0"/>
      <w:marTop w:val="0"/>
      <w:marBottom w:val="0"/>
      <w:divBdr>
        <w:top w:val="none" w:sz="0" w:space="0" w:color="auto"/>
        <w:left w:val="none" w:sz="0" w:space="0" w:color="auto"/>
        <w:bottom w:val="none" w:sz="0" w:space="0" w:color="auto"/>
        <w:right w:val="none" w:sz="0" w:space="0" w:color="auto"/>
      </w:divBdr>
    </w:div>
    <w:div w:id="1469056271">
      <w:bodyDiv w:val="1"/>
      <w:marLeft w:val="0"/>
      <w:marRight w:val="0"/>
      <w:marTop w:val="0"/>
      <w:marBottom w:val="0"/>
      <w:divBdr>
        <w:top w:val="none" w:sz="0" w:space="0" w:color="auto"/>
        <w:left w:val="none" w:sz="0" w:space="0" w:color="auto"/>
        <w:bottom w:val="none" w:sz="0" w:space="0" w:color="auto"/>
        <w:right w:val="none" w:sz="0" w:space="0" w:color="auto"/>
      </w:divBdr>
    </w:div>
    <w:div w:id="1474521627">
      <w:bodyDiv w:val="1"/>
      <w:marLeft w:val="0"/>
      <w:marRight w:val="0"/>
      <w:marTop w:val="0"/>
      <w:marBottom w:val="0"/>
      <w:divBdr>
        <w:top w:val="none" w:sz="0" w:space="0" w:color="auto"/>
        <w:left w:val="none" w:sz="0" w:space="0" w:color="auto"/>
        <w:bottom w:val="none" w:sz="0" w:space="0" w:color="auto"/>
        <w:right w:val="none" w:sz="0" w:space="0" w:color="auto"/>
      </w:divBdr>
    </w:div>
    <w:div w:id="1475173639">
      <w:bodyDiv w:val="1"/>
      <w:marLeft w:val="0"/>
      <w:marRight w:val="0"/>
      <w:marTop w:val="0"/>
      <w:marBottom w:val="0"/>
      <w:divBdr>
        <w:top w:val="none" w:sz="0" w:space="0" w:color="auto"/>
        <w:left w:val="none" w:sz="0" w:space="0" w:color="auto"/>
        <w:bottom w:val="none" w:sz="0" w:space="0" w:color="auto"/>
        <w:right w:val="none" w:sz="0" w:space="0" w:color="auto"/>
      </w:divBdr>
    </w:div>
    <w:div w:id="1484858789">
      <w:bodyDiv w:val="1"/>
      <w:marLeft w:val="0"/>
      <w:marRight w:val="0"/>
      <w:marTop w:val="0"/>
      <w:marBottom w:val="0"/>
      <w:divBdr>
        <w:top w:val="none" w:sz="0" w:space="0" w:color="auto"/>
        <w:left w:val="none" w:sz="0" w:space="0" w:color="auto"/>
        <w:bottom w:val="none" w:sz="0" w:space="0" w:color="auto"/>
        <w:right w:val="none" w:sz="0" w:space="0" w:color="auto"/>
      </w:divBdr>
    </w:div>
    <w:div w:id="1489519272">
      <w:bodyDiv w:val="1"/>
      <w:marLeft w:val="0"/>
      <w:marRight w:val="0"/>
      <w:marTop w:val="0"/>
      <w:marBottom w:val="0"/>
      <w:divBdr>
        <w:top w:val="none" w:sz="0" w:space="0" w:color="auto"/>
        <w:left w:val="none" w:sz="0" w:space="0" w:color="auto"/>
        <w:bottom w:val="none" w:sz="0" w:space="0" w:color="auto"/>
        <w:right w:val="none" w:sz="0" w:space="0" w:color="auto"/>
      </w:divBdr>
    </w:div>
    <w:div w:id="1490175027">
      <w:bodyDiv w:val="1"/>
      <w:marLeft w:val="0"/>
      <w:marRight w:val="0"/>
      <w:marTop w:val="0"/>
      <w:marBottom w:val="0"/>
      <w:divBdr>
        <w:top w:val="none" w:sz="0" w:space="0" w:color="auto"/>
        <w:left w:val="none" w:sz="0" w:space="0" w:color="auto"/>
        <w:bottom w:val="none" w:sz="0" w:space="0" w:color="auto"/>
        <w:right w:val="none" w:sz="0" w:space="0" w:color="auto"/>
      </w:divBdr>
    </w:div>
    <w:div w:id="1495343625">
      <w:bodyDiv w:val="1"/>
      <w:marLeft w:val="0"/>
      <w:marRight w:val="0"/>
      <w:marTop w:val="0"/>
      <w:marBottom w:val="0"/>
      <w:divBdr>
        <w:top w:val="none" w:sz="0" w:space="0" w:color="auto"/>
        <w:left w:val="none" w:sz="0" w:space="0" w:color="auto"/>
        <w:bottom w:val="none" w:sz="0" w:space="0" w:color="auto"/>
        <w:right w:val="none" w:sz="0" w:space="0" w:color="auto"/>
      </w:divBdr>
    </w:div>
    <w:div w:id="1496260319">
      <w:bodyDiv w:val="1"/>
      <w:marLeft w:val="0"/>
      <w:marRight w:val="0"/>
      <w:marTop w:val="0"/>
      <w:marBottom w:val="0"/>
      <w:divBdr>
        <w:top w:val="none" w:sz="0" w:space="0" w:color="auto"/>
        <w:left w:val="none" w:sz="0" w:space="0" w:color="auto"/>
        <w:bottom w:val="none" w:sz="0" w:space="0" w:color="auto"/>
        <w:right w:val="none" w:sz="0" w:space="0" w:color="auto"/>
      </w:divBdr>
    </w:div>
    <w:div w:id="1501776909">
      <w:bodyDiv w:val="1"/>
      <w:marLeft w:val="0"/>
      <w:marRight w:val="0"/>
      <w:marTop w:val="0"/>
      <w:marBottom w:val="0"/>
      <w:divBdr>
        <w:top w:val="none" w:sz="0" w:space="0" w:color="auto"/>
        <w:left w:val="none" w:sz="0" w:space="0" w:color="auto"/>
        <w:bottom w:val="none" w:sz="0" w:space="0" w:color="auto"/>
        <w:right w:val="none" w:sz="0" w:space="0" w:color="auto"/>
      </w:divBdr>
    </w:div>
    <w:div w:id="1504203772">
      <w:bodyDiv w:val="1"/>
      <w:marLeft w:val="0"/>
      <w:marRight w:val="0"/>
      <w:marTop w:val="0"/>
      <w:marBottom w:val="0"/>
      <w:divBdr>
        <w:top w:val="none" w:sz="0" w:space="0" w:color="auto"/>
        <w:left w:val="none" w:sz="0" w:space="0" w:color="auto"/>
        <w:bottom w:val="none" w:sz="0" w:space="0" w:color="auto"/>
        <w:right w:val="none" w:sz="0" w:space="0" w:color="auto"/>
      </w:divBdr>
    </w:div>
    <w:div w:id="1504971217">
      <w:bodyDiv w:val="1"/>
      <w:marLeft w:val="0"/>
      <w:marRight w:val="0"/>
      <w:marTop w:val="0"/>
      <w:marBottom w:val="0"/>
      <w:divBdr>
        <w:top w:val="none" w:sz="0" w:space="0" w:color="auto"/>
        <w:left w:val="none" w:sz="0" w:space="0" w:color="auto"/>
        <w:bottom w:val="none" w:sz="0" w:space="0" w:color="auto"/>
        <w:right w:val="none" w:sz="0" w:space="0" w:color="auto"/>
      </w:divBdr>
    </w:div>
    <w:div w:id="1506281404">
      <w:bodyDiv w:val="1"/>
      <w:marLeft w:val="0"/>
      <w:marRight w:val="0"/>
      <w:marTop w:val="0"/>
      <w:marBottom w:val="0"/>
      <w:divBdr>
        <w:top w:val="none" w:sz="0" w:space="0" w:color="auto"/>
        <w:left w:val="none" w:sz="0" w:space="0" w:color="auto"/>
        <w:bottom w:val="none" w:sz="0" w:space="0" w:color="auto"/>
        <w:right w:val="none" w:sz="0" w:space="0" w:color="auto"/>
      </w:divBdr>
    </w:div>
    <w:div w:id="1516382966">
      <w:bodyDiv w:val="1"/>
      <w:marLeft w:val="0"/>
      <w:marRight w:val="0"/>
      <w:marTop w:val="0"/>
      <w:marBottom w:val="0"/>
      <w:divBdr>
        <w:top w:val="none" w:sz="0" w:space="0" w:color="auto"/>
        <w:left w:val="none" w:sz="0" w:space="0" w:color="auto"/>
        <w:bottom w:val="none" w:sz="0" w:space="0" w:color="auto"/>
        <w:right w:val="none" w:sz="0" w:space="0" w:color="auto"/>
      </w:divBdr>
    </w:div>
    <w:div w:id="1520855846">
      <w:bodyDiv w:val="1"/>
      <w:marLeft w:val="0"/>
      <w:marRight w:val="0"/>
      <w:marTop w:val="0"/>
      <w:marBottom w:val="0"/>
      <w:divBdr>
        <w:top w:val="none" w:sz="0" w:space="0" w:color="auto"/>
        <w:left w:val="none" w:sz="0" w:space="0" w:color="auto"/>
        <w:bottom w:val="none" w:sz="0" w:space="0" w:color="auto"/>
        <w:right w:val="none" w:sz="0" w:space="0" w:color="auto"/>
      </w:divBdr>
    </w:div>
    <w:div w:id="1524637470">
      <w:bodyDiv w:val="1"/>
      <w:marLeft w:val="0"/>
      <w:marRight w:val="0"/>
      <w:marTop w:val="0"/>
      <w:marBottom w:val="0"/>
      <w:divBdr>
        <w:top w:val="none" w:sz="0" w:space="0" w:color="auto"/>
        <w:left w:val="none" w:sz="0" w:space="0" w:color="auto"/>
        <w:bottom w:val="none" w:sz="0" w:space="0" w:color="auto"/>
        <w:right w:val="none" w:sz="0" w:space="0" w:color="auto"/>
      </w:divBdr>
    </w:div>
    <w:div w:id="1525510599">
      <w:bodyDiv w:val="1"/>
      <w:marLeft w:val="0"/>
      <w:marRight w:val="0"/>
      <w:marTop w:val="0"/>
      <w:marBottom w:val="0"/>
      <w:divBdr>
        <w:top w:val="none" w:sz="0" w:space="0" w:color="auto"/>
        <w:left w:val="none" w:sz="0" w:space="0" w:color="auto"/>
        <w:bottom w:val="none" w:sz="0" w:space="0" w:color="auto"/>
        <w:right w:val="none" w:sz="0" w:space="0" w:color="auto"/>
      </w:divBdr>
    </w:div>
    <w:div w:id="1526166665">
      <w:bodyDiv w:val="1"/>
      <w:marLeft w:val="0"/>
      <w:marRight w:val="0"/>
      <w:marTop w:val="0"/>
      <w:marBottom w:val="0"/>
      <w:divBdr>
        <w:top w:val="none" w:sz="0" w:space="0" w:color="auto"/>
        <w:left w:val="none" w:sz="0" w:space="0" w:color="auto"/>
        <w:bottom w:val="none" w:sz="0" w:space="0" w:color="auto"/>
        <w:right w:val="none" w:sz="0" w:space="0" w:color="auto"/>
      </w:divBdr>
    </w:div>
    <w:div w:id="1534222211">
      <w:bodyDiv w:val="1"/>
      <w:marLeft w:val="0"/>
      <w:marRight w:val="0"/>
      <w:marTop w:val="0"/>
      <w:marBottom w:val="0"/>
      <w:divBdr>
        <w:top w:val="none" w:sz="0" w:space="0" w:color="auto"/>
        <w:left w:val="none" w:sz="0" w:space="0" w:color="auto"/>
        <w:bottom w:val="none" w:sz="0" w:space="0" w:color="auto"/>
        <w:right w:val="none" w:sz="0" w:space="0" w:color="auto"/>
      </w:divBdr>
    </w:div>
    <w:div w:id="1540778013">
      <w:bodyDiv w:val="1"/>
      <w:marLeft w:val="0"/>
      <w:marRight w:val="0"/>
      <w:marTop w:val="0"/>
      <w:marBottom w:val="0"/>
      <w:divBdr>
        <w:top w:val="none" w:sz="0" w:space="0" w:color="auto"/>
        <w:left w:val="none" w:sz="0" w:space="0" w:color="auto"/>
        <w:bottom w:val="none" w:sz="0" w:space="0" w:color="auto"/>
        <w:right w:val="none" w:sz="0" w:space="0" w:color="auto"/>
      </w:divBdr>
    </w:div>
    <w:div w:id="1546214769">
      <w:bodyDiv w:val="1"/>
      <w:marLeft w:val="0"/>
      <w:marRight w:val="0"/>
      <w:marTop w:val="0"/>
      <w:marBottom w:val="0"/>
      <w:divBdr>
        <w:top w:val="none" w:sz="0" w:space="0" w:color="auto"/>
        <w:left w:val="none" w:sz="0" w:space="0" w:color="auto"/>
        <w:bottom w:val="none" w:sz="0" w:space="0" w:color="auto"/>
        <w:right w:val="none" w:sz="0" w:space="0" w:color="auto"/>
      </w:divBdr>
    </w:div>
    <w:div w:id="1555002615">
      <w:bodyDiv w:val="1"/>
      <w:marLeft w:val="0"/>
      <w:marRight w:val="0"/>
      <w:marTop w:val="0"/>
      <w:marBottom w:val="0"/>
      <w:divBdr>
        <w:top w:val="none" w:sz="0" w:space="0" w:color="auto"/>
        <w:left w:val="none" w:sz="0" w:space="0" w:color="auto"/>
        <w:bottom w:val="none" w:sz="0" w:space="0" w:color="auto"/>
        <w:right w:val="none" w:sz="0" w:space="0" w:color="auto"/>
      </w:divBdr>
    </w:div>
    <w:div w:id="1556354639">
      <w:bodyDiv w:val="1"/>
      <w:marLeft w:val="0"/>
      <w:marRight w:val="0"/>
      <w:marTop w:val="0"/>
      <w:marBottom w:val="0"/>
      <w:divBdr>
        <w:top w:val="none" w:sz="0" w:space="0" w:color="auto"/>
        <w:left w:val="none" w:sz="0" w:space="0" w:color="auto"/>
        <w:bottom w:val="none" w:sz="0" w:space="0" w:color="auto"/>
        <w:right w:val="none" w:sz="0" w:space="0" w:color="auto"/>
      </w:divBdr>
    </w:div>
    <w:div w:id="1565599771">
      <w:bodyDiv w:val="1"/>
      <w:marLeft w:val="0"/>
      <w:marRight w:val="0"/>
      <w:marTop w:val="0"/>
      <w:marBottom w:val="0"/>
      <w:divBdr>
        <w:top w:val="none" w:sz="0" w:space="0" w:color="auto"/>
        <w:left w:val="none" w:sz="0" w:space="0" w:color="auto"/>
        <w:bottom w:val="none" w:sz="0" w:space="0" w:color="auto"/>
        <w:right w:val="none" w:sz="0" w:space="0" w:color="auto"/>
      </w:divBdr>
    </w:div>
    <w:div w:id="1572158231">
      <w:bodyDiv w:val="1"/>
      <w:marLeft w:val="0"/>
      <w:marRight w:val="0"/>
      <w:marTop w:val="0"/>
      <w:marBottom w:val="0"/>
      <w:divBdr>
        <w:top w:val="none" w:sz="0" w:space="0" w:color="auto"/>
        <w:left w:val="none" w:sz="0" w:space="0" w:color="auto"/>
        <w:bottom w:val="none" w:sz="0" w:space="0" w:color="auto"/>
        <w:right w:val="none" w:sz="0" w:space="0" w:color="auto"/>
      </w:divBdr>
    </w:div>
    <w:div w:id="1573007405">
      <w:bodyDiv w:val="1"/>
      <w:marLeft w:val="0"/>
      <w:marRight w:val="0"/>
      <w:marTop w:val="0"/>
      <w:marBottom w:val="0"/>
      <w:divBdr>
        <w:top w:val="none" w:sz="0" w:space="0" w:color="auto"/>
        <w:left w:val="none" w:sz="0" w:space="0" w:color="auto"/>
        <w:bottom w:val="none" w:sz="0" w:space="0" w:color="auto"/>
        <w:right w:val="none" w:sz="0" w:space="0" w:color="auto"/>
      </w:divBdr>
    </w:div>
    <w:div w:id="1573081626">
      <w:bodyDiv w:val="1"/>
      <w:marLeft w:val="0"/>
      <w:marRight w:val="0"/>
      <w:marTop w:val="0"/>
      <w:marBottom w:val="0"/>
      <w:divBdr>
        <w:top w:val="none" w:sz="0" w:space="0" w:color="auto"/>
        <w:left w:val="none" w:sz="0" w:space="0" w:color="auto"/>
        <w:bottom w:val="none" w:sz="0" w:space="0" w:color="auto"/>
        <w:right w:val="none" w:sz="0" w:space="0" w:color="auto"/>
      </w:divBdr>
    </w:div>
    <w:div w:id="1573348115">
      <w:bodyDiv w:val="1"/>
      <w:marLeft w:val="0"/>
      <w:marRight w:val="0"/>
      <w:marTop w:val="0"/>
      <w:marBottom w:val="0"/>
      <w:divBdr>
        <w:top w:val="none" w:sz="0" w:space="0" w:color="auto"/>
        <w:left w:val="none" w:sz="0" w:space="0" w:color="auto"/>
        <w:bottom w:val="none" w:sz="0" w:space="0" w:color="auto"/>
        <w:right w:val="none" w:sz="0" w:space="0" w:color="auto"/>
      </w:divBdr>
    </w:div>
    <w:div w:id="1575119462">
      <w:bodyDiv w:val="1"/>
      <w:marLeft w:val="0"/>
      <w:marRight w:val="0"/>
      <w:marTop w:val="0"/>
      <w:marBottom w:val="0"/>
      <w:divBdr>
        <w:top w:val="none" w:sz="0" w:space="0" w:color="auto"/>
        <w:left w:val="none" w:sz="0" w:space="0" w:color="auto"/>
        <w:bottom w:val="none" w:sz="0" w:space="0" w:color="auto"/>
        <w:right w:val="none" w:sz="0" w:space="0" w:color="auto"/>
      </w:divBdr>
    </w:div>
    <w:div w:id="1579945988">
      <w:bodyDiv w:val="1"/>
      <w:marLeft w:val="0"/>
      <w:marRight w:val="0"/>
      <w:marTop w:val="0"/>
      <w:marBottom w:val="0"/>
      <w:divBdr>
        <w:top w:val="none" w:sz="0" w:space="0" w:color="auto"/>
        <w:left w:val="none" w:sz="0" w:space="0" w:color="auto"/>
        <w:bottom w:val="none" w:sz="0" w:space="0" w:color="auto"/>
        <w:right w:val="none" w:sz="0" w:space="0" w:color="auto"/>
      </w:divBdr>
    </w:div>
    <w:div w:id="1581525041">
      <w:bodyDiv w:val="1"/>
      <w:marLeft w:val="0"/>
      <w:marRight w:val="0"/>
      <w:marTop w:val="0"/>
      <w:marBottom w:val="0"/>
      <w:divBdr>
        <w:top w:val="none" w:sz="0" w:space="0" w:color="auto"/>
        <w:left w:val="none" w:sz="0" w:space="0" w:color="auto"/>
        <w:bottom w:val="none" w:sz="0" w:space="0" w:color="auto"/>
        <w:right w:val="none" w:sz="0" w:space="0" w:color="auto"/>
      </w:divBdr>
    </w:div>
    <w:div w:id="1582447822">
      <w:bodyDiv w:val="1"/>
      <w:marLeft w:val="0"/>
      <w:marRight w:val="0"/>
      <w:marTop w:val="0"/>
      <w:marBottom w:val="0"/>
      <w:divBdr>
        <w:top w:val="none" w:sz="0" w:space="0" w:color="auto"/>
        <w:left w:val="none" w:sz="0" w:space="0" w:color="auto"/>
        <w:bottom w:val="none" w:sz="0" w:space="0" w:color="auto"/>
        <w:right w:val="none" w:sz="0" w:space="0" w:color="auto"/>
      </w:divBdr>
    </w:div>
    <w:div w:id="1583493132">
      <w:bodyDiv w:val="1"/>
      <w:marLeft w:val="0"/>
      <w:marRight w:val="0"/>
      <w:marTop w:val="0"/>
      <w:marBottom w:val="0"/>
      <w:divBdr>
        <w:top w:val="none" w:sz="0" w:space="0" w:color="auto"/>
        <w:left w:val="none" w:sz="0" w:space="0" w:color="auto"/>
        <w:bottom w:val="none" w:sz="0" w:space="0" w:color="auto"/>
        <w:right w:val="none" w:sz="0" w:space="0" w:color="auto"/>
      </w:divBdr>
    </w:div>
    <w:div w:id="1590696733">
      <w:bodyDiv w:val="1"/>
      <w:marLeft w:val="0"/>
      <w:marRight w:val="0"/>
      <w:marTop w:val="0"/>
      <w:marBottom w:val="0"/>
      <w:divBdr>
        <w:top w:val="none" w:sz="0" w:space="0" w:color="auto"/>
        <w:left w:val="none" w:sz="0" w:space="0" w:color="auto"/>
        <w:bottom w:val="none" w:sz="0" w:space="0" w:color="auto"/>
        <w:right w:val="none" w:sz="0" w:space="0" w:color="auto"/>
      </w:divBdr>
    </w:div>
    <w:div w:id="1603877718">
      <w:bodyDiv w:val="1"/>
      <w:marLeft w:val="0"/>
      <w:marRight w:val="0"/>
      <w:marTop w:val="0"/>
      <w:marBottom w:val="0"/>
      <w:divBdr>
        <w:top w:val="none" w:sz="0" w:space="0" w:color="auto"/>
        <w:left w:val="none" w:sz="0" w:space="0" w:color="auto"/>
        <w:bottom w:val="none" w:sz="0" w:space="0" w:color="auto"/>
        <w:right w:val="none" w:sz="0" w:space="0" w:color="auto"/>
      </w:divBdr>
    </w:div>
    <w:div w:id="1609313199">
      <w:bodyDiv w:val="1"/>
      <w:marLeft w:val="0"/>
      <w:marRight w:val="0"/>
      <w:marTop w:val="0"/>
      <w:marBottom w:val="0"/>
      <w:divBdr>
        <w:top w:val="none" w:sz="0" w:space="0" w:color="auto"/>
        <w:left w:val="none" w:sz="0" w:space="0" w:color="auto"/>
        <w:bottom w:val="none" w:sz="0" w:space="0" w:color="auto"/>
        <w:right w:val="none" w:sz="0" w:space="0" w:color="auto"/>
      </w:divBdr>
    </w:div>
    <w:div w:id="1615019792">
      <w:bodyDiv w:val="1"/>
      <w:marLeft w:val="0"/>
      <w:marRight w:val="0"/>
      <w:marTop w:val="0"/>
      <w:marBottom w:val="0"/>
      <w:divBdr>
        <w:top w:val="none" w:sz="0" w:space="0" w:color="auto"/>
        <w:left w:val="none" w:sz="0" w:space="0" w:color="auto"/>
        <w:bottom w:val="none" w:sz="0" w:space="0" w:color="auto"/>
        <w:right w:val="none" w:sz="0" w:space="0" w:color="auto"/>
      </w:divBdr>
    </w:div>
    <w:div w:id="1618176487">
      <w:bodyDiv w:val="1"/>
      <w:marLeft w:val="0"/>
      <w:marRight w:val="0"/>
      <w:marTop w:val="0"/>
      <w:marBottom w:val="0"/>
      <w:divBdr>
        <w:top w:val="none" w:sz="0" w:space="0" w:color="auto"/>
        <w:left w:val="none" w:sz="0" w:space="0" w:color="auto"/>
        <w:bottom w:val="none" w:sz="0" w:space="0" w:color="auto"/>
        <w:right w:val="none" w:sz="0" w:space="0" w:color="auto"/>
      </w:divBdr>
    </w:div>
    <w:div w:id="1619097724">
      <w:bodyDiv w:val="1"/>
      <w:marLeft w:val="0"/>
      <w:marRight w:val="0"/>
      <w:marTop w:val="0"/>
      <w:marBottom w:val="0"/>
      <w:divBdr>
        <w:top w:val="none" w:sz="0" w:space="0" w:color="auto"/>
        <w:left w:val="none" w:sz="0" w:space="0" w:color="auto"/>
        <w:bottom w:val="none" w:sz="0" w:space="0" w:color="auto"/>
        <w:right w:val="none" w:sz="0" w:space="0" w:color="auto"/>
      </w:divBdr>
    </w:div>
    <w:div w:id="1619797328">
      <w:bodyDiv w:val="1"/>
      <w:marLeft w:val="0"/>
      <w:marRight w:val="0"/>
      <w:marTop w:val="0"/>
      <w:marBottom w:val="0"/>
      <w:divBdr>
        <w:top w:val="none" w:sz="0" w:space="0" w:color="auto"/>
        <w:left w:val="none" w:sz="0" w:space="0" w:color="auto"/>
        <w:bottom w:val="none" w:sz="0" w:space="0" w:color="auto"/>
        <w:right w:val="none" w:sz="0" w:space="0" w:color="auto"/>
      </w:divBdr>
    </w:div>
    <w:div w:id="1625456521">
      <w:bodyDiv w:val="1"/>
      <w:marLeft w:val="0"/>
      <w:marRight w:val="0"/>
      <w:marTop w:val="0"/>
      <w:marBottom w:val="0"/>
      <w:divBdr>
        <w:top w:val="none" w:sz="0" w:space="0" w:color="auto"/>
        <w:left w:val="none" w:sz="0" w:space="0" w:color="auto"/>
        <w:bottom w:val="none" w:sz="0" w:space="0" w:color="auto"/>
        <w:right w:val="none" w:sz="0" w:space="0" w:color="auto"/>
      </w:divBdr>
    </w:div>
    <w:div w:id="1626473052">
      <w:bodyDiv w:val="1"/>
      <w:marLeft w:val="0"/>
      <w:marRight w:val="0"/>
      <w:marTop w:val="0"/>
      <w:marBottom w:val="0"/>
      <w:divBdr>
        <w:top w:val="none" w:sz="0" w:space="0" w:color="auto"/>
        <w:left w:val="none" w:sz="0" w:space="0" w:color="auto"/>
        <w:bottom w:val="none" w:sz="0" w:space="0" w:color="auto"/>
        <w:right w:val="none" w:sz="0" w:space="0" w:color="auto"/>
      </w:divBdr>
    </w:div>
    <w:div w:id="1631550305">
      <w:bodyDiv w:val="1"/>
      <w:marLeft w:val="0"/>
      <w:marRight w:val="0"/>
      <w:marTop w:val="0"/>
      <w:marBottom w:val="0"/>
      <w:divBdr>
        <w:top w:val="none" w:sz="0" w:space="0" w:color="auto"/>
        <w:left w:val="none" w:sz="0" w:space="0" w:color="auto"/>
        <w:bottom w:val="none" w:sz="0" w:space="0" w:color="auto"/>
        <w:right w:val="none" w:sz="0" w:space="0" w:color="auto"/>
      </w:divBdr>
    </w:div>
    <w:div w:id="1641770112">
      <w:bodyDiv w:val="1"/>
      <w:marLeft w:val="0"/>
      <w:marRight w:val="0"/>
      <w:marTop w:val="0"/>
      <w:marBottom w:val="0"/>
      <w:divBdr>
        <w:top w:val="none" w:sz="0" w:space="0" w:color="auto"/>
        <w:left w:val="none" w:sz="0" w:space="0" w:color="auto"/>
        <w:bottom w:val="none" w:sz="0" w:space="0" w:color="auto"/>
        <w:right w:val="none" w:sz="0" w:space="0" w:color="auto"/>
      </w:divBdr>
    </w:div>
    <w:div w:id="1648392926">
      <w:bodyDiv w:val="1"/>
      <w:marLeft w:val="0"/>
      <w:marRight w:val="0"/>
      <w:marTop w:val="0"/>
      <w:marBottom w:val="0"/>
      <w:divBdr>
        <w:top w:val="none" w:sz="0" w:space="0" w:color="auto"/>
        <w:left w:val="none" w:sz="0" w:space="0" w:color="auto"/>
        <w:bottom w:val="none" w:sz="0" w:space="0" w:color="auto"/>
        <w:right w:val="none" w:sz="0" w:space="0" w:color="auto"/>
      </w:divBdr>
    </w:div>
    <w:div w:id="1651863793">
      <w:bodyDiv w:val="1"/>
      <w:marLeft w:val="0"/>
      <w:marRight w:val="0"/>
      <w:marTop w:val="0"/>
      <w:marBottom w:val="0"/>
      <w:divBdr>
        <w:top w:val="none" w:sz="0" w:space="0" w:color="auto"/>
        <w:left w:val="none" w:sz="0" w:space="0" w:color="auto"/>
        <w:bottom w:val="none" w:sz="0" w:space="0" w:color="auto"/>
        <w:right w:val="none" w:sz="0" w:space="0" w:color="auto"/>
      </w:divBdr>
    </w:div>
    <w:div w:id="1654485282">
      <w:bodyDiv w:val="1"/>
      <w:marLeft w:val="0"/>
      <w:marRight w:val="0"/>
      <w:marTop w:val="0"/>
      <w:marBottom w:val="0"/>
      <w:divBdr>
        <w:top w:val="none" w:sz="0" w:space="0" w:color="auto"/>
        <w:left w:val="none" w:sz="0" w:space="0" w:color="auto"/>
        <w:bottom w:val="none" w:sz="0" w:space="0" w:color="auto"/>
        <w:right w:val="none" w:sz="0" w:space="0" w:color="auto"/>
      </w:divBdr>
    </w:div>
    <w:div w:id="1654750218">
      <w:bodyDiv w:val="1"/>
      <w:marLeft w:val="0"/>
      <w:marRight w:val="0"/>
      <w:marTop w:val="0"/>
      <w:marBottom w:val="0"/>
      <w:divBdr>
        <w:top w:val="none" w:sz="0" w:space="0" w:color="auto"/>
        <w:left w:val="none" w:sz="0" w:space="0" w:color="auto"/>
        <w:bottom w:val="none" w:sz="0" w:space="0" w:color="auto"/>
        <w:right w:val="none" w:sz="0" w:space="0" w:color="auto"/>
      </w:divBdr>
    </w:div>
    <w:div w:id="1657762847">
      <w:bodyDiv w:val="1"/>
      <w:marLeft w:val="0"/>
      <w:marRight w:val="0"/>
      <w:marTop w:val="0"/>
      <w:marBottom w:val="0"/>
      <w:divBdr>
        <w:top w:val="none" w:sz="0" w:space="0" w:color="auto"/>
        <w:left w:val="none" w:sz="0" w:space="0" w:color="auto"/>
        <w:bottom w:val="none" w:sz="0" w:space="0" w:color="auto"/>
        <w:right w:val="none" w:sz="0" w:space="0" w:color="auto"/>
      </w:divBdr>
    </w:div>
    <w:div w:id="1660426187">
      <w:bodyDiv w:val="1"/>
      <w:marLeft w:val="0"/>
      <w:marRight w:val="0"/>
      <w:marTop w:val="0"/>
      <w:marBottom w:val="0"/>
      <w:divBdr>
        <w:top w:val="none" w:sz="0" w:space="0" w:color="auto"/>
        <w:left w:val="none" w:sz="0" w:space="0" w:color="auto"/>
        <w:bottom w:val="none" w:sz="0" w:space="0" w:color="auto"/>
        <w:right w:val="none" w:sz="0" w:space="0" w:color="auto"/>
      </w:divBdr>
    </w:div>
    <w:div w:id="1675382288">
      <w:bodyDiv w:val="1"/>
      <w:marLeft w:val="0"/>
      <w:marRight w:val="0"/>
      <w:marTop w:val="0"/>
      <w:marBottom w:val="0"/>
      <w:divBdr>
        <w:top w:val="none" w:sz="0" w:space="0" w:color="auto"/>
        <w:left w:val="none" w:sz="0" w:space="0" w:color="auto"/>
        <w:bottom w:val="none" w:sz="0" w:space="0" w:color="auto"/>
        <w:right w:val="none" w:sz="0" w:space="0" w:color="auto"/>
      </w:divBdr>
    </w:div>
    <w:div w:id="1692684953">
      <w:bodyDiv w:val="1"/>
      <w:marLeft w:val="0"/>
      <w:marRight w:val="0"/>
      <w:marTop w:val="0"/>
      <w:marBottom w:val="0"/>
      <w:divBdr>
        <w:top w:val="none" w:sz="0" w:space="0" w:color="auto"/>
        <w:left w:val="none" w:sz="0" w:space="0" w:color="auto"/>
        <w:bottom w:val="none" w:sz="0" w:space="0" w:color="auto"/>
        <w:right w:val="none" w:sz="0" w:space="0" w:color="auto"/>
      </w:divBdr>
    </w:div>
    <w:div w:id="1700397850">
      <w:bodyDiv w:val="1"/>
      <w:marLeft w:val="0"/>
      <w:marRight w:val="0"/>
      <w:marTop w:val="0"/>
      <w:marBottom w:val="0"/>
      <w:divBdr>
        <w:top w:val="none" w:sz="0" w:space="0" w:color="auto"/>
        <w:left w:val="none" w:sz="0" w:space="0" w:color="auto"/>
        <w:bottom w:val="none" w:sz="0" w:space="0" w:color="auto"/>
        <w:right w:val="none" w:sz="0" w:space="0" w:color="auto"/>
      </w:divBdr>
    </w:div>
    <w:div w:id="1702707178">
      <w:bodyDiv w:val="1"/>
      <w:marLeft w:val="0"/>
      <w:marRight w:val="0"/>
      <w:marTop w:val="0"/>
      <w:marBottom w:val="0"/>
      <w:divBdr>
        <w:top w:val="none" w:sz="0" w:space="0" w:color="auto"/>
        <w:left w:val="none" w:sz="0" w:space="0" w:color="auto"/>
        <w:bottom w:val="none" w:sz="0" w:space="0" w:color="auto"/>
        <w:right w:val="none" w:sz="0" w:space="0" w:color="auto"/>
      </w:divBdr>
    </w:div>
    <w:div w:id="1707174084">
      <w:bodyDiv w:val="1"/>
      <w:marLeft w:val="0"/>
      <w:marRight w:val="0"/>
      <w:marTop w:val="0"/>
      <w:marBottom w:val="0"/>
      <w:divBdr>
        <w:top w:val="none" w:sz="0" w:space="0" w:color="auto"/>
        <w:left w:val="none" w:sz="0" w:space="0" w:color="auto"/>
        <w:bottom w:val="none" w:sz="0" w:space="0" w:color="auto"/>
        <w:right w:val="none" w:sz="0" w:space="0" w:color="auto"/>
      </w:divBdr>
    </w:div>
    <w:div w:id="1708555921">
      <w:bodyDiv w:val="1"/>
      <w:marLeft w:val="0"/>
      <w:marRight w:val="0"/>
      <w:marTop w:val="0"/>
      <w:marBottom w:val="0"/>
      <w:divBdr>
        <w:top w:val="none" w:sz="0" w:space="0" w:color="auto"/>
        <w:left w:val="none" w:sz="0" w:space="0" w:color="auto"/>
        <w:bottom w:val="none" w:sz="0" w:space="0" w:color="auto"/>
        <w:right w:val="none" w:sz="0" w:space="0" w:color="auto"/>
      </w:divBdr>
    </w:div>
    <w:div w:id="1710646551">
      <w:bodyDiv w:val="1"/>
      <w:marLeft w:val="0"/>
      <w:marRight w:val="0"/>
      <w:marTop w:val="0"/>
      <w:marBottom w:val="0"/>
      <w:divBdr>
        <w:top w:val="none" w:sz="0" w:space="0" w:color="auto"/>
        <w:left w:val="none" w:sz="0" w:space="0" w:color="auto"/>
        <w:bottom w:val="none" w:sz="0" w:space="0" w:color="auto"/>
        <w:right w:val="none" w:sz="0" w:space="0" w:color="auto"/>
      </w:divBdr>
    </w:div>
    <w:div w:id="1714846329">
      <w:bodyDiv w:val="1"/>
      <w:marLeft w:val="0"/>
      <w:marRight w:val="0"/>
      <w:marTop w:val="0"/>
      <w:marBottom w:val="0"/>
      <w:divBdr>
        <w:top w:val="none" w:sz="0" w:space="0" w:color="auto"/>
        <w:left w:val="none" w:sz="0" w:space="0" w:color="auto"/>
        <w:bottom w:val="none" w:sz="0" w:space="0" w:color="auto"/>
        <w:right w:val="none" w:sz="0" w:space="0" w:color="auto"/>
      </w:divBdr>
    </w:div>
    <w:div w:id="1716924771">
      <w:bodyDiv w:val="1"/>
      <w:marLeft w:val="0"/>
      <w:marRight w:val="0"/>
      <w:marTop w:val="0"/>
      <w:marBottom w:val="0"/>
      <w:divBdr>
        <w:top w:val="none" w:sz="0" w:space="0" w:color="auto"/>
        <w:left w:val="none" w:sz="0" w:space="0" w:color="auto"/>
        <w:bottom w:val="none" w:sz="0" w:space="0" w:color="auto"/>
        <w:right w:val="none" w:sz="0" w:space="0" w:color="auto"/>
      </w:divBdr>
    </w:div>
    <w:div w:id="1717897777">
      <w:bodyDiv w:val="1"/>
      <w:marLeft w:val="0"/>
      <w:marRight w:val="0"/>
      <w:marTop w:val="0"/>
      <w:marBottom w:val="0"/>
      <w:divBdr>
        <w:top w:val="none" w:sz="0" w:space="0" w:color="auto"/>
        <w:left w:val="none" w:sz="0" w:space="0" w:color="auto"/>
        <w:bottom w:val="none" w:sz="0" w:space="0" w:color="auto"/>
        <w:right w:val="none" w:sz="0" w:space="0" w:color="auto"/>
      </w:divBdr>
    </w:div>
    <w:div w:id="1748847147">
      <w:bodyDiv w:val="1"/>
      <w:marLeft w:val="0"/>
      <w:marRight w:val="0"/>
      <w:marTop w:val="0"/>
      <w:marBottom w:val="0"/>
      <w:divBdr>
        <w:top w:val="none" w:sz="0" w:space="0" w:color="auto"/>
        <w:left w:val="none" w:sz="0" w:space="0" w:color="auto"/>
        <w:bottom w:val="none" w:sz="0" w:space="0" w:color="auto"/>
        <w:right w:val="none" w:sz="0" w:space="0" w:color="auto"/>
      </w:divBdr>
    </w:div>
    <w:div w:id="1767312827">
      <w:bodyDiv w:val="1"/>
      <w:marLeft w:val="0"/>
      <w:marRight w:val="0"/>
      <w:marTop w:val="0"/>
      <w:marBottom w:val="0"/>
      <w:divBdr>
        <w:top w:val="none" w:sz="0" w:space="0" w:color="auto"/>
        <w:left w:val="none" w:sz="0" w:space="0" w:color="auto"/>
        <w:bottom w:val="none" w:sz="0" w:space="0" w:color="auto"/>
        <w:right w:val="none" w:sz="0" w:space="0" w:color="auto"/>
      </w:divBdr>
    </w:div>
    <w:div w:id="1770346743">
      <w:bodyDiv w:val="1"/>
      <w:marLeft w:val="0"/>
      <w:marRight w:val="0"/>
      <w:marTop w:val="0"/>
      <w:marBottom w:val="0"/>
      <w:divBdr>
        <w:top w:val="none" w:sz="0" w:space="0" w:color="auto"/>
        <w:left w:val="none" w:sz="0" w:space="0" w:color="auto"/>
        <w:bottom w:val="none" w:sz="0" w:space="0" w:color="auto"/>
        <w:right w:val="none" w:sz="0" w:space="0" w:color="auto"/>
      </w:divBdr>
    </w:div>
    <w:div w:id="1776361401">
      <w:bodyDiv w:val="1"/>
      <w:marLeft w:val="0"/>
      <w:marRight w:val="0"/>
      <w:marTop w:val="0"/>
      <w:marBottom w:val="0"/>
      <w:divBdr>
        <w:top w:val="none" w:sz="0" w:space="0" w:color="auto"/>
        <w:left w:val="none" w:sz="0" w:space="0" w:color="auto"/>
        <w:bottom w:val="none" w:sz="0" w:space="0" w:color="auto"/>
        <w:right w:val="none" w:sz="0" w:space="0" w:color="auto"/>
      </w:divBdr>
    </w:div>
    <w:div w:id="1778020190">
      <w:bodyDiv w:val="1"/>
      <w:marLeft w:val="0"/>
      <w:marRight w:val="0"/>
      <w:marTop w:val="0"/>
      <w:marBottom w:val="0"/>
      <w:divBdr>
        <w:top w:val="none" w:sz="0" w:space="0" w:color="auto"/>
        <w:left w:val="none" w:sz="0" w:space="0" w:color="auto"/>
        <w:bottom w:val="none" w:sz="0" w:space="0" w:color="auto"/>
        <w:right w:val="none" w:sz="0" w:space="0" w:color="auto"/>
      </w:divBdr>
    </w:div>
    <w:div w:id="1780905989">
      <w:bodyDiv w:val="1"/>
      <w:marLeft w:val="0"/>
      <w:marRight w:val="0"/>
      <w:marTop w:val="0"/>
      <w:marBottom w:val="0"/>
      <w:divBdr>
        <w:top w:val="none" w:sz="0" w:space="0" w:color="auto"/>
        <w:left w:val="none" w:sz="0" w:space="0" w:color="auto"/>
        <w:bottom w:val="none" w:sz="0" w:space="0" w:color="auto"/>
        <w:right w:val="none" w:sz="0" w:space="0" w:color="auto"/>
      </w:divBdr>
    </w:div>
    <w:div w:id="1781799747">
      <w:bodyDiv w:val="1"/>
      <w:marLeft w:val="0"/>
      <w:marRight w:val="0"/>
      <w:marTop w:val="0"/>
      <w:marBottom w:val="0"/>
      <w:divBdr>
        <w:top w:val="none" w:sz="0" w:space="0" w:color="auto"/>
        <w:left w:val="none" w:sz="0" w:space="0" w:color="auto"/>
        <w:bottom w:val="none" w:sz="0" w:space="0" w:color="auto"/>
        <w:right w:val="none" w:sz="0" w:space="0" w:color="auto"/>
      </w:divBdr>
    </w:div>
    <w:div w:id="1786994756">
      <w:bodyDiv w:val="1"/>
      <w:marLeft w:val="0"/>
      <w:marRight w:val="0"/>
      <w:marTop w:val="0"/>
      <w:marBottom w:val="0"/>
      <w:divBdr>
        <w:top w:val="none" w:sz="0" w:space="0" w:color="auto"/>
        <w:left w:val="none" w:sz="0" w:space="0" w:color="auto"/>
        <w:bottom w:val="none" w:sz="0" w:space="0" w:color="auto"/>
        <w:right w:val="none" w:sz="0" w:space="0" w:color="auto"/>
      </w:divBdr>
    </w:div>
    <w:div w:id="1790472246">
      <w:bodyDiv w:val="1"/>
      <w:marLeft w:val="0"/>
      <w:marRight w:val="0"/>
      <w:marTop w:val="0"/>
      <w:marBottom w:val="0"/>
      <w:divBdr>
        <w:top w:val="none" w:sz="0" w:space="0" w:color="auto"/>
        <w:left w:val="none" w:sz="0" w:space="0" w:color="auto"/>
        <w:bottom w:val="none" w:sz="0" w:space="0" w:color="auto"/>
        <w:right w:val="none" w:sz="0" w:space="0" w:color="auto"/>
      </w:divBdr>
    </w:div>
    <w:div w:id="1793282434">
      <w:bodyDiv w:val="1"/>
      <w:marLeft w:val="0"/>
      <w:marRight w:val="0"/>
      <w:marTop w:val="0"/>
      <w:marBottom w:val="0"/>
      <w:divBdr>
        <w:top w:val="none" w:sz="0" w:space="0" w:color="auto"/>
        <w:left w:val="none" w:sz="0" w:space="0" w:color="auto"/>
        <w:bottom w:val="none" w:sz="0" w:space="0" w:color="auto"/>
        <w:right w:val="none" w:sz="0" w:space="0" w:color="auto"/>
      </w:divBdr>
    </w:div>
    <w:div w:id="1803116845">
      <w:bodyDiv w:val="1"/>
      <w:marLeft w:val="0"/>
      <w:marRight w:val="0"/>
      <w:marTop w:val="0"/>
      <w:marBottom w:val="0"/>
      <w:divBdr>
        <w:top w:val="none" w:sz="0" w:space="0" w:color="auto"/>
        <w:left w:val="none" w:sz="0" w:space="0" w:color="auto"/>
        <w:bottom w:val="none" w:sz="0" w:space="0" w:color="auto"/>
        <w:right w:val="none" w:sz="0" w:space="0" w:color="auto"/>
      </w:divBdr>
    </w:div>
    <w:div w:id="1806314679">
      <w:bodyDiv w:val="1"/>
      <w:marLeft w:val="0"/>
      <w:marRight w:val="0"/>
      <w:marTop w:val="0"/>
      <w:marBottom w:val="0"/>
      <w:divBdr>
        <w:top w:val="none" w:sz="0" w:space="0" w:color="auto"/>
        <w:left w:val="none" w:sz="0" w:space="0" w:color="auto"/>
        <w:bottom w:val="none" w:sz="0" w:space="0" w:color="auto"/>
        <w:right w:val="none" w:sz="0" w:space="0" w:color="auto"/>
      </w:divBdr>
    </w:div>
    <w:div w:id="1808281483">
      <w:bodyDiv w:val="1"/>
      <w:marLeft w:val="0"/>
      <w:marRight w:val="0"/>
      <w:marTop w:val="0"/>
      <w:marBottom w:val="0"/>
      <w:divBdr>
        <w:top w:val="none" w:sz="0" w:space="0" w:color="auto"/>
        <w:left w:val="none" w:sz="0" w:space="0" w:color="auto"/>
        <w:bottom w:val="none" w:sz="0" w:space="0" w:color="auto"/>
        <w:right w:val="none" w:sz="0" w:space="0" w:color="auto"/>
      </w:divBdr>
    </w:div>
    <w:div w:id="1811752287">
      <w:bodyDiv w:val="1"/>
      <w:marLeft w:val="0"/>
      <w:marRight w:val="0"/>
      <w:marTop w:val="0"/>
      <w:marBottom w:val="0"/>
      <w:divBdr>
        <w:top w:val="none" w:sz="0" w:space="0" w:color="auto"/>
        <w:left w:val="none" w:sz="0" w:space="0" w:color="auto"/>
        <w:bottom w:val="none" w:sz="0" w:space="0" w:color="auto"/>
        <w:right w:val="none" w:sz="0" w:space="0" w:color="auto"/>
      </w:divBdr>
    </w:div>
    <w:div w:id="1820144489">
      <w:bodyDiv w:val="1"/>
      <w:marLeft w:val="0"/>
      <w:marRight w:val="0"/>
      <w:marTop w:val="0"/>
      <w:marBottom w:val="0"/>
      <w:divBdr>
        <w:top w:val="none" w:sz="0" w:space="0" w:color="auto"/>
        <w:left w:val="none" w:sz="0" w:space="0" w:color="auto"/>
        <w:bottom w:val="none" w:sz="0" w:space="0" w:color="auto"/>
        <w:right w:val="none" w:sz="0" w:space="0" w:color="auto"/>
      </w:divBdr>
    </w:div>
    <w:div w:id="1821848543">
      <w:bodyDiv w:val="1"/>
      <w:marLeft w:val="0"/>
      <w:marRight w:val="0"/>
      <w:marTop w:val="0"/>
      <w:marBottom w:val="0"/>
      <w:divBdr>
        <w:top w:val="none" w:sz="0" w:space="0" w:color="auto"/>
        <w:left w:val="none" w:sz="0" w:space="0" w:color="auto"/>
        <w:bottom w:val="none" w:sz="0" w:space="0" w:color="auto"/>
        <w:right w:val="none" w:sz="0" w:space="0" w:color="auto"/>
      </w:divBdr>
    </w:div>
    <w:div w:id="1826044965">
      <w:bodyDiv w:val="1"/>
      <w:marLeft w:val="0"/>
      <w:marRight w:val="0"/>
      <w:marTop w:val="0"/>
      <w:marBottom w:val="0"/>
      <w:divBdr>
        <w:top w:val="none" w:sz="0" w:space="0" w:color="auto"/>
        <w:left w:val="none" w:sz="0" w:space="0" w:color="auto"/>
        <w:bottom w:val="none" w:sz="0" w:space="0" w:color="auto"/>
        <w:right w:val="none" w:sz="0" w:space="0" w:color="auto"/>
      </w:divBdr>
    </w:div>
    <w:div w:id="1826361596">
      <w:bodyDiv w:val="1"/>
      <w:marLeft w:val="0"/>
      <w:marRight w:val="0"/>
      <w:marTop w:val="0"/>
      <w:marBottom w:val="0"/>
      <w:divBdr>
        <w:top w:val="none" w:sz="0" w:space="0" w:color="auto"/>
        <w:left w:val="none" w:sz="0" w:space="0" w:color="auto"/>
        <w:bottom w:val="none" w:sz="0" w:space="0" w:color="auto"/>
        <w:right w:val="none" w:sz="0" w:space="0" w:color="auto"/>
      </w:divBdr>
    </w:div>
    <w:div w:id="1826585865">
      <w:bodyDiv w:val="1"/>
      <w:marLeft w:val="0"/>
      <w:marRight w:val="0"/>
      <w:marTop w:val="0"/>
      <w:marBottom w:val="0"/>
      <w:divBdr>
        <w:top w:val="none" w:sz="0" w:space="0" w:color="auto"/>
        <w:left w:val="none" w:sz="0" w:space="0" w:color="auto"/>
        <w:bottom w:val="none" w:sz="0" w:space="0" w:color="auto"/>
        <w:right w:val="none" w:sz="0" w:space="0" w:color="auto"/>
      </w:divBdr>
    </w:div>
    <w:div w:id="1829516268">
      <w:bodyDiv w:val="1"/>
      <w:marLeft w:val="0"/>
      <w:marRight w:val="0"/>
      <w:marTop w:val="0"/>
      <w:marBottom w:val="0"/>
      <w:divBdr>
        <w:top w:val="none" w:sz="0" w:space="0" w:color="auto"/>
        <w:left w:val="none" w:sz="0" w:space="0" w:color="auto"/>
        <w:bottom w:val="none" w:sz="0" w:space="0" w:color="auto"/>
        <w:right w:val="none" w:sz="0" w:space="0" w:color="auto"/>
      </w:divBdr>
    </w:div>
    <w:div w:id="1831556856">
      <w:bodyDiv w:val="1"/>
      <w:marLeft w:val="0"/>
      <w:marRight w:val="0"/>
      <w:marTop w:val="0"/>
      <w:marBottom w:val="0"/>
      <w:divBdr>
        <w:top w:val="none" w:sz="0" w:space="0" w:color="auto"/>
        <w:left w:val="none" w:sz="0" w:space="0" w:color="auto"/>
        <w:bottom w:val="none" w:sz="0" w:space="0" w:color="auto"/>
        <w:right w:val="none" w:sz="0" w:space="0" w:color="auto"/>
      </w:divBdr>
    </w:div>
    <w:div w:id="1836265887">
      <w:bodyDiv w:val="1"/>
      <w:marLeft w:val="0"/>
      <w:marRight w:val="0"/>
      <w:marTop w:val="0"/>
      <w:marBottom w:val="0"/>
      <w:divBdr>
        <w:top w:val="none" w:sz="0" w:space="0" w:color="auto"/>
        <w:left w:val="none" w:sz="0" w:space="0" w:color="auto"/>
        <w:bottom w:val="none" w:sz="0" w:space="0" w:color="auto"/>
        <w:right w:val="none" w:sz="0" w:space="0" w:color="auto"/>
      </w:divBdr>
    </w:div>
    <w:div w:id="1848909831">
      <w:bodyDiv w:val="1"/>
      <w:marLeft w:val="0"/>
      <w:marRight w:val="0"/>
      <w:marTop w:val="0"/>
      <w:marBottom w:val="0"/>
      <w:divBdr>
        <w:top w:val="none" w:sz="0" w:space="0" w:color="auto"/>
        <w:left w:val="none" w:sz="0" w:space="0" w:color="auto"/>
        <w:bottom w:val="none" w:sz="0" w:space="0" w:color="auto"/>
        <w:right w:val="none" w:sz="0" w:space="0" w:color="auto"/>
      </w:divBdr>
    </w:div>
    <w:div w:id="1850170182">
      <w:bodyDiv w:val="1"/>
      <w:marLeft w:val="0"/>
      <w:marRight w:val="0"/>
      <w:marTop w:val="0"/>
      <w:marBottom w:val="0"/>
      <w:divBdr>
        <w:top w:val="none" w:sz="0" w:space="0" w:color="auto"/>
        <w:left w:val="none" w:sz="0" w:space="0" w:color="auto"/>
        <w:bottom w:val="none" w:sz="0" w:space="0" w:color="auto"/>
        <w:right w:val="none" w:sz="0" w:space="0" w:color="auto"/>
      </w:divBdr>
    </w:div>
    <w:div w:id="1852258750">
      <w:bodyDiv w:val="1"/>
      <w:marLeft w:val="0"/>
      <w:marRight w:val="0"/>
      <w:marTop w:val="0"/>
      <w:marBottom w:val="0"/>
      <w:divBdr>
        <w:top w:val="none" w:sz="0" w:space="0" w:color="auto"/>
        <w:left w:val="none" w:sz="0" w:space="0" w:color="auto"/>
        <w:bottom w:val="none" w:sz="0" w:space="0" w:color="auto"/>
        <w:right w:val="none" w:sz="0" w:space="0" w:color="auto"/>
      </w:divBdr>
    </w:div>
    <w:div w:id="1855344712">
      <w:bodyDiv w:val="1"/>
      <w:marLeft w:val="0"/>
      <w:marRight w:val="0"/>
      <w:marTop w:val="0"/>
      <w:marBottom w:val="0"/>
      <w:divBdr>
        <w:top w:val="none" w:sz="0" w:space="0" w:color="auto"/>
        <w:left w:val="none" w:sz="0" w:space="0" w:color="auto"/>
        <w:bottom w:val="none" w:sz="0" w:space="0" w:color="auto"/>
        <w:right w:val="none" w:sz="0" w:space="0" w:color="auto"/>
      </w:divBdr>
    </w:div>
    <w:div w:id="1863350928">
      <w:bodyDiv w:val="1"/>
      <w:marLeft w:val="0"/>
      <w:marRight w:val="0"/>
      <w:marTop w:val="0"/>
      <w:marBottom w:val="0"/>
      <w:divBdr>
        <w:top w:val="none" w:sz="0" w:space="0" w:color="auto"/>
        <w:left w:val="none" w:sz="0" w:space="0" w:color="auto"/>
        <w:bottom w:val="none" w:sz="0" w:space="0" w:color="auto"/>
        <w:right w:val="none" w:sz="0" w:space="0" w:color="auto"/>
      </w:divBdr>
    </w:div>
    <w:div w:id="1869026698">
      <w:bodyDiv w:val="1"/>
      <w:marLeft w:val="0"/>
      <w:marRight w:val="0"/>
      <w:marTop w:val="0"/>
      <w:marBottom w:val="0"/>
      <w:divBdr>
        <w:top w:val="none" w:sz="0" w:space="0" w:color="auto"/>
        <w:left w:val="none" w:sz="0" w:space="0" w:color="auto"/>
        <w:bottom w:val="none" w:sz="0" w:space="0" w:color="auto"/>
        <w:right w:val="none" w:sz="0" w:space="0" w:color="auto"/>
      </w:divBdr>
    </w:div>
    <w:div w:id="1871411999">
      <w:bodyDiv w:val="1"/>
      <w:marLeft w:val="0"/>
      <w:marRight w:val="0"/>
      <w:marTop w:val="0"/>
      <w:marBottom w:val="0"/>
      <w:divBdr>
        <w:top w:val="none" w:sz="0" w:space="0" w:color="auto"/>
        <w:left w:val="none" w:sz="0" w:space="0" w:color="auto"/>
        <w:bottom w:val="none" w:sz="0" w:space="0" w:color="auto"/>
        <w:right w:val="none" w:sz="0" w:space="0" w:color="auto"/>
      </w:divBdr>
    </w:div>
    <w:div w:id="1876691131">
      <w:bodyDiv w:val="1"/>
      <w:marLeft w:val="0"/>
      <w:marRight w:val="0"/>
      <w:marTop w:val="0"/>
      <w:marBottom w:val="0"/>
      <w:divBdr>
        <w:top w:val="none" w:sz="0" w:space="0" w:color="auto"/>
        <w:left w:val="none" w:sz="0" w:space="0" w:color="auto"/>
        <w:bottom w:val="none" w:sz="0" w:space="0" w:color="auto"/>
        <w:right w:val="none" w:sz="0" w:space="0" w:color="auto"/>
      </w:divBdr>
    </w:div>
    <w:div w:id="1878007212">
      <w:bodyDiv w:val="1"/>
      <w:marLeft w:val="0"/>
      <w:marRight w:val="0"/>
      <w:marTop w:val="0"/>
      <w:marBottom w:val="0"/>
      <w:divBdr>
        <w:top w:val="none" w:sz="0" w:space="0" w:color="auto"/>
        <w:left w:val="none" w:sz="0" w:space="0" w:color="auto"/>
        <w:bottom w:val="none" w:sz="0" w:space="0" w:color="auto"/>
        <w:right w:val="none" w:sz="0" w:space="0" w:color="auto"/>
      </w:divBdr>
    </w:div>
    <w:div w:id="1882784935">
      <w:bodyDiv w:val="1"/>
      <w:marLeft w:val="0"/>
      <w:marRight w:val="0"/>
      <w:marTop w:val="0"/>
      <w:marBottom w:val="0"/>
      <w:divBdr>
        <w:top w:val="none" w:sz="0" w:space="0" w:color="auto"/>
        <w:left w:val="none" w:sz="0" w:space="0" w:color="auto"/>
        <w:bottom w:val="none" w:sz="0" w:space="0" w:color="auto"/>
        <w:right w:val="none" w:sz="0" w:space="0" w:color="auto"/>
      </w:divBdr>
    </w:div>
    <w:div w:id="1884246985">
      <w:bodyDiv w:val="1"/>
      <w:marLeft w:val="0"/>
      <w:marRight w:val="0"/>
      <w:marTop w:val="0"/>
      <w:marBottom w:val="0"/>
      <w:divBdr>
        <w:top w:val="none" w:sz="0" w:space="0" w:color="auto"/>
        <w:left w:val="none" w:sz="0" w:space="0" w:color="auto"/>
        <w:bottom w:val="none" w:sz="0" w:space="0" w:color="auto"/>
        <w:right w:val="none" w:sz="0" w:space="0" w:color="auto"/>
      </w:divBdr>
    </w:div>
    <w:div w:id="1886065494">
      <w:bodyDiv w:val="1"/>
      <w:marLeft w:val="0"/>
      <w:marRight w:val="0"/>
      <w:marTop w:val="0"/>
      <w:marBottom w:val="0"/>
      <w:divBdr>
        <w:top w:val="none" w:sz="0" w:space="0" w:color="auto"/>
        <w:left w:val="none" w:sz="0" w:space="0" w:color="auto"/>
        <w:bottom w:val="none" w:sz="0" w:space="0" w:color="auto"/>
        <w:right w:val="none" w:sz="0" w:space="0" w:color="auto"/>
      </w:divBdr>
    </w:div>
    <w:div w:id="1887523982">
      <w:bodyDiv w:val="1"/>
      <w:marLeft w:val="0"/>
      <w:marRight w:val="0"/>
      <w:marTop w:val="0"/>
      <w:marBottom w:val="0"/>
      <w:divBdr>
        <w:top w:val="none" w:sz="0" w:space="0" w:color="auto"/>
        <w:left w:val="none" w:sz="0" w:space="0" w:color="auto"/>
        <w:bottom w:val="none" w:sz="0" w:space="0" w:color="auto"/>
        <w:right w:val="none" w:sz="0" w:space="0" w:color="auto"/>
      </w:divBdr>
    </w:div>
    <w:div w:id="1891069920">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701253">
      <w:bodyDiv w:val="1"/>
      <w:marLeft w:val="0"/>
      <w:marRight w:val="0"/>
      <w:marTop w:val="0"/>
      <w:marBottom w:val="0"/>
      <w:divBdr>
        <w:top w:val="none" w:sz="0" w:space="0" w:color="auto"/>
        <w:left w:val="none" w:sz="0" w:space="0" w:color="auto"/>
        <w:bottom w:val="none" w:sz="0" w:space="0" w:color="auto"/>
        <w:right w:val="none" w:sz="0" w:space="0" w:color="auto"/>
      </w:divBdr>
    </w:div>
    <w:div w:id="1901362848">
      <w:bodyDiv w:val="1"/>
      <w:marLeft w:val="0"/>
      <w:marRight w:val="0"/>
      <w:marTop w:val="0"/>
      <w:marBottom w:val="0"/>
      <w:divBdr>
        <w:top w:val="none" w:sz="0" w:space="0" w:color="auto"/>
        <w:left w:val="none" w:sz="0" w:space="0" w:color="auto"/>
        <w:bottom w:val="none" w:sz="0" w:space="0" w:color="auto"/>
        <w:right w:val="none" w:sz="0" w:space="0" w:color="auto"/>
      </w:divBdr>
    </w:div>
    <w:div w:id="1903707770">
      <w:bodyDiv w:val="1"/>
      <w:marLeft w:val="0"/>
      <w:marRight w:val="0"/>
      <w:marTop w:val="0"/>
      <w:marBottom w:val="0"/>
      <w:divBdr>
        <w:top w:val="none" w:sz="0" w:space="0" w:color="auto"/>
        <w:left w:val="none" w:sz="0" w:space="0" w:color="auto"/>
        <w:bottom w:val="none" w:sz="0" w:space="0" w:color="auto"/>
        <w:right w:val="none" w:sz="0" w:space="0" w:color="auto"/>
      </w:divBdr>
    </w:div>
    <w:div w:id="1905023455">
      <w:bodyDiv w:val="1"/>
      <w:marLeft w:val="0"/>
      <w:marRight w:val="0"/>
      <w:marTop w:val="0"/>
      <w:marBottom w:val="0"/>
      <w:divBdr>
        <w:top w:val="none" w:sz="0" w:space="0" w:color="auto"/>
        <w:left w:val="none" w:sz="0" w:space="0" w:color="auto"/>
        <w:bottom w:val="none" w:sz="0" w:space="0" w:color="auto"/>
        <w:right w:val="none" w:sz="0" w:space="0" w:color="auto"/>
      </w:divBdr>
    </w:div>
    <w:div w:id="1917402393">
      <w:bodyDiv w:val="1"/>
      <w:marLeft w:val="0"/>
      <w:marRight w:val="0"/>
      <w:marTop w:val="0"/>
      <w:marBottom w:val="0"/>
      <w:divBdr>
        <w:top w:val="none" w:sz="0" w:space="0" w:color="auto"/>
        <w:left w:val="none" w:sz="0" w:space="0" w:color="auto"/>
        <w:bottom w:val="none" w:sz="0" w:space="0" w:color="auto"/>
        <w:right w:val="none" w:sz="0" w:space="0" w:color="auto"/>
      </w:divBdr>
    </w:div>
    <w:div w:id="1921791688">
      <w:bodyDiv w:val="1"/>
      <w:marLeft w:val="0"/>
      <w:marRight w:val="0"/>
      <w:marTop w:val="0"/>
      <w:marBottom w:val="0"/>
      <w:divBdr>
        <w:top w:val="none" w:sz="0" w:space="0" w:color="auto"/>
        <w:left w:val="none" w:sz="0" w:space="0" w:color="auto"/>
        <w:bottom w:val="none" w:sz="0" w:space="0" w:color="auto"/>
        <w:right w:val="none" w:sz="0" w:space="0" w:color="auto"/>
      </w:divBdr>
    </w:div>
    <w:div w:id="1925454278">
      <w:bodyDiv w:val="1"/>
      <w:marLeft w:val="0"/>
      <w:marRight w:val="0"/>
      <w:marTop w:val="0"/>
      <w:marBottom w:val="0"/>
      <w:divBdr>
        <w:top w:val="none" w:sz="0" w:space="0" w:color="auto"/>
        <w:left w:val="none" w:sz="0" w:space="0" w:color="auto"/>
        <w:bottom w:val="none" w:sz="0" w:space="0" w:color="auto"/>
        <w:right w:val="none" w:sz="0" w:space="0" w:color="auto"/>
      </w:divBdr>
    </w:div>
    <w:div w:id="1928491351">
      <w:bodyDiv w:val="1"/>
      <w:marLeft w:val="0"/>
      <w:marRight w:val="0"/>
      <w:marTop w:val="0"/>
      <w:marBottom w:val="0"/>
      <w:divBdr>
        <w:top w:val="none" w:sz="0" w:space="0" w:color="auto"/>
        <w:left w:val="none" w:sz="0" w:space="0" w:color="auto"/>
        <w:bottom w:val="none" w:sz="0" w:space="0" w:color="auto"/>
        <w:right w:val="none" w:sz="0" w:space="0" w:color="auto"/>
      </w:divBdr>
    </w:div>
    <w:div w:id="1938051767">
      <w:bodyDiv w:val="1"/>
      <w:marLeft w:val="0"/>
      <w:marRight w:val="0"/>
      <w:marTop w:val="0"/>
      <w:marBottom w:val="0"/>
      <w:divBdr>
        <w:top w:val="none" w:sz="0" w:space="0" w:color="auto"/>
        <w:left w:val="none" w:sz="0" w:space="0" w:color="auto"/>
        <w:bottom w:val="none" w:sz="0" w:space="0" w:color="auto"/>
        <w:right w:val="none" w:sz="0" w:space="0" w:color="auto"/>
      </w:divBdr>
    </w:div>
    <w:div w:id="1942641699">
      <w:bodyDiv w:val="1"/>
      <w:marLeft w:val="0"/>
      <w:marRight w:val="0"/>
      <w:marTop w:val="0"/>
      <w:marBottom w:val="0"/>
      <w:divBdr>
        <w:top w:val="none" w:sz="0" w:space="0" w:color="auto"/>
        <w:left w:val="none" w:sz="0" w:space="0" w:color="auto"/>
        <w:bottom w:val="none" w:sz="0" w:space="0" w:color="auto"/>
        <w:right w:val="none" w:sz="0" w:space="0" w:color="auto"/>
      </w:divBdr>
    </w:div>
    <w:div w:id="1956475398">
      <w:bodyDiv w:val="1"/>
      <w:marLeft w:val="0"/>
      <w:marRight w:val="0"/>
      <w:marTop w:val="0"/>
      <w:marBottom w:val="0"/>
      <w:divBdr>
        <w:top w:val="none" w:sz="0" w:space="0" w:color="auto"/>
        <w:left w:val="none" w:sz="0" w:space="0" w:color="auto"/>
        <w:bottom w:val="none" w:sz="0" w:space="0" w:color="auto"/>
        <w:right w:val="none" w:sz="0" w:space="0" w:color="auto"/>
      </w:divBdr>
    </w:div>
    <w:div w:id="1962108196">
      <w:bodyDiv w:val="1"/>
      <w:marLeft w:val="0"/>
      <w:marRight w:val="0"/>
      <w:marTop w:val="0"/>
      <w:marBottom w:val="0"/>
      <w:divBdr>
        <w:top w:val="none" w:sz="0" w:space="0" w:color="auto"/>
        <w:left w:val="none" w:sz="0" w:space="0" w:color="auto"/>
        <w:bottom w:val="none" w:sz="0" w:space="0" w:color="auto"/>
        <w:right w:val="none" w:sz="0" w:space="0" w:color="auto"/>
      </w:divBdr>
    </w:div>
    <w:div w:id="1967541567">
      <w:bodyDiv w:val="1"/>
      <w:marLeft w:val="0"/>
      <w:marRight w:val="0"/>
      <w:marTop w:val="0"/>
      <w:marBottom w:val="0"/>
      <w:divBdr>
        <w:top w:val="none" w:sz="0" w:space="0" w:color="auto"/>
        <w:left w:val="none" w:sz="0" w:space="0" w:color="auto"/>
        <w:bottom w:val="none" w:sz="0" w:space="0" w:color="auto"/>
        <w:right w:val="none" w:sz="0" w:space="0" w:color="auto"/>
      </w:divBdr>
    </w:div>
    <w:div w:id="1971207027">
      <w:bodyDiv w:val="1"/>
      <w:marLeft w:val="0"/>
      <w:marRight w:val="0"/>
      <w:marTop w:val="0"/>
      <w:marBottom w:val="0"/>
      <w:divBdr>
        <w:top w:val="none" w:sz="0" w:space="0" w:color="auto"/>
        <w:left w:val="none" w:sz="0" w:space="0" w:color="auto"/>
        <w:bottom w:val="none" w:sz="0" w:space="0" w:color="auto"/>
        <w:right w:val="none" w:sz="0" w:space="0" w:color="auto"/>
      </w:divBdr>
    </w:div>
    <w:div w:id="1972859802">
      <w:bodyDiv w:val="1"/>
      <w:marLeft w:val="0"/>
      <w:marRight w:val="0"/>
      <w:marTop w:val="0"/>
      <w:marBottom w:val="0"/>
      <w:divBdr>
        <w:top w:val="none" w:sz="0" w:space="0" w:color="auto"/>
        <w:left w:val="none" w:sz="0" w:space="0" w:color="auto"/>
        <w:bottom w:val="none" w:sz="0" w:space="0" w:color="auto"/>
        <w:right w:val="none" w:sz="0" w:space="0" w:color="auto"/>
      </w:divBdr>
    </w:div>
    <w:div w:id="1980257430">
      <w:bodyDiv w:val="1"/>
      <w:marLeft w:val="0"/>
      <w:marRight w:val="0"/>
      <w:marTop w:val="0"/>
      <w:marBottom w:val="0"/>
      <w:divBdr>
        <w:top w:val="none" w:sz="0" w:space="0" w:color="auto"/>
        <w:left w:val="none" w:sz="0" w:space="0" w:color="auto"/>
        <w:bottom w:val="none" w:sz="0" w:space="0" w:color="auto"/>
        <w:right w:val="none" w:sz="0" w:space="0" w:color="auto"/>
      </w:divBdr>
    </w:div>
    <w:div w:id="1983727803">
      <w:bodyDiv w:val="1"/>
      <w:marLeft w:val="0"/>
      <w:marRight w:val="0"/>
      <w:marTop w:val="0"/>
      <w:marBottom w:val="0"/>
      <w:divBdr>
        <w:top w:val="none" w:sz="0" w:space="0" w:color="auto"/>
        <w:left w:val="none" w:sz="0" w:space="0" w:color="auto"/>
        <w:bottom w:val="none" w:sz="0" w:space="0" w:color="auto"/>
        <w:right w:val="none" w:sz="0" w:space="0" w:color="auto"/>
      </w:divBdr>
    </w:div>
    <w:div w:id="1989438802">
      <w:bodyDiv w:val="1"/>
      <w:marLeft w:val="0"/>
      <w:marRight w:val="0"/>
      <w:marTop w:val="0"/>
      <w:marBottom w:val="0"/>
      <w:divBdr>
        <w:top w:val="none" w:sz="0" w:space="0" w:color="auto"/>
        <w:left w:val="none" w:sz="0" w:space="0" w:color="auto"/>
        <w:bottom w:val="none" w:sz="0" w:space="0" w:color="auto"/>
        <w:right w:val="none" w:sz="0" w:space="0" w:color="auto"/>
      </w:divBdr>
    </w:div>
    <w:div w:id="1990088077">
      <w:bodyDiv w:val="1"/>
      <w:marLeft w:val="0"/>
      <w:marRight w:val="0"/>
      <w:marTop w:val="0"/>
      <w:marBottom w:val="0"/>
      <w:divBdr>
        <w:top w:val="none" w:sz="0" w:space="0" w:color="auto"/>
        <w:left w:val="none" w:sz="0" w:space="0" w:color="auto"/>
        <w:bottom w:val="none" w:sz="0" w:space="0" w:color="auto"/>
        <w:right w:val="none" w:sz="0" w:space="0" w:color="auto"/>
      </w:divBdr>
    </w:div>
    <w:div w:id="1997755470">
      <w:bodyDiv w:val="1"/>
      <w:marLeft w:val="0"/>
      <w:marRight w:val="0"/>
      <w:marTop w:val="0"/>
      <w:marBottom w:val="0"/>
      <w:divBdr>
        <w:top w:val="none" w:sz="0" w:space="0" w:color="auto"/>
        <w:left w:val="none" w:sz="0" w:space="0" w:color="auto"/>
        <w:bottom w:val="none" w:sz="0" w:space="0" w:color="auto"/>
        <w:right w:val="none" w:sz="0" w:space="0" w:color="auto"/>
      </w:divBdr>
    </w:div>
    <w:div w:id="1999266044">
      <w:bodyDiv w:val="1"/>
      <w:marLeft w:val="0"/>
      <w:marRight w:val="0"/>
      <w:marTop w:val="0"/>
      <w:marBottom w:val="0"/>
      <w:divBdr>
        <w:top w:val="none" w:sz="0" w:space="0" w:color="auto"/>
        <w:left w:val="none" w:sz="0" w:space="0" w:color="auto"/>
        <w:bottom w:val="none" w:sz="0" w:space="0" w:color="auto"/>
        <w:right w:val="none" w:sz="0" w:space="0" w:color="auto"/>
      </w:divBdr>
    </w:div>
    <w:div w:id="2000377623">
      <w:bodyDiv w:val="1"/>
      <w:marLeft w:val="0"/>
      <w:marRight w:val="0"/>
      <w:marTop w:val="0"/>
      <w:marBottom w:val="0"/>
      <w:divBdr>
        <w:top w:val="none" w:sz="0" w:space="0" w:color="auto"/>
        <w:left w:val="none" w:sz="0" w:space="0" w:color="auto"/>
        <w:bottom w:val="none" w:sz="0" w:space="0" w:color="auto"/>
        <w:right w:val="none" w:sz="0" w:space="0" w:color="auto"/>
      </w:divBdr>
    </w:div>
    <w:div w:id="2013949702">
      <w:bodyDiv w:val="1"/>
      <w:marLeft w:val="0"/>
      <w:marRight w:val="0"/>
      <w:marTop w:val="0"/>
      <w:marBottom w:val="0"/>
      <w:divBdr>
        <w:top w:val="none" w:sz="0" w:space="0" w:color="auto"/>
        <w:left w:val="none" w:sz="0" w:space="0" w:color="auto"/>
        <w:bottom w:val="none" w:sz="0" w:space="0" w:color="auto"/>
        <w:right w:val="none" w:sz="0" w:space="0" w:color="auto"/>
      </w:divBdr>
    </w:div>
    <w:div w:id="2014648920">
      <w:bodyDiv w:val="1"/>
      <w:marLeft w:val="0"/>
      <w:marRight w:val="0"/>
      <w:marTop w:val="0"/>
      <w:marBottom w:val="0"/>
      <w:divBdr>
        <w:top w:val="none" w:sz="0" w:space="0" w:color="auto"/>
        <w:left w:val="none" w:sz="0" w:space="0" w:color="auto"/>
        <w:bottom w:val="none" w:sz="0" w:space="0" w:color="auto"/>
        <w:right w:val="none" w:sz="0" w:space="0" w:color="auto"/>
      </w:divBdr>
    </w:div>
    <w:div w:id="2017489924">
      <w:bodyDiv w:val="1"/>
      <w:marLeft w:val="0"/>
      <w:marRight w:val="0"/>
      <w:marTop w:val="0"/>
      <w:marBottom w:val="0"/>
      <w:divBdr>
        <w:top w:val="none" w:sz="0" w:space="0" w:color="auto"/>
        <w:left w:val="none" w:sz="0" w:space="0" w:color="auto"/>
        <w:bottom w:val="none" w:sz="0" w:space="0" w:color="auto"/>
        <w:right w:val="none" w:sz="0" w:space="0" w:color="auto"/>
      </w:divBdr>
    </w:div>
    <w:div w:id="2019892266">
      <w:bodyDiv w:val="1"/>
      <w:marLeft w:val="0"/>
      <w:marRight w:val="0"/>
      <w:marTop w:val="0"/>
      <w:marBottom w:val="0"/>
      <w:divBdr>
        <w:top w:val="none" w:sz="0" w:space="0" w:color="auto"/>
        <w:left w:val="none" w:sz="0" w:space="0" w:color="auto"/>
        <w:bottom w:val="none" w:sz="0" w:space="0" w:color="auto"/>
        <w:right w:val="none" w:sz="0" w:space="0" w:color="auto"/>
      </w:divBdr>
    </w:div>
    <w:div w:id="2024430761">
      <w:bodyDiv w:val="1"/>
      <w:marLeft w:val="0"/>
      <w:marRight w:val="0"/>
      <w:marTop w:val="0"/>
      <w:marBottom w:val="0"/>
      <w:divBdr>
        <w:top w:val="none" w:sz="0" w:space="0" w:color="auto"/>
        <w:left w:val="none" w:sz="0" w:space="0" w:color="auto"/>
        <w:bottom w:val="none" w:sz="0" w:space="0" w:color="auto"/>
        <w:right w:val="none" w:sz="0" w:space="0" w:color="auto"/>
      </w:divBdr>
    </w:div>
    <w:div w:id="2024623264">
      <w:bodyDiv w:val="1"/>
      <w:marLeft w:val="0"/>
      <w:marRight w:val="0"/>
      <w:marTop w:val="0"/>
      <w:marBottom w:val="0"/>
      <w:divBdr>
        <w:top w:val="none" w:sz="0" w:space="0" w:color="auto"/>
        <w:left w:val="none" w:sz="0" w:space="0" w:color="auto"/>
        <w:bottom w:val="none" w:sz="0" w:space="0" w:color="auto"/>
        <w:right w:val="none" w:sz="0" w:space="0" w:color="auto"/>
      </w:divBdr>
    </w:div>
    <w:div w:id="2029216458">
      <w:bodyDiv w:val="1"/>
      <w:marLeft w:val="0"/>
      <w:marRight w:val="0"/>
      <w:marTop w:val="0"/>
      <w:marBottom w:val="0"/>
      <w:divBdr>
        <w:top w:val="none" w:sz="0" w:space="0" w:color="auto"/>
        <w:left w:val="none" w:sz="0" w:space="0" w:color="auto"/>
        <w:bottom w:val="none" w:sz="0" w:space="0" w:color="auto"/>
        <w:right w:val="none" w:sz="0" w:space="0" w:color="auto"/>
      </w:divBdr>
    </w:div>
    <w:div w:id="2034646903">
      <w:bodyDiv w:val="1"/>
      <w:marLeft w:val="0"/>
      <w:marRight w:val="0"/>
      <w:marTop w:val="0"/>
      <w:marBottom w:val="0"/>
      <w:divBdr>
        <w:top w:val="none" w:sz="0" w:space="0" w:color="auto"/>
        <w:left w:val="none" w:sz="0" w:space="0" w:color="auto"/>
        <w:bottom w:val="none" w:sz="0" w:space="0" w:color="auto"/>
        <w:right w:val="none" w:sz="0" w:space="0" w:color="auto"/>
      </w:divBdr>
    </w:div>
    <w:div w:id="2054651383">
      <w:bodyDiv w:val="1"/>
      <w:marLeft w:val="0"/>
      <w:marRight w:val="0"/>
      <w:marTop w:val="0"/>
      <w:marBottom w:val="0"/>
      <w:divBdr>
        <w:top w:val="none" w:sz="0" w:space="0" w:color="auto"/>
        <w:left w:val="none" w:sz="0" w:space="0" w:color="auto"/>
        <w:bottom w:val="none" w:sz="0" w:space="0" w:color="auto"/>
        <w:right w:val="none" w:sz="0" w:space="0" w:color="auto"/>
      </w:divBdr>
    </w:div>
    <w:div w:id="2061593566">
      <w:bodyDiv w:val="1"/>
      <w:marLeft w:val="0"/>
      <w:marRight w:val="0"/>
      <w:marTop w:val="0"/>
      <w:marBottom w:val="0"/>
      <w:divBdr>
        <w:top w:val="none" w:sz="0" w:space="0" w:color="auto"/>
        <w:left w:val="none" w:sz="0" w:space="0" w:color="auto"/>
        <w:bottom w:val="none" w:sz="0" w:space="0" w:color="auto"/>
        <w:right w:val="none" w:sz="0" w:space="0" w:color="auto"/>
      </w:divBdr>
    </w:div>
    <w:div w:id="2062366634">
      <w:bodyDiv w:val="1"/>
      <w:marLeft w:val="0"/>
      <w:marRight w:val="0"/>
      <w:marTop w:val="0"/>
      <w:marBottom w:val="0"/>
      <w:divBdr>
        <w:top w:val="none" w:sz="0" w:space="0" w:color="auto"/>
        <w:left w:val="none" w:sz="0" w:space="0" w:color="auto"/>
        <w:bottom w:val="none" w:sz="0" w:space="0" w:color="auto"/>
        <w:right w:val="none" w:sz="0" w:space="0" w:color="auto"/>
      </w:divBdr>
    </w:div>
    <w:div w:id="2062552428">
      <w:bodyDiv w:val="1"/>
      <w:marLeft w:val="0"/>
      <w:marRight w:val="0"/>
      <w:marTop w:val="0"/>
      <w:marBottom w:val="0"/>
      <w:divBdr>
        <w:top w:val="none" w:sz="0" w:space="0" w:color="auto"/>
        <w:left w:val="none" w:sz="0" w:space="0" w:color="auto"/>
        <w:bottom w:val="none" w:sz="0" w:space="0" w:color="auto"/>
        <w:right w:val="none" w:sz="0" w:space="0" w:color="auto"/>
      </w:divBdr>
    </w:div>
    <w:div w:id="2062822037">
      <w:bodyDiv w:val="1"/>
      <w:marLeft w:val="0"/>
      <w:marRight w:val="0"/>
      <w:marTop w:val="0"/>
      <w:marBottom w:val="0"/>
      <w:divBdr>
        <w:top w:val="none" w:sz="0" w:space="0" w:color="auto"/>
        <w:left w:val="none" w:sz="0" w:space="0" w:color="auto"/>
        <w:bottom w:val="none" w:sz="0" w:space="0" w:color="auto"/>
        <w:right w:val="none" w:sz="0" w:space="0" w:color="auto"/>
      </w:divBdr>
    </w:div>
    <w:div w:id="2065133454">
      <w:bodyDiv w:val="1"/>
      <w:marLeft w:val="0"/>
      <w:marRight w:val="0"/>
      <w:marTop w:val="0"/>
      <w:marBottom w:val="0"/>
      <w:divBdr>
        <w:top w:val="none" w:sz="0" w:space="0" w:color="auto"/>
        <w:left w:val="none" w:sz="0" w:space="0" w:color="auto"/>
        <w:bottom w:val="none" w:sz="0" w:space="0" w:color="auto"/>
        <w:right w:val="none" w:sz="0" w:space="0" w:color="auto"/>
      </w:divBdr>
    </w:div>
    <w:div w:id="2066366827">
      <w:bodyDiv w:val="1"/>
      <w:marLeft w:val="0"/>
      <w:marRight w:val="0"/>
      <w:marTop w:val="0"/>
      <w:marBottom w:val="0"/>
      <w:divBdr>
        <w:top w:val="none" w:sz="0" w:space="0" w:color="auto"/>
        <w:left w:val="none" w:sz="0" w:space="0" w:color="auto"/>
        <w:bottom w:val="none" w:sz="0" w:space="0" w:color="auto"/>
        <w:right w:val="none" w:sz="0" w:space="0" w:color="auto"/>
      </w:divBdr>
    </w:div>
    <w:div w:id="2066682713">
      <w:bodyDiv w:val="1"/>
      <w:marLeft w:val="0"/>
      <w:marRight w:val="0"/>
      <w:marTop w:val="0"/>
      <w:marBottom w:val="0"/>
      <w:divBdr>
        <w:top w:val="none" w:sz="0" w:space="0" w:color="auto"/>
        <w:left w:val="none" w:sz="0" w:space="0" w:color="auto"/>
        <w:bottom w:val="none" w:sz="0" w:space="0" w:color="auto"/>
        <w:right w:val="none" w:sz="0" w:space="0" w:color="auto"/>
      </w:divBdr>
    </w:div>
    <w:div w:id="2067798511">
      <w:bodyDiv w:val="1"/>
      <w:marLeft w:val="0"/>
      <w:marRight w:val="0"/>
      <w:marTop w:val="0"/>
      <w:marBottom w:val="0"/>
      <w:divBdr>
        <w:top w:val="none" w:sz="0" w:space="0" w:color="auto"/>
        <w:left w:val="none" w:sz="0" w:space="0" w:color="auto"/>
        <w:bottom w:val="none" w:sz="0" w:space="0" w:color="auto"/>
        <w:right w:val="none" w:sz="0" w:space="0" w:color="auto"/>
      </w:divBdr>
    </w:div>
    <w:div w:id="2071540070">
      <w:bodyDiv w:val="1"/>
      <w:marLeft w:val="0"/>
      <w:marRight w:val="0"/>
      <w:marTop w:val="0"/>
      <w:marBottom w:val="0"/>
      <w:divBdr>
        <w:top w:val="none" w:sz="0" w:space="0" w:color="auto"/>
        <w:left w:val="none" w:sz="0" w:space="0" w:color="auto"/>
        <w:bottom w:val="none" w:sz="0" w:space="0" w:color="auto"/>
        <w:right w:val="none" w:sz="0" w:space="0" w:color="auto"/>
      </w:divBdr>
    </w:div>
    <w:div w:id="2073231957">
      <w:bodyDiv w:val="1"/>
      <w:marLeft w:val="0"/>
      <w:marRight w:val="0"/>
      <w:marTop w:val="0"/>
      <w:marBottom w:val="0"/>
      <w:divBdr>
        <w:top w:val="none" w:sz="0" w:space="0" w:color="auto"/>
        <w:left w:val="none" w:sz="0" w:space="0" w:color="auto"/>
        <w:bottom w:val="none" w:sz="0" w:space="0" w:color="auto"/>
        <w:right w:val="none" w:sz="0" w:space="0" w:color="auto"/>
      </w:divBdr>
    </w:div>
    <w:div w:id="2080472828">
      <w:bodyDiv w:val="1"/>
      <w:marLeft w:val="0"/>
      <w:marRight w:val="0"/>
      <w:marTop w:val="0"/>
      <w:marBottom w:val="0"/>
      <w:divBdr>
        <w:top w:val="none" w:sz="0" w:space="0" w:color="auto"/>
        <w:left w:val="none" w:sz="0" w:space="0" w:color="auto"/>
        <w:bottom w:val="none" w:sz="0" w:space="0" w:color="auto"/>
        <w:right w:val="none" w:sz="0" w:space="0" w:color="auto"/>
      </w:divBdr>
    </w:div>
    <w:div w:id="2081706385">
      <w:bodyDiv w:val="1"/>
      <w:marLeft w:val="0"/>
      <w:marRight w:val="0"/>
      <w:marTop w:val="0"/>
      <w:marBottom w:val="0"/>
      <w:divBdr>
        <w:top w:val="none" w:sz="0" w:space="0" w:color="auto"/>
        <w:left w:val="none" w:sz="0" w:space="0" w:color="auto"/>
        <w:bottom w:val="none" w:sz="0" w:space="0" w:color="auto"/>
        <w:right w:val="none" w:sz="0" w:space="0" w:color="auto"/>
      </w:divBdr>
    </w:div>
    <w:div w:id="2082362351">
      <w:bodyDiv w:val="1"/>
      <w:marLeft w:val="0"/>
      <w:marRight w:val="0"/>
      <w:marTop w:val="0"/>
      <w:marBottom w:val="0"/>
      <w:divBdr>
        <w:top w:val="none" w:sz="0" w:space="0" w:color="auto"/>
        <w:left w:val="none" w:sz="0" w:space="0" w:color="auto"/>
        <w:bottom w:val="none" w:sz="0" w:space="0" w:color="auto"/>
        <w:right w:val="none" w:sz="0" w:space="0" w:color="auto"/>
      </w:divBdr>
    </w:div>
    <w:div w:id="2085176370">
      <w:bodyDiv w:val="1"/>
      <w:marLeft w:val="0"/>
      <w:marRight w:val="0"/>
      <w:marTop w:val="0"/>
      <w:marBottom w:val="0"/>
      <w:divBdr>
        <w:top w:val="none" w:sz="0" w:space="0" w:color="auto"/>
        <w:left w:val="none" w:sz="0" w:space="0" w:color="auto"/>
        <w:bottom w:val="none" w:sz="0" w:space="0" w:color="auto"/>
        <w:right w:val="none" w:sz="0" w:space="0" w:color="auto"/>
      </w:divBdr>
    </w:div>
    <w:div w:id="2085839403">
      <w:bodyDiv w:val="1"/>
      <w:marLeft w:val="0"/>
      <w:marRight w:val="0"/>
      <w:marTop w:val="0"/>
      <w:marBottom w:val="0"/>
      <w:divBdr>
        <w:top w:val="none" w:sz="0" w:space="0" w:color="auto"/>
        <w:left w:val="none" w:sz="0" w:space="0" w:color="auto"/>
        <w:bottom w:val="none" w:sz="0" w:space="0" w:color="auto"/>
        <w:right w:val="none" w:sz="0" w:space="0" w:color="auto"/>
      </w:divBdr>
    </w:div>
    <w:div w:id="2087023999">
      <w:bodyDiv w:val="1"/>
      <w:marLeft w:val="0"/>
      <w:marRight w:val="0"/>
      <w:marTop w:val="0"/>
      <w:marBottom w:val="0"/>
      <w:divBdr>
        <w:top w:val="none" w:sz="0" w:space="0" w:color="auto"/>
        <w:left w:val="none" w:sz="0" w:space="0" w:color="auto"/>
        <w:bottom w:val="none" w:sz="0" w:space="0" w:color="auto"/>
        <w:right w:val="none" w:sz="0" w:space="0" w:color="auto"/>
      </w:divBdr>
    </w:div>
    <w:div w:id="2090420012">
      <w:bodyDiv w:val="1"/>
      <w:marLeft w:val="0"/>
      <w:marRight w:val="0"/>
      <w:marTop w:val="0"/>
      <w:marBottom w:val="0"/>
      <w:divBdr>
        <w:top w:val="none" w:sz="0" w:space="0" w:color="auto"/>
        <w:left w:val="none" w:sz="0" w:space="0" w:color="auto"/>
        <w:bottom w:val="none" w:sz="0" w:space="0" w:color="auto"/>
        <w:right w:val="none" w:sz="0" w:space="0" w:color="auto"/>
      </w:divBdr>
    </w:div>
    <w:div w:id="2093236457">
      <w:bodyDiv w:val="1"/>
      <w:marLeft w:val="0"/>
      <w:marRight w:val="0"/>
      <w:marTop w:val="0"/>
      <w:marBottom w:val="0"/>
      <w:divBdr>
        <w:top w:val="none" w:sz="0" w:space="0" w:color="auto"/>
        <w:left w:val="none" w:sz="0" w:space="0" w:color="auto"/>
        <w:bottom w:val="none" w:sz="0" w:space="0" w:color="auto"/>
        <w:right w:val="none" w:sz="0" w:space="0" w:color="auto"/>
      </w:divBdr>
    </w:div>
    <w:div w:id="2101221191">
      <w:bodyDiv w:val="1"/>
      <w:marLeft w:val="0"/>
      <w:marRight w:val="0"/>
      <w:marTop w:val="0"/>
      <w:marBottom w:val="0"/>
      <w:divBdr>
        <w:top w:val="none" w:sz="0" w:space="0" w:color="auto"/>
        <w:left w:val="none" w:sz="0" w:space="0" w:color="auto"/>
        <w:bottom w:val="none" w:sz="0" w:space="0" w:color="auto"/>
        <w:right w:val="none" w:sz="0" w:space="0" w:color="auto"/>
      </w:divBdr>
    </w:div>
    <w:div w:id="2104833524">
      <w:bodyDiv w:val="1"/>
      <w:marLeft w:val="0"/>
      <w:marRight w:val="0"/>
      <w:marTop w:val="0"/>
      <w:marBottom w:val="0"/>
      <w:divBdr>
        <w:top w:val="none" w:sz="0" w:space="0" w:color="auto"/>
        <w:left w:val="none" w:sz="0" w:space="0" w:color="auto"/>
        <w:bottom w:val="none" w:sz="0" w:space="0" w:color="auto"/>
        <w:right w:val="none" w:sz="0" w:space="0" w:color="auto"/>
      </w:divBdr>
    </w:div>
    <w:div w:id="2107922064">
      <w:bodyDiv w:val="1"/>
      <w:marLeft w:val="0"/>
      <w:marRight w:val="0"/>
      <w:marTop w:val="0"/>
      <w:marBottom w:val="0"/>
      <w:divBdr>
        <w:top w:val="none" w:sz="0" w:space="0" w:color="auto"/>
        <w:left w:val="none" w:sz="0" w:space="0" w:color="auto"/>
        <w:bottom w:val="none" w:sz="0" w:space="0" w:color="auto"/>
        <w:right w:val="none" w:sz="0" w:space="0" w:color="auto"/>
      </w:divBdr>
    </w:div>
    <w:div w:id="2115637771">
      <w:bodyDiv w:val="1"/>
      <w:marLeft w:val="0"/>
      <w:marRight w:val="0"/>
      <w:marTop w:val="0"/>
      <w:marBottom w:val="0"/>
      <w:divBdr>
        <w:top w:val="none" w:sz="0" w:space="0" w:color="auto"/>
        <w:left w:val="none" w:sz="0" w:space="0" w:color="auto"/>
        <w:bottom w:val="none" w:sz="0" w:space="0" w:color="auto"/>
        <w:right w:val="none" w:sz="0" w:space="0" w:color="auto"/>
      </w:divBdr>
    </w:div>
    <w:div w:id="2115901251">
      <w:bodyDiv w:val="1"/>
      <w:marLeft w:val="0"/>
      <w:marRight w:val="0"/>
      <w:marTop w:val="0"/>
      <w:marBottom w:val="0"/>
      <w:divBdr>
        <w:top w:val="none" w:sz="0" w:space="0" w:color="auto"/>
        <w:left w:val="none" w:sz="0" w:space="0" w:color="auto"/>
        <w:bottom w:val="none" w:sz="0" w:space="0" w:color="auto"/>
        <w:right w:val="none" w:sz="0" w:space="0" w:color="auto"/>
      </w:divBdr>
    </w:div>
    <w:div w:id="2116634982">
      <w:bodyDiv w:val="1"/>
      <w:marLeft w:val="0"/>
      <w:marRight w:val="0"/>
      <w:marTop w:val="0"/>
      <w:marBottom w:val="0"/>
      <w:divBdr>
        <w:top w:val="none" w:sz="0" w:space="0" w:color="auto"/>
        <w:left w:val="none" w:sz="0" w:space="0" w:color="auto"/>
        <w:bottom w:val="none" w:sz="0" w:space="0" w:color="auto"/>
        <w:right w:val="none" w:sz="0" w:space="0" w:color="auto"/>
      </w:divBdr>
    </w:div>
    <w:div w:id="2117559173">
      <w:bodyDiv w:val="1"/>
      <w:marLeft w:val="0"/>
      <w:marRight w:val="0"/>
      <w:marTop w:val="0"/>
      <w:marBottom w:val="0"/>
      <w:divBdr>
        <w:top w:val="none" w:sz="0" w:space="0" w:color="auto"/>
        <w:left w:val="none" w:sz="0" w:space="0" w:color="auto"/>
        <w:bottom w:val="none" w:sz="0" w:space="0" w:color="auto"/>
        <w:right w:val="none" w:sz="0" w:space="0" w:color="auto"/>
      </w:divBdr>
    </w:div>
    <w:div w:id="2117600898">
      <w:bodyDiv w:val="1"/>
      <w:marLeft w:val="0"/>
      <w:marRight w:val="0"/>
      <w:marTop w:val="0"/>
      <w:marBottom w:val="0"/>
      <w:divBdr>
        <w:top w:val="none" w:sz="0" w:space="0" w:color="auto"/>
        <w:left w:val="none" w:sz="0" w:space="0" w:color="auto"/>
        <w:bottom w:val="none" w:sz="0" w:space="0" w:color="auto"/>
        <w:right w:val="none" w:sz="0" w:space="0" w:color="auto"/>
      </w:divBdr>
    </w:div>
    <w:div w:id="2117944627">
      <w:bodyDiv w:val="1"/>
      <w:marLeft w:val="0"/>
      <w:marRight w:val="0"/>
      <w:marTop w:val="0"/>
      <w:marBottom w:val="0"/>
      <w:divBdr>
        <w:top w:val="none" w:sz="0" w:space="0" w:color="auto"/>
        <w:left w:val="none" w:sz="0" w:space="0" w:color="auto"/>
        <w:bottom w:val="none" w:sz="0" w:space="0" w:color="auto"/>
        <w:right w:val="none" w:sz="0" w:space="0" w:color="auto"/>
      </w:divBdr>
    </w:div>
    <w:div w:id="2119251969">
      <w:bodyDiv w:val="1"/>
      <w:marLeft w:val="0"/>
      <w:marRight w:val="0"/>
      <w:marTop w:val="0"/>
      <w:marBottom w:val="0"/>
      <w:divBdr>
        <w:top w:val="none" w:sz="0" w:space="0" w:color="auto"/>
        <w:left w:val="none" w:sz="0" w:space="0" w:color="auto"/>
        <w:bottom w:val="none" w:sz="0" w:space="0" w:color="auto"/>
        <w:right w:val="none" w:sz="0" w:space="0" w:color="auto"/>
      </w:divBdr>
    </w:div>
    <w:div w:id="2123062327">
      <w:bodyDiv w:val="1"/>
      <w:marLeft w:val="0"/>
      <w:marRight w:val="0"/>
      <w:marTop w:val="0"/>
      <w:marBottom w:val="0"/>
      <w:divBdr>
        <w:top w:val="none" w:sz="0" w:space="0" w:color="auto"/>
        <w:left w:val="none" w:sz="0" w:space="0" w:color="auto"/>
        <w:bottom w:val="none" w:sz="0" w:space="0" w:color="auto"/>
        <w:right w:val="none" w:sz="0" w:space="0" w:color="auto"/>
      </w:divBdr>
    </w:div>
    <w:div w:id="2123911062">
      <w:bodyDiv w:val="1"/>
      <w:marLeft w:val="0"/>
      <w:marRight w:val="0"/>
      <w:marTop w:val="0"/>
      <w:marBottom w:val="0"/>
      <w:divBdr>
        <w:top w:val="none" w:sz="0" w:space="0" w:color="auto"/>
        <w:left w:val="none" w:sz="0" w:space="0" w:color="auto"/>
        <w:bottom w:val="none" w:sz="0" w:space="0" w:color="auto"/>
        <w:right w:val="none" w:sz="0" w:space="0" w:color="auto"/>
      </w:divBdr>
    </w:div>
    <w:div w:id="2124298681">
      <w:bodyDiv w:val="1"/>
      <w:marLeft w:val="0"/>
      <w:marRight w:val="0"/>
      <w:marTop w:val="0"/>
      <w:marBottom w:val="0"/>
      <w:divBdr>
        <w:top w:val="none" w:sz="0" w:space="0" w:color="auto"/>
        <w:left w:val="none" w:sz="0" w:space="0" w:color="auto"/>
        <w:bottom w:val="none" w:sz="0" w:space="0" w:color="auto"/>
        <w:right w:val="none" w:sz="0" w:space="0" w:color="auto"/>
      </w:divBdr>
    </w:div>
    <w:div w:id="2128163290">
      <w:bodyDiv w:val="1"/>
      <w:marLeft w:val="0"/>
      <w:marRight w:val="0"/>
      <w:marTop w:val="0"/>
      <w:marBottom w:val="0"/>
      <w:divBdr>
        <w:top w:val="none" w:sz="0" w:space="0" w:color="auto"/>
        <w:left w:val="none" w:sz="0" w:space="0" w:color="auto"/>
        <w:bottom w:val="none" w:sz="0" w:space="0" w:color="auto"/>
        <w:right w:val="none" w:sz="0" w:space="0" w:color="auto"/>
      </w:divBdr>
    </w:div>
    <w:div w:id="2130539495">
      <w:bodyDiv w:val="1"/>
      <w:marLeft w:val="0"/>
      <w:marRight w:val="0"/>
      <w:marTop w:val="0"/>
      <w:marBottom w:val="0"/>
      <w:divBdr>
        <w:top w:val="none" w:sz="0" w:space="0" w:color="auto"/>
        <w:left w:val="none" w:sz="0" w:space="0" w:color="auto"/>
        <w:bottom w:val="none" w:sz="0" w:space="0" w:color="auto"/>
        <w:right w:val="none" w:sz="0" w:space="0" w:color="auto"/>
      </w:divBdr>
    </w:div>
    <w:div w:id="2142141878">
      <w:bodyDiv w:val="1"/>
      <w:marLeft w:val="0"/>
      <w:marRight w:val="0"/>
      <w:marTop w:val="0"/>
      <w:marBottom w:val="0"/>
      <w:divBdr>
        <w:top w:val="none" w:sz="0" w:space="0" w:color="auto"/>
        <w:left w:val="none" w:sz="0" w:space="0" w:color="auto"/>
        <w:bottom w:val="none" w:sz="0" w:space="0" w:color="auto"/>
        <w:right w:val="none" w:sz="0" w:space="0" w:color="auto"/>
      </w:divBdr>
    </w:div>
    <w:div w:id="214322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L:\OF2000_P\Cabecer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61E5B-72DA-4179-B777-D554A22C0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Cabecera.dot</Template>
  <TotalTime>458</TotalTime>
  <Pages>98</Pages>
  <Words>26979</Words>
  <Characters>171812</Characters>
  <Application>Microsoft Office Word</Application>
  <DocSecurity>0</DocSecurity>
  <Lines>1431</Lines>
  <Paragraphs>396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Encabezado de las plantillas del Puerto de Palma</vt:lpstr>
      <vt:lpstr>Encabezado de las plantillas del Puerto de Palma</vt:lpstr>
    </vt:vector>
  </TitlesOfParts>
  <Company>apb</Company>
  <LinksUpToDate>false</LinksUpToDate>
  <CharactersWithSpaces>198395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Encabezado de las plantillas del Puerto de Palma</dc:title>
  <dc:creator>apou</dc:creator>
  <cp:lastModifiedBy>Miguel Rigo Salvá</cp:lastModifiedBy>
  <cp:revision>46</cp:revision>
  <cp:lastPrinted>2024-03-18T12:53:00Z</cp:lastPrinted>
  <dcterms:created xsi:type="dcterms:W3CDTF">2024-03-18T06:54:00Z</dcterms:created>
  <dcterms:modified xsi:type="dcterms:W3CDTF">2024-03-19T11:00:00Z</dcterms:modified>
</cp:coreProperties>
</file>